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575B2">
      <w:pPr>
        <w:pStyle w:val="12"/>
        <w:keepNext w:val="0"/>
        <w:keepLines w:val="0"/>
        <w:pageBreakBefore w:val="0"/>
        <w:kinsoku/>
        <w:wordWrap/>
        <w:overflowPunct/>
        <w:topLinePunct w:val="0"/>
        <w:autoSpaceDE/>
        <w:autoSpaceDN/>
        <w:bidi w:val="0"/>
        <w:snapToGrid/>
        <w:spacing w:line="360" w:lineRule="auto"/>
        <w:jc w:val="center"/>
        <w:outlineLvl w:val="1"/>
        <w:rPr>
          <w:rFonts w:hint="eastAsia" w:ascii="宋体" w:hAnsi="宋体" w:eastAsia="宋体" w:cs="宋体"/>
          <w:sz w:val="24"/>
          <w:szCs w:val="24"/>
          <w:highlight w:val="none"/>
        </w:rPr>
      </w:pPr>
      <w:r>
        <w:rPr>
          <w:rFonts w:hint="eastAsia" w:ascii="宋体" w:hAnsi="宋体" w:eastAsia="宋体" w:cs="宋体"/>
          <w:b/>
          <w:sz w:val="24"/>
          <w:szCs w:val="24"/>
          <w:highlight w:val="none"/>
        </w:rPr>
        <w:t>拟签订采购合同文本</w:t>
      </w:r>
    </w:p>
    <w:p w14:paraId="5A92D83F">
      <w:pPr>
        <w:pStyle w:val="10"/>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合同编号： </w:t>
      </w:r>
    </w:p>
    <w:p w14:paraId="58E87C8F">
      <w:pPr>
        <w:pStyle w:val="10"/>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签订地点： </w:t>
      </w:r>
    </w:p>
    <w:p w14:paraId="0F0369BE">
      <w:pPr>
        <w:pStyle w:val="10"/>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签订时间: </w:t>
      </w:r>
    </w:p>
    <w:p w14:paraId="74AB574C">
      <w:pPr>
        <w:pStyle w:val="10"/>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是否为专门面向中小企业的采购项目：</w:t>
      </w:r>
      <w:r>
        <w:rPr>
          <w:rFonts w:hint="eastAsia" w:ascii="宋体" w:hAnsi="宋体" w:cs="宋体"/>
          <w:sz w:val="24"/>
          <w:szCs w:val="24"/>
          <w:highlight w:val="none"/>
          <w:lang w:val="en-US" w:eastAsia="zh-CN"/>
        </w:rPr>
        <w:t>否</w:t>
      </w:r>
    </w:p>
    <w:p w14:paraId="5812CEE0">
      <w:pPr>
        <w:pStyle w:val="10"/>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采购人（甲方）：</w:t>
      </w:r>
    </w:p>
    <w:p w14:paraId="0AF0C54E">
      <w:pPr>
        <w:pStyle w:val="10"/>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供应商（乙方）：</w:t>
      </w:r>
    </w:p>
    <w:p w14:paraId="2BBBF009">
      <w:pPr>
        <w:pStyle w:val="10"/>
        <w:keepNext w:val="0"/>
        <w:keepLines w:val="0"/>
        <w:pageBreakBefore w:val="0"/>
        <w:kinsoku/>
        <w:wordWrap/>
        <w:overflowPunct/>
        <w:topLinePunct w:val="0"/>
        <w:autoSpaceDE/>
        <w:autoSpaceDN/>
        <w:bidi w:val="0"/>
        <w:spacing w:line="360" w:lineRule="auto"/>
        <w:ind w:firstLine="480"/>
        <w:rPr>
          <w:color w:val="000000"/>
          <w:sz w:val="24"/>
          <w:szCs w:val="24"/>
          <w:highlight w:val="none"/>
        </w:rPr>
      </w:pPr>
      <w:r>
        <w:rPr>
          <w:rFonts w:hint="eastAsia"/>
          <w:color w:val="000000"/>
          <w:sz w:val="24"/>
          <w:szCs w:val="24"/>
          <w:highlight w:val="none"/>
        </w:rPr>
        <w:t>根据《中华人民共和国政府采购法》及实施条例、《中华人民共和国民法典》和甲方</w:t>
      </w:r>
      <w:r>
        <w:rPr>
          <w:rFonts w:hint="eastAsia"/>
          <w:color w:val="000000"/>
          <w:sz w:val="24"/>
          <w:szCs w:val="24"/>
          <w:highlight w:val="none"/>
          <w:u w:val="single"/>
        </w:rPr>
        <w:t xml:space="preserve">             </w:t>
      </w:r>
      <w:r>
        <w:rPr>
          <w:rFonts w:hint="eastAsia"/>
          <w:color w:val="000000"/>
          <w:sz w:val="24"/>
          <w:szCs w:val="24"/>
          <w:highlight w:val="none"/>
        </w:rPr>
        <w:t xml:space="preserve"> 采购项目（采购项目编号：</w:t>
      </w:r>
      <w:r>
        <w:rPr>
          <w:rFonts w:hint="eastAsia"/>
          <w:color w:val="000000"/>
          <w:sz w:val="24"/>
          <w:szCs w:val="24"/>
          <w:highlight w:val="none"/>
          <w:u w:val="single"/>
        </w:rPr>
        <w:t xml:space="preserve">       </w:t>
      </w:r>
      <w:r>
        <w:rPr>
          <w:rFonts w:hint="eastAsia"/>
          <w:color w:val="000000"/>
          <w:sz w:val="24"/>
          <w:szCs w:val="24"/>
          <w:highlight w:val="none"/>
        </w:rPr>
        <w:t>）的采购文件、响应文件等有关规定，为确保甲方采购项目的顺利实施，甲、乙双方在平等自愿原则下签订本合同，并共同遵守如下条款，其主要要求如下：</w:t>
      </w:r>
    </w:p>
    <w:p w14:paraId="0CF51878">
      <w:pPr>
        <w:keepNext w:val="0"/>
        <w:keepLines w:val="0"/>
        <w:pageBreakBefore w:val="0"/>
        <w:kinsoku/>
        <w:wordWrap/>
        <w:overflowPunct/>
        <w:topLinePunct w:val="0"/>
        <w:autoSpaceDE/>
        <w:autoSpaceDN/>
        <w:bidi w:val="0"/>
        <w:spacing w:line="360" w:lineRule="auto"/>
        <w:ind w:left="425"/>
        <w:rPr>
          <w:rFonts w:hAnsi="宋体"/>
          <w:b/>
          <w:color w:val="000000"/>
          <w:sz w:val="24"/>
          <w:szCs w:val="24"/>
          <w:highlight w:val="none"/>
        </w:rPr>
      </w:pPr>
      <w:r>
        <w:rPr>
          <w:rFonts w:hint="eastAsia" w:hAnsi="宋体"/>
          <w:b/>
          <w:color w:val="000000"/>
          <w:sz w:val="24"/>
          <w:szCs w:val="24"/>
          <w:highlight w:val="none"/>
        </w:rPr>
        <w:t>第一条   项目基本情况</w:t>
      </w:r>
    </w:p>
    <w:p w14:paraId="3A53162D">
      <w:pPr>
        <w:keepNext w:val="0"/>
        <w:keepLines w:val="0"/>
        <w:pageBreakBefore w:val="0"/>
        <w:kinsoku/>
        <w:wordWrap/>
        <w:overflowPunct/>
        <w:topLinePunct w:val="0"/>
        <w:autoSpaceDE/>
        <w:autoSpaceDN/>
        <w:bidi w:val="0"/>
        <w:spacing w:line="360" w:lineRule="auto"/>
        <w:ind w:firstLine="480" w:firstLineChars="200"/>
        <w:rPr>
          <w:rFonts w:hint="eastAsia" w:hAnsi="宋体" w:cs="宋体"/>
          <w:color w:val="000000"/>
          <w:sz w:val="24"/>
          <w:szCs w:val="24"/>
          <w:highlight w:val="none"/>
          <w:u w:val="none"/>
        </w:rPr>
      </w:pPr>
      <w:r>
        <w:rPr>
          <w:rFonts w:hint="eastAsia" w:hAnsi="宋体" w:cs="宋体"/>
          <w:color w:val="auto"/>
          <w:sz w:val="24"/>
          <w:szCs w:val="24"/>
          <w:lang w:val="en-US" w:eastAsia="zh-CN"/>
        </w:rPr>
        <w:t>项目名称：</w:t>
      </w:r>
      <w:bookmarkStart w:id="62" w:name="_GoBack"/>
      <w:bookmarkEnd w:id="62"/>
    </w:p>
    <w:p w14:paraId="03601858">
      <w:pPr>
        <w:pStyle w:val="12"/>
        <w:spacing w:line="360" w:lineRule="auto"/>
        <w:ind w:firstLine="480" w:firstLineChars="20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lang w:val="en-US" w:eastAsia="zh-CN"/>
        </w:rPr>
        <w:t>基本概况：</w:t>
      </w:r>
      <w:r>
        <w:rPr>
          <w:rFonts w:hint="eastAsia" w:ascii="宋体" w:hAnsi="宋体" w:eastAsia="宋体" w:cs="宋体"/>
          <w:color w:val="auto"/>
          <w:sz w:val="24"/>
          <w:szCs w:val="24"/>
          <w:lang w:eastAsia="zh-CN"/>
        </w:rPr>
        <w:t>根据《关于做好老年人意外伤害保险工作的通知》（市民发〔2025〕126号）及《关于做好2026年老年人意外伤害保险工作的通知》（临民发〔2026〕16号）文件精神，推进基本养老服务均衡优质供给，增强老年人及其家庭的抗风险能力，由政府出资给每位老人每年购买1份意外伤害保险，参保对象为为西安市临潼区户籍年满60周岁及以上老年人、在临潼居住的非本市户籍60周岁及以上老年人，以及享受“</w:t>
      </w:r>
      <w:r>
        <w:rPr>
          <w:rFonts w:hint="eastAsia" w:ascii="宋体" w:hAnsi="宋体" w:eastAsia="宋体" w:cs="宋体"/>
          <w:color w:val="auto"/>
          <w:sz w:val="24"/>
          <w:szCs w:val="24"/>
          <w:highlight w:val="none"/>
          <w:lang w:eastAsia="zh-CN"/>
        </w:rPr>
        <w:t>政府补贴人群”。</w:t>
      </w:r>
    </w:p>
    <w:p w14:paraId="18884FAA">
      <w:pPr>
        <w:keepNext w:val="0"/>
        <w:keepLines w:val="0"/>
        <w:pageBreakBefore w:val="0"/>
        <w:kinsoku/>
        <w:wordWrap/>
        <w:overflowPunct/>
        <w:topLinePunct w:val="0"/>
        <w:autoSpaceDE/>
        <w:autoSpaceDN/>
        <w:bidi w:val="0"/>
        <w:spacing w:line="360" w:lineRule="auto"/>
        <w:ind w:left="425"/>
        <w:rPr>
          <w:rFonts w:hint="default" w:ascii="宋体" w:hAnsi="宋体" w:eastAsia="宋体" w:cs="Times New Roman"/>
          <w:b/>
          <w:color w:val="000000"/>
          <w:sz w:val="24"/>
          <w:szCs w:val="24"/>
          <w:highlight w:val="none"/>
          <w:lang w:val="en-US" w:eastAsia="zh-CN"/>
        </w:rPr>
      </w:pPr>
      <w:r>
        <w:rPr>
          <w:rFonts w:hint="eastAsia" w:ascii="宋体" w:hAnsi="宋体" w:eastAsia="宋体" w:cs="Times New Roman"/>
          <w:b/>
          <w:color w:val="000000"/>
          <w:sz w:val="24"/>
          <w:szCs w:val="24"/>
          <w:highlight w:val="none"/>
          <w:lang w:val="en-US" w:eastAsia="zh-CN"/>
        </w:rPr>
        <w:t>第二条</w:t>
      </w:r>
      <w:r>
        <w:rPr>
          <w:rFonts w:hint="eastAsia" w:ascii="宋体" w:hAnsi="宋体" w:eastAsia="宋体" w:cs="Times New Roman"/>
          <w:b/>
          <w:color w:val="000000"/>
          <w:sz w:val="24"/>
          <w:szCs w:val="24"/>
          <w:highlight w:val="none"/>
        </w:rPr>
        <w:t xml:space="preserve">  服务期限</w:t>
      </w:r>
      <w:r>
        <w:rPr>
          <w:rFonts w:hint="eastAsia" w:hAnsi="宋体" w:cs="Times New Roman"/>
          <w:b/>
          <w:color w:val="000000"/>
          <w:sz w:val="24"/>
          <w:szCs w:val="24"/>
          <w:highlight w:val="none"/>
          <w:lang w:val="en-US" w:eastAsia="zh-CN"/>
        </w:rPr>
        <w:t>保障期限</w:t>
      </w:r>
    </w:p>
    <w:p w14:paraId="4EE0AFEF">
      <w:pPr>
        <w:pStyle w:val="10"/>
        <w:keepNext w:val="0"/>
        <w:keepLines w:val="0"/>
        <w:pageBreakBefore w:val="0"/>
        <w:kinsoku/>
        <w:wordWrap/>
        <w:overflowPunct/>
        <w:topLinePunct w:val="0"/>
        <w:autoSpaceDE/>
        <w:autoSpaceDN/>
        <w:bidi w:val="0"/>
        <w:spacing w:line="360" w:lineRule="auto"/>
        <w:ind w:firstLine="480"/>
        <w:rPr>
          <w:rFonts w:hint="eastAsia" w:ascii="宋体" w:hAnsi="Times New Roman" w:eastAsia="宋体" w:cs="宋体"/>
          <w:color w:val="000000"/>
          <w:sz w:val="24"/>
          <w:szCs w:val="24"/>
          <w:highlight w:val="none"/>
          <w:lang w:val="en-US" w:eastAsia="zh-CN"/>
        </w:rPr>
      </w:pPr>
      <w:r>
        <w:rPr>
          <w:rFonts w:hint="eastAsia" w:ascii="宋体" w:hAnsi="Times New Roman" w:eastAsia="宋体" w:cs="宋体"/>
          <w:color w:val="000000"/>
          <w:sz w:val="24"/>
          <w:szCs w:val="24"/>
          <w:highlight w:val="none"/>
          <w:lang w:val="en-US" w:eastAsia="zh-CN"/>
        </w:rPr>
        <w:t>服务期限：</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自合同签订之日起至2026年12月31日二十四时止</w:t>
      </w:r>
      <w:r>
        <w:rPr>
          <w:rFonts w:hint="eastAsia" w:cs="宋体"/>
          <w:color w:val="000000"/>
          <w:sz w:val="24"/>
          <w:szCs w:val="24"/>
          <w:highlight w:val="none"/>
          <w:u w:val="single"/>
          <w:lang w:val="en-US" w:eastAsia="zh-CN"/>
        </w:rPr>
        <w:t>。</w:t>
      </w:r>
    </w:p>
    <w:p w14:paraId="33850C01">
      <w:pPr>
        <w:pStyle w:val="10"/>
        <w:keepNext w:val="0"/>
        <w:keepLines w:val="0"/>
        <w:pageBreakBefore w:val="0"/>
        <w:kinsoku/>
        <w:wordWrap/>
        <w:overflowPunct/>
        <w:topLinePunct w:val="0"/>
        <w:autoSpaceDE/>
        <w:autoSpaceDN/>
        <w:bidi w:val="0"/>
        <w:spacing w:line="360" w:lineRule="auto"/>
        <w:ind w:firstLine="480"/>
        <w:rPr>
          <w:rFonts w:hint="default" w:ascii="宋体" w:hAnsi="Times New Roman" w:eastAsia="宋体" w:cs="宋体"/>
          <w:color w:val="auto"/>
          <w:sz w:val="24"/>
          <w:szCs w:val="24"/>
          <w:highlight w:val="none"/>
          <w:lang w:val="en-US" w:eastAsia="zh-CN"/>
        </w:rPr>
      </w:pPr>
      <w:r>
        <w:rPr>
          <w:rFonts w:hint="eastAsia" w:cs="宋体"/>
          <w:color w:val="auto"/>
          <w:sz w:val="24"/>
          <w:szCs w:val="24"/>
          <w:highlight w:val="none"/>
          <w:lang w:val="en-US" w:eastAsia="zh-CN"/>
        </w:rPr>
        <w:t>保障期限：一年，乙方对被保险人自2026年1月1日零时起至2026年12月31日二十四时止，期间发生的属于保险责任的案件进行理赔。</w:t>
      </w:r>
    </w:p>
    <w:p w14:paraId="66C39F53">
      <w:pPr>
        <w:keepNext w:val="0"/>
        <w:keepLines w:val="0"/>
        <w:pageBreakBefore w:val="0"/>
        <w:kinsoku/>
        <w:wordWrap/>
        <w:overflowPunct/>
        <w:topLinePunct w:val="0"/>
        <w:autoSpaceDE/>
        <w:autoSpaceDN/>
        <w:bidi w:val="0"/>
        <w:spacing w:line="360" w:lineRule="auto"/>
        <w:ind w:left="425"/>
        <w:rPr>
          <w:rFonts w:hAnsi="宋体"/>
          <w:b/>
          <w:color w:val="000000"/>
          <w:sz w:val="24"/>
          <w:szCs w:val="24"/>
          <w:highlight w:val="none"/>
        </w:rPr>
      </w:pPr>
      <w:bookmarkStart w:id="0" w:name="_Toc282696226"/>
      <w:bookmarkStart w:id="1" w:name="_Toc225670751"/>
      <w:bookmarkStart w:id="2" w:name="_Toc286993786"/>
      <w:bookmarkStart w:id="3" w:name="_Toc247334841"/>
      <w:bookmarkStart w:id="4" w:name="_Toc241833903"/>
      <w:bookmarkStart w:id="5" w:name="_Toc211854449"/>
      <w:bookmarkStart w:id="6" w:name="_Toc211911348"/>
      <w:bookmarkStart w:id="7" w:name="_Toc283019214"/>
      <w:bookmarkStart w:id="8" w:name="_Toc212019594"/>
      <w:bookmarkStart w:id="9" w:name="_Toc185395249"/>
      <w:bookmarkStart w:id="10" w:name="_Toc237145406"/>
      <w:bookmarkStart w:id="11" w:name="_Toc239233914"/>
      <w:bookmarkStart w:id="12" w:name="_Toc225244852"/>
      <w:bookmarkStart w:id="13" w:name="_Toc232492928"/>
      <w:bookmarkStart w:id="14" w:name="_Toc239568418"/>
      <w:bookmarkStart w:id="15" w:name="_Toc251768862"/>
      <w:bookmarkStart w:id="16" w:name="_Toc225654644"/>
      <w:bookmarkStart w:id="17" w:name="_Toc238984975"/>
      <w:r>
        <w:rPr>
          <w:rFonts w:hint="eastAsia" w:hAnsi="宋体"/>
          <w:b/>
          <w:color w:val="000000"/>
          <w:sz w:val="24"/>
          <w:szCs w:val="24"/>
          <w:highlight w:val="none"/>
        </w:rPr>
        <w:t>第三条   服务内容</w:t>
      </w:r>
    </w:p>
    <w:p w14:paraId="21F0E334">
      <w:pPr>
        <w:pStyle w:val="1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highlight w:val="none"/>
          <w:lang w:val="zh-TW" w:eastAsia="zh-TW" w:bidi="zh-TW"/>
        </w:rPr>
      </w:pPr>
      <w:bookmarkStart w:id="18" w:name="_Toc20078"/>
      <w:r>
        <w:rPr>
          <w:rFonts w:hint="eastAsia" w:ascii="宋体" w:hAnsi="宋体" w:eastAsia="宋体" w:cs="宋体"/>
          <w:color w:val="000000"/>
          <w:kern w:val="0"/>
          <w:sz w:val="24"/>
          <w:szCs w:val="24"/>
          <w:highlight w:val="none"/>
          <w:lang w:val="en-US" w:eastAsia="zh-CN" w:bidi="zh-TW"/>
        </w:rPr>
        <w:t>1.</w:t>
      </w:r>
      <w:r>
        <w:rPr>
          <w:rFonts w:hint="eastAsia" w:ascii="宋体" w:hAnsi="宋体" w:eastAsia="宋体" w:cs="宋体"/>
          <w:color w:val="000000"/>
          <w:kern w:val="0"/>
          <w:sz w:val="24"/>
          <w:szCs w:val="24"/>
          <w:highlight w:val="none"/>
          <w:lang w:val="zh-TW" w:eastAsia="zh-TW" w:bidi="zh-TW"/>
        </w:rPr>
        <w:t>服务内容</w:t>
      </w:r>
    </w:p>
    <w:tbl>
      <w:tblPr>
        <w:tblStyle w:val="7"/>
        <w:tblW w:w="8680" w:type="dxa"/>
        <w:tblInd w:w="24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900"/>
        <w:gridCol w:w="3432"/>
        <w:gridCol w:w="3348"/>
      </w:tblGrid>
      <w:tr w14:paraId="79CBA1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10CDB468">
            <w:pPr>
              <w:pStyle w:val="12"/>
              <w:spacing w:line="360" w:lineRule="auto"/>
              <w:jc w:val="center"/>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保险责任</w:t>
            </w:r>
          </w:p>
        </w:tc>
        <w:tc>
          <w:tcPr>
            <w:tcW w:w="3432"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14E24E5D">
            <w:pPr>
              <w:pStyle w:val="12"/>
              <w:spacing w:line="360" w:lineRule="auto"/>
              <w:jc w:val="center"/>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参保人群</w:t>
            </w:r>
          </w:p>
        </w:tc>
        <w:tc>
          <w:tcPr>
            <w:tcW w:w="3348"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0D2F9F55">
            <w:pPr>
              <w:pStyle w:val="12"/>
              <w:spacing w:line="360" w:lineRule="auto"/>
              <w:jc w:val="center"/>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数量</w:t>
            </w:r>
          </w:p>
        </w:tc>
      </w:tr>
      <w:tr w14:paraId="25A2FE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00"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2C32C34">
            <w:pPr>
              <w:pStyle w:val="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老年人意外伤害保险</w:t>
            </w:r>
          </w:p>
        </w:tc>
        <w:tc>
          <w:tcPr>
            <w:tcW w:w="3432" w:type="dxa"/>
            <w:tcBorders>
              <w:top w:val="nil"/>
              <w:left w:val="nil"/>
              <w:bottom w:val="single" w:color="000000" w:sz="4" w:space="0"/>
              <w:right w:val="single" w:color="000000" w:sz="4" w:space="0"/>
            </w:tcBorders>
            <w:tcMar>
              <w:top w:w="0" w:type="dxa"/>
              <w:left w:w="0" w:type="dxa"/>
              <w:bottom w:w="0" w:type="dxa"/>
              <w:right w:w="0" w:type="dxa"/>
            </w:tcMar>
            <w:vAlign w:val="top"/>
          </w:tcPr>
          <w:p w14:paraId="06A44349">
            <w:pPr>
              <w:pStyle w:val="12"/>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西安市</w:t>
            </w:r>
            <w:r>
              <w:rPr>
                <w:rFonts w:hint="eastAsia" w:ascii="宋体" w:hAnsi="宋体" w:eastAsia="宋体" w:cs="宋体"/>
                <w:color w:val="auto"/>
                <w:sz w:val="24"/>
                <w:szCs w:val="24"/>
                <w:highlight w:val="none"/>
                <w:lang w:val="en-US" w:eastAsia="zh-CN"/>
              </w:rPr>
              <w:t>临潼区</w:t>
            </w:r>
            <w:r>
              <w:rPr>
                <w:rFonts w:hint="eastAsia" w:ascii="宋体" w:hAnsi="宋体" w:eastAsia="宋体" w:cs="宋体"/>
                <w:color w:val="auto"/>
                <w:sz w:val="24"/>
                <w:szCs w:val="24"/>
                <w:highlight w:val="none"/>
                <w:lang w:eastAsia="zh-CN"/>
              </w:rPr>
              <w:t>户籍年满60周岁及以上老年人、在</w:t>
            </w:r>
            <w:r>
              <w:rPr>
                <w:rFonts w:hint="eastAsia" w:ascii="宋体" w:hAnsi="宋体" w:eastAsia="宋体" w:cs="宋体"/>
                <w:color w:val="auto"/>
                <w:sz w:val="24"/>
                <w:szCs w:val="24"/>
                <w:highlight w:val="none"/>
                <w:lang w:val="en-US" w:eastAsia="zh-CN"/>
              </w:rPr>
              <w:t>临潼</w:t>
            </w:r>
            <w:r>
              <w:rPr>
                <w:rFonts w:hint="eastAsia" w:ascii="宋体" w:hAnsi="宋体" w:eastAsia="宋体" w:cs="宋体"/>
                <w:color w:val="auto"/>
                <w:sz w:val="24"/>
                <w:szCs w:val="24"/>
                <w:highlight w:val="none"/>
                <w:lang w:eastAsia="zh-CN"/>
              </w:rPr>
              <w:t>居住的非本市户籍60周岁及以上老年人，以及享受“政府补贴人群”。</w:t>
            </w:r>
          </w:p>
        </w:tc>
        <w:tc>
          <w:tcPr>
            <w:tcW w:w="3348" w:type="dxa"/>
            <w:tcBorders>
              <w:top w:val="nil"/>
              <w:left w:val="nil"/>
              <w:bottom w:val="single" w:color="000000" w:sz="4" w:space="0"/>
              <w:right w:val="single" w:color="000000" w:sz="4" w:space="0"/>
            </w:tcBorders>
            <w:tcMar>
              <w:top w:w="0" w:type="dxa"/>
              <w:left w:w="0" w:type="dxa"/>
              <w:bottom w:w="0" w:type="dxa"/>
              <w:right w:w="0" w:type="dxa"/>
            </w:tcMar>
            <w:vAlign w:val="top"/>
          </w:tcPr>
          <w:p w14:paraId="69690098">
            <w:pPr>
              <w:pStyle w:val="12"/>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约为</w:t>
            </w:r>
            <w:r>
              <w:rPr>
                <w:rFonts w:hint="eastAsia" w:ascii="宋体" w:hAnsi="宋体" w:eastAsia="宋体" w:cs="宋体"/>
                <w:color w:val="000000"/>
                <w:sz w:val="24"/>
                <w:szCs w:val="24"/>
                <w:highlight w:val="none"/>
                <w:lang w:eastAsia="zh-CN"/>
              </w:rPr>
              <w:t>27147</w:t>
            </w:r>
            <w:r>
              <w:rPr>
                <w:rFonts w:hint="eastAsia" w:ascii="宋体" w:hAnsi="宋体" w:eastAsia="宋体" w:cs="宋体"/>
                <w:color w:val="000000"/>
                <w:sz w:val="24"/>
                <w:szCs w:val="24"/>
                <w:highlight w:val="none"/>
              </w:rPr>
              <w:t>人，保险费标准为每人不超过20元/份。最终以实际参保人数为准。</w:t>
            </w:r>
          </w:p>
        </w:tc>
      </w:tr>
    </w:tbl>
    <w:p w14:paraId="411B9D6D">
      <w:pPr>
        <w:pStyle w:val="12"/>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CN" w:bidi="zh-TW"/>
        </w:rPr>
      </w:pPr>
      <w:r>
        <w:rPr>
          <w:rFonts w:hint="eastAsia" w:ascii="宋体" w:hAnsi="宋体" w:eastAsia="宋体" w:cs="宋体"/>
          <w:color w:val="000000"/>
          <w:kern w:val="0"/>
          <w:sz w:val="24"/>
          <w:szCs w:val="24"/>
          <w:highlight w:val="none"/>
          <w:lang w:val="en-US" w:eastAsia="zh-CN" w:bidi="zh-TW"/>
        </w:rPr>
        <w:t>2.</w:t>
      </w:r>
      <w:r>
        <w:rPr>
          <w:rFonts w:hint="eastAsia" w:ascii="宋体" w:hAnsi="宋体" w:eastAsia="宋体" w:cs="宋体"/>
          <w:color w:val="000000"/>
          <w:kern w:val="0"/>
          <w:sz w:val="24"/>
          <w:szCs w:val="24"/>
          <w:highlight w:val="none"/>
          <w:lang w:val="zh-TW" w:eastAsia="zh-TW" w:bidi="zh-TW"/>
        </w:rPr>
        <w:t>保险</w:t>
      </w:r>
      <w:r>
        <w:rPr>
          <w:rFonts w:hint="eastAsia" w:ascii="宋体" w:hAnsi="宋体" w:eastAsia="宋体" w:cs="宋体"/>
          <w:color w:val="000000"/>
          <w:kern w:val="0"/>
          <w:sz w:val="24"/>
          <w:szCs w:val="24"/>
          <w:highlight w:val="none"/>
          <w:lang w:val="en-US" w:eastAsia="zh-CN" w:bidi="zh-TW"/>
        </w:rPr>
        <w:t>责任</w:t>
      </w:r>
    </w:p>
    <w:tbl>
      <w:tblPr>
        <w:tblStyle w:val="8"/>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2429"/>
        <w:gridCol w:w="3585"/>
      </w:tblGrid>
      <w:tr w14:paraId="4286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3005" w:type="dxa"/>
            <w:vAlign w:val="center"/>
          </w:tcPr>
          <w:p w14:paraId="3477B48E">
            <w:pPr>
              <w:pStyle w:val="14"/>
              <w:bidi w:val="0"/>
              <w:jc w:val="center"/>
              <w:rPr>
                <w:rFonts w:hint="eastAsia"/>
                <w:b/>
                <w:bCs/>
                <w:sz w:val="24"/>
                <w:szCs w:val="24"/>
                <w:lang w:val="en-US" w:eastAsia="zh-CN"/>
              </w:rPr>
            </w:pPr>
            <w:r>
              <w:rPr>
                <w:rFonts w:hint="eastAsia"/>
                <w:b/>
                <w:bCs/>
                <w:sz w:val="24"/>
                <w:szCs w:val="24"/>
                <w:lang w:val="en-US" w:eastAsia="zh-CN"/>
              </w:rPr>
              <w:t>保障范围</w:t>
            </w:r>
          </w:p>
          <w:p w14:paraId="131CF14C">
            <w:pPr>
              <w:pStyle w:val="14"/>
              <w:bidi w:val="0"/>
              <w:jc w:val="center"/>
              <w:rPr>
                <w:rFonts w:hint="eastAsia"/>
                <w:b/>
                <w:bCs/>
                <w:sz w:val="24"/>
                <w:szCs w:val="24"/>
                <w:lang w:val="en-US" w:eastAsia="zh-CN"/>
              </w:rPr>
            </w:pPr>
          </w:p>
        </w:tc>
        <w:tc>
          <w:tcPr>
            <w:tcW w:w="2429" w:type="dxa"/>
            <w:vAlign w:val="center"/>
          </w:tcPr>
          <w:p w14:paraId="36DE95FE">
            <w:pPr>
              <w:pStyle w:val="14"/>
              <w:bidi w:val="0"/>
              <w:jc w:val="center"/>
              <w:rPr>
                <w:rFonts w:hint="eastAsia"/>
                <w:b/>
                <w:bCs/>
                <w:sz w:val="24"/>
                <w:szCs w:val="24"/>
                <w:lang w:val="en-US" w:eastAsia="zh-CN"/>
              </w:rPr>
            </w:pPr>
            <w:r>
              <w:rPr>
                <w:rFonts w:hint="eastAsia"/>
                <w:b/>
                <w:bCs/>
                <w:sz w:val="24"/>
                <w:szCs w:val="24"/>
                <w:lang w:val="en-US" w:eastAsia="zh-CN"/>
              </w:rPr>
              <w:t>赔付标准</w:t>
            </w:r>
          </w:p>
          <w:p w14:paraId="129B5F98">
            <w:pPr>
              <w:pStyle w:val="14"/>
              <w:bidi w:val="0"/>
              <w:jc w:val="center"/>
              <w:rPr>
                <w:rFonts w:hint="eastAsia"/>
                <w:b/>
                <w:bCs/>
                <w:sz w:val="24"/>
                <w:szCs w:val="24"/>
                <w:lang w:val="en-US" w:eastAsia="zh-CN"/>
              </w:rPr>
            </w:pPr>
          </w:p>
        </w:tc>
        <w:tc>
          <w:tcPr>
            <w:tcW w:w="3585" w:type="dxa"/>
            <w:vAlign w:val="center"/>
          </w:tcPr>
          <w:p w14:paraId="0737FA73">
            <w:pPr>
              <w:pStyle w:val="14"/>
              <w:bidi w:val="0"/>
              <w:jc w:val="center"/>
              <w:rPr>
                <w:rFonts w:hint="eastAsia"/>
                <w:b/>
                <w:bCs/>
                <w:sz w:val="24"/>
                <w:szCs w:val="24"/>
                <w:lang w:val="en-US" w:eastAsia="zh-CN"/>
              </w:rPr>
            </w:pPr>
            <w:r>
              <w:rPr>
                <w:rFonts w:hint="eastAsia"/>
                <w:b/>
                <w:bCs/>
                <w:sz w:val="24"/>
                <w:szCs w:val="24"/>
                <w:lang w:val="en-US" w:eastAsia="zh-CN"/>
              </w:rPr>
              <w:t>保险金额</w:t>
            </w:r>
          </w:p>
          <w:p w14:paraId="66FC713E">
            <w:pPr>
              <w:pStyle w:val="14"/>
              <w:bidi w:val="0"/>
              <w:jc w:val="center"/>
              <w:rPr>
                <w:rFonts w:hint="eastAsia"/>
                <w:b/>
                <w:bCs/>
                <w:sz w:val="24"/>
                <w:szCs w:val="24"/>
                <w:lang w:val="en-US" w:eastAsia="zh-CN"/>
              </w:rPr>
            </w:pPr>
          </w:p>
        </w:tc>
      </w:tr>
      <w:tr w14:paraId="29B0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3005" w:type="dxa"/>
            <w:vAlign w:val="center"/>
          </w:tcPr>
          <w:p w14:paraId="784FE26D">
            <w:pPr>
              <w:pStyle w:val="14"/>
              <w:bidi w:val="0"/>
              <w:jc w:val="center"/>
              <w:rPr>
                <w:rFonts w:hint="eastAsia"/>
                <w:sz w:val="24"/>
                <w:szCs w:val="24"/>
                <w:lang w:val="en-US" w:eastAsia="zh-CN"/>
              </w:rPr>
            </w:pPr>
            <w:r>
              <w:rPr>
                <w:rFonts w:hint="eastAsia"/>
                <w:sz w:val="24"/>
                <w:szCs w:val="24"/>
                <w:lang w:val="en-US" w:eastAsia="zh-CN"/>
              </w:rPr>
              <w:t>意外身故保险金</w:t>
            </w:r>
          </w:p>
        </w:tc>
        <w:tc>
          <w:tcPr>
            <w:tcW w:w="2429" w:type="dxa"/>
            <w:vAlign w:val="center"/>
          </w:tcPr>
          <w:p w14:paraId="5D6BAB7A">
            <w:pPr>
              <w:pStyle w:val="14"/>
              <w:bidi w:val="0"/>
              <w:jc w:val="center"/>
              <w:rPr>
                <w:rFonts w:hint="eastAsia"/>
                <w:sz w:val="24"/>
                <w:szCs w:val="24"/>
                <w:lang w:val="en-US" w:eastAsia="zh-CN"/>
              </w:rPr>
            </w:pPr>
            <w:r>
              <w:rPr>
                <w:rFonts w:hint="eastAsia"/>
                <w:sz w:val="24"/>
                <w:szCs w:val="24"/>
                <w:lang w:val="en-US" w:eastAsia="zh-CN"/>
              </w:rPr>
              <w:t>身故按保险金额一次性给付。</w:t>
            </w:r>
          </w:p>
        </w:tc>
        <w:tc>
          <w:tcPr>
            <w:tcW w:w="3585" w:type="dxa"/>
            <w:vAlign w:val="center"/>
          </w:tcPr>
          <w:p w14:paraId="5F16F07B">
            <w:pPr>
              <w:pStyle w:val="14"/>
              <w:bidi w:val="0"/>
              <w:jc w:val="center"/>
              <w:rPr>
                <w:rFonts w:hint="eastAsia"/>
                <w:sz w:val="24"/>
                <w:szCs w:val="24"/>
                <w:lang w:val="en-US" w:eastAsia="zh-CN"/>
              </w:rPr>
            </w:pPr>
            <w:r>
              <w:rPr>
                <w:rFonts w:hint="eastAsia"/>
                <w:sz w:val="24"/>
                <w:szCs w:val="24"/>
                <w:lang w:val="en-US" w:eastAsia="zh-CN"/>
              </w:rPr>
              <w:t>30000 元</w:t>
            </w:r>
          </w:p>
        </w:tc>
      </w:tr>
      <w:tr w14:paraId="63EC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3005" w:type="dxa"/>
            <w:vAlign w:val="center"/>
          </w:tcPr>
          <w:p w14:paraId="0E32D96D">
            <w:pPr>
              <w:pStyle w:val="14"/>
              <w:bidi w:val="0"/>
              <w:jc w:val="center"/>
              <w:rPr>
                <w:rFonts w:hint="eastAsia"/>
                <w:sz w:val="24"/>
                <w:szCs w:val="24"/>
                <w:lang w:val="en-US" w:eastAsia="zh-CN"/>
              </w:rPr>
            </w:pPr>
            <w:r>
              <w:rPr>
                <w:rFonts w:hint="eastAsia"/>
                <w:sz w:val="24"/>
                <w:szCs w:val="24"/>
                <w:lang w:val="en-US" w:eastAsia="zh-CN"/>
              </w:rPr>
              <w:t>意外伤害伤残保险金</w:t>
            </w:r>
          </w:p>
        </w:tc>
        <w:tc>
          <w:tcPr>
            <w:tcW w:w="2429" w:type="dxa"/>
            <w:vAlign w:val="center"/>
          </w:tcPr>
          <w:p w14:paraId="20171F35">
            <w:pPr>
              <w:pStyle w:val="14"/>
              <w:bidi w:val="0"/>
              <w:jc w:val="center"/>
              <w:rPr>
                <w:rFonts w:hint="eastAsia"/>
                <w:sz w:val="24"/>
                <w:szCs w:val="24"/>
                <w:lang w:val="en-US" w:eastAsia="zh-CN"/>
              </w:rPr>
            </w:pPr>
            <w:r>
              <w:rPr>
                <w:rFonts w:hint="eastAsia"/>
                <w:sz w:val="24"/>
                <w:szCs w:val="24"/>
                <w:lang w:val="en-US" w:eastAsia="zh-CN"/>
              </w:rPr>
              <w:t>按伤残等级比例给付</w:t>
            </w:r>
          </w:p>
        </w:tc>
        <w:tc>
          <w:tcPr>
            <w:tcW w:w="3585" w:type="dxa"/>
            <w:vAlign w:val="center"/>
          </w:tcPr>
          <w:p w14:paraId="1CF63968">
            <w:pPr>
              <w:pStyle w:val="14"/>
              <w:bidi w:val="0"/>
              <w:jc w:val="center"/>
              <w:rPr>
                <w:rFonts w:hint="eastAsia"/>
                <w:sz w:val="24"/>
                <w:szCs w:val="24"/>
                <w:lang w:val="en-US" w:eastAsia="zh-CN"/>
              </w:rPr>
            </w:pPr>
            <w:r>
              <w:rPr>
                <w:rFonts w:hint="eastAsia"/>
                <w:sz w:val="24"/>
                <w:szCs w:val="24"/>
                <w:lang w:val="en-US" w:eastAsia="zh-CN"/>
              </w:rPr>
              <w:t>十级3000元、九级6000元、八级9000元、七级12000元六级15000元、五级18000元、四级21000元、三级24000元、二级27000元、一级30000元</w:t>
            </w:r>
          </w:p>
        </w:tc>
      </w:tr>
      <w:tr w14:paraId="1B9D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6" w:hRule="atLeast"/>
        </w:trPr>
        <w:tc>
          <w:tcPr>
            <w:tcW w:w="3005" w:type="dxa"/>
            <w:vAlign w:val="center"/>
          </w:tcPr>
          <w:p w14:paraId="01F18F7C">
            <w:pPr>
              <w:pStyle w:val="14"/>
              <w:bidi w:val="0"/>
              <w:jc w:val="center"/>
              <w:rPr>
                <w:rFonts w:hint="eastAsia"/>
                <w:sz w:val="24"/>
                <w:szCs w:val="24"/>
                <w:lang w:val="en-US" w:eastAsia="zh-CN"/>
              </w:rPr>
            </w:pPr>
            <w:r>
              <w:rPr>
                <w:rFonts w:hint="eastAsia"/>
                <w:sz w:val="24"/>
                <w:szCs w:val="24"/>
                <w:lang w:val="en-US" w:eastAsia="zh-CN"/>
              </w:rPr>
              <w:t>意外伤害医疗费用补助</w:t>
            </w:r>
          </w:p>
        </w:tc>
        <w:tc>
          <w:tcPr>
            <w:tcW w:w="2429" w:type="dxa"/>
            <w:vAlign w:val="center"/>
          </w:tcPr>
          <w:p w14:paraId="62AB1EB4">
            <w:pPr>
              <w:pStyle w:val="14"/>
              <w:bidi w:val="0"/>
              <w:jc w:val="center"/>
              <w:rPr>
                <w:rFonts w:hint="eastAsia"/>
                <w:sz w:val="24"/>
                <w:szCs w:val="24"/>
                <w:lang w:val="en-US" w:eastAsia="zh-CN"/>
              </w:rPr>
            </w:pPr>
            <w:r>
              <w:rPr>
                <w:rFonts w:hint="eastAsia"/>
                <w:sz w:val="24"/>
                <w:szCs w:val="24"/>
                <w:lang w:val="en-US" w:eastAsia="zh-CN"/>
              </w:rPr>
              <w:t>100元以下免赔;100元以上给付比例100%，不超过限额</w:t>
            </w:r>
          </w:p>
        </w:tc>
        <w:tc>
          <w:tcPr>
            <w:tcW w:w="3585" w:type="dxa"/>
            <w:vAlign w:val="center"/>
          </w:tcPr>
          <w:p w14:paraId="6A0A6B98">
            <w:pPr>
              <w:pStyle w:val="14"/>
              <w:bidi w:val="0"/>
              <w:jc w:val="center"/>
              <w:rPr>
                <w:rFonts w:hint="eastAsia"/>
                <w:sz w:val="24"/>
                <w:szCs w:val="24"/>
                <w:lang w:val="en-US" w:eastAsia="zh-CN"/>
              </w:rPr>
            </w:pPr>
            <w:r>
              <w:rPr>
                <w:rFonts w:hint="eastAsia"/>
                <w:sz w:val="24"/>
                <w:szCs w:val="24"/>
                <w:lang w:val="en-US" w:eastAsia="zh-CN"/>
              </w:rPr>
              <w:t>5000元</w:t>
            </w:r>
          </w:p>
        </w:tc>
      </w:tr>
    </w:tbl>
    <w:p w14:paraId="508ED5CE">
      <w:pPr>
        <w:pStyle w:val="12"/>
        <w:spacing w:line="360" w:lineRule="auto"/>
        <w:ind w:firstLine="241" w:firstLineChars="100"/>
        <w:jc w:val="both"/>
        <w:rPr>
          <w:rFonts w:hint="eastAsia" w:ascii="宋体" w:hAnsi="宋体" w:eastAsia="宋体" w:cs="宋体"/>
          <w:sz w:val="24"/>
          <w:szCs w:val="24"/>
        </w:rPr>
      </w:pPr>
      <w:r>
        <w:rPr>
          <w:rFonts w:hint="eastAsia" w:ascii="宋体" w:hAnsi="宋体" w:eastAsia="宋体" w:cs="宋体"/>
          <w:b/>
          <w:color w:val="000000"/>
          <w:sz w:val="24"/>
          <w:szCs w:val="24"/>
        </w:rPr>
        <w:t>3.理赔事项</w:t>
      </w:r>
    </w:p>
    <w:p w14:paraId="40AC9BD0">
      <w:pPr>
        <w:pStyle w:val="12"/>
        <w:spacing w:line="360" w:lineRule="auto"/>
        <w:ind w:firstLine="210"/>
        <w:jc w:val="both"/>
        <w:rPr>
          <w:rFonts w:hint="eastAsia" w:ascii="宋体" w:hAnsi="宋体" w:eastAsia="宋体" w:cs="宋体"/>
          <w:sz w:val="24"/>
          <w:szCs w:val="24"/>
        </w:rPr>
      </w:pPr>
      <w:r>
        <w:rPr>
          <w:rFonts w:hint="eastAsia" w:ascii="宋体" w:hAnsi="宋体" w:eastAsia="宋体" w:cs="宋体"/>
          <w:color w:val="000000"/>
          <w:sz w:val="24"/>
          <w:szCs w:val="24"/>
        </w:rPr>
        <w:t>3.1理赔流程</w:t>
      </w:r>
    </w:p>
    <w:p w14:paraId="6F4149B7">
      <w:pPr>
        <w:pStyle w:val="12"/>
        <w:spacing w:line="360" w:lineRule="auto"/>
        <w:ind w:firstLine="480" w:firstLineChars="20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老年人发生意外事故后，通过保险公司客服热线，通知承保保险公司</w:t>
      </w:r>
      <w:r>
        <w:rPr>
          <w:rFonts w:hint="eastAsia" w:ascii="宋体" w:hAnsi="宋体" w:eastAsia="宋体" w:cs="宋体"/>
          <w:color w:val="000000"/>
          <w:sz w:val="24"/>
          <w:szCs w:val="24"/>
          <w:lang w:eastAsia="zh-CN"/>
        </w:rPr>
        <w:t>；</w:t>
      </w:r>
    </w:p>
    <w:p w14:paraId="78F00539">
      <w:pPr>
        <w:pStyle w:val="12"/>
        <w:spacing w:line="360" w:lineRule="auto"/>
        <w:ind w:firstLine="480" w:firstLineChars="20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（2）承保保险公司接到通知后，开展现场查勘和资料收集</w:t>
      </w:r>
      <w:r>
        <w:rPr>
          <w:rFonts w:hint="eastAsia" w:ascii="宋体" w:hAnsi="宋体" w:eastAsia="宋体" w:cs="宋体"/>
          <w:color w:val="000000"/>
          <w:sz w:val="24"/>
          <w:szCs w:val="24"/>
          <w:lang w:eastAsia="zh-CN"/>
        </w:rPr>
        <w:t>；</w:t>
      </w:r>
    </w:p>
    <w:p w14:paraId="023EA30A">
      <w:pPr>
        <w:pStyle w:val="12"/>
        <w:spacing w:line="360" w:lineRule="auto"/>
        <w:ind w:firstLine="480" w:firstLineChars="20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承保保险公司完成理赔作业处理，并将赔款支付给受益人。</w:t>
      </w:r>
    </w:p>
    <w:p w14:paraId="7EFCD3F6">
      <w:pPr>
        <w:pStyle w:val="12"/>
        <w:spacing w:line="360" w:lineRule="auto"/>
        <w:ind w:firstLine="210"/>
        <w:jc w:val="both"/>
        <w:rPr>
          <w:rFonts w:hint="eastAsia" w:ascii="宋体" w:hAnsi="宋体" w:eastAsia="宋体" w:cs="宋体"/>
          <w:sz w:val="24"/>
          <w:szCs w:val="24"/>
        </w:rPr>
      </w:pPr>
      <w:r>
        <w:rPr>
          <w:rFonts w:hint="eastAsia" w:ascii="宋体" w:hAnsi="宋体" w:eastAsia="宋体" w:cs="宋体"/>
          <w:color w:val="000000"/>
          <w:sz w:val="24"/>
          <w:szCs w:val="24"/>
        </w:rPr>
        <w:t>3.2理赔规则</w:t>
      </w:r>
    </w:p>
    <w:p w14:paraId="5C4421A0">
      <w:pPr>
        <w:pStyle w:val="12"/>
        <w:spacing w:line="360" w:lineRule="auto"/>
        <w:ind w:firstLine="420"/>
        <w:jc w:val="both"/>
        <w:rPr>
          <w:rFonts w:hint="eastAsia" w:ascii="宋体" w:hAnsi="宋体" w:eastAsia="宋体" w:cs="宋体"/>
          <w:sz w:val="24"/>
          <w:szCs w:val="24"/>
        </w:rPr>
      </w:pPr>
      <w:r>
        <w:rPr>
          <w:rFonts w:hint="eastAsia" w:ascii="宋体" w:hAnsi="宋体" w:eastAsia="宋体" w:cs="宋体"/>
          <w:color w:val="000000"/>
          <w:sz w:val="24"/>
          <w:szCs w:val="24"/>
        </w:rPr>
        <w:t>（1）老年人发生意外伤害事件所产生的医疗费用，先由基本医疗保险按规定报销后，剩余部分有老年人意外伤害保险按照保险责任约定比例理赔；</w:t>
      </w:r>
    </w:p>
    <w:p w14:paraId="59E6208B">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（2）入住养老机构老年人发生意外伤害所产生的医疗费用理赔顺序为：基本医疗保险→养老机构综合责任保险→老年人意外伤害保险。</w:t>
      </w:r>
    </w:p>
    <w:p w14:paraId="442E27B2">
      <w:pPr>
        <w:pStyle w:val="12"/>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en-US" w:eastAsia="zh-CN" w:bidi="zh-TW"/>
        </w:rPr>
        <w:t>4.</w:t>
      </w:r>
      <w:r>
        <w:rPr>
          <w:rFonts w:hint="eastAsia" w:ascii="宋体" w:hAnsi="宋体" w:eastAsia="宋体" w:cs="宋体"/>
          <w:color w:val="000000"/>
          <w:kern w:val="0"/>
          <w:sz w:val="24"/>
          <w:szCs w:val="24"/>
          <w:highlight w:val="none"/>
          <w:lang w:val="zh-TW" w:eastAsia="zh-TW" w:bidi="zh-TW"/>
        </w:rPr>
        <w:t>服务要求</w:t>
      </w:r>
    </w:p>
    <w:p w14:paraId="150D8C14">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（1）培训服务</w:t>
      </w:r>
    </w:p>
    <w:p w14:paraId="7CB7D124">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在保险期限内，承保单位负责举办至少两次保险知识和风险管理培训，以提供被保险人相关人员的安全意识和防灾防损技能。培训时发生的场地费、住宿费、餐饮费及接待费用由承保单位承担。具体举办时间和地点，由承保单位及投保人共同协商确定。培训计划及内容：</w:t>
      </w:r>
    </w:p>
    <w:p w14:paraId="724A0505">
      <w:pPr>
        <w:pStyle w:val="12"/>
        <w:spacing w:line="360" w:lineRule="auto"/>
        <w:ind w:firstLine="42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签订保险合同一周之内</w:t>
      </w:r>
      <w:r>
        <w:rPr>
          <w:rFonts w:hint="eastAsia" w:ascii="宋体" w:hAnsi="宋体" w:eastAsia="宋体" w:cs="宋体"/>
          <w:color w:val="000000"/>
          <w:sz w:val="24"/>
          <w:szCs w:val="24"/>
          <w:lang w:val="en-US" w:eastAsia="zh-CN"/>
        </w:rPr>
        <w:t>进行</w:t>
      </w:r>
      <w:r>
        <w:rPr>
          <w:rFonts w:hint="eastAsia" w:ascii="宋体" w:hAnsi="宋体" w:eastAsia="宋体" w:cs="宋体"/>
          <w:color w:val="000000"/>
          <w:sz w:val="24"/>
          <w:szCs w:val="24"/>
        </w:rPr>
        <w:t>保险条款及合同讲解</w:t>
      </w:r>
      <w:r>
        <w:rPr>
          <w:rFonts w:hint="eastAsia" w:ascii="宋体" w:hAnsi="宋体" w:eastAsia="宋体" w:cs="宋体"/>
          <w:color w:val="000000"/>
          <w:sz w:val="24"/>
          <w:szCs w:val="24"/>
          <w:lang w:eastAsia="zh-CN"/>
        </w:rPr>
        <w:t>；</w:t>
      </w:r>
    </w:p>
    <w:p w14:paraId="34BE1AC8">
      <w:pPr>
        <w:pStyle w:val="12"/>
        <w:spacing w:line="360" w:lineRule="auto"/>
        <w:ind w:firstLine="42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签订保险合同3个月之内</w:t>
      </w:r>
      <w:r>
        <w:rPr>
          <w:rFonts w:hint="eastAsia" w:ascii="宋体" w:hAnsi="宋体" w:eastAsia="宋体" w:cs="宋体"/>
          <w:color w:val="000000"/>
          <w:sz w:val="24"/>
          <w:szCs w:val="24"/>
          <w:lang w:val="en-US" w:eastAsia="zh-CN"/>
        </w:rPr>
        <w:t>进行</w:t>
      </w:r>
      <w:r>
        <w:rPr>
          <w:rFonts w:hint="eastAsia" w:ascii="宋体" w:hAnsi="宋体" w:eastAsia="宋体" w:cs="宋体"/>
          <w:color w:val="000000"/>
          <w:sz w:val="24"/>
          <w:szCs w:val="24"/>
        </w:rPr>
        <w:t>索赔流程及要点介绍</w:t>
      </w:r>
      <w:r>
        <w:rPr>
          <w:rFonts w:hint="eastAsia" w:ascii="宋体" w:hAnsi="宋体" w:eastAsia="宋体" w:cs="宋体"/>
          <w:color w:val="000000"/>
          <w:sz w:val="24"/>
          <w:szCs w:val="24"/>
          <w:lang w:eastAsia="zh-CN"/>
        </w:rPr>
        <w:t>；</w:t>
      </w:r>
    </w:p>
    <w:p w14:paraId="7FA7A766">
      <w:pPr>
        <w:pStyle w:val="12"/>
        <w:spacing w:line="360" w:lineRule="auto"/>
        <w:ind w:firstLine="42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签订保险合同半年之内</w:t>
      </w:r>
      <w:r>
        <w:rPr>
          <w:rFonts w:hint="eastAsia" w:ascii="宋体" w:hAnsi="宋体" w:eastAsia="宋体" w:cs="宋体"/>
          <w:color w:val="000000"/>
          <w:sz w:val="24"/>
          <w:szCs w:val="24"/>
          <w:lang w:val="en-US" w:eastAsia="zh-CN"/>
        </w:rPr>
        <w:t>进行</w:t>
      </w:r>
      <w:r>
        <w:rPr>
          <w:rFonts w:hint="eastAsia" w:ascii="宋体" w:hAnsi="宋体" w:eastAsia="宋体" w:cs="宋体"/>
          <w:color w:val="000000"/>
          <w:sz w:val="24"/>
          <w:szCs w:val="24"/>
        </w:rPr>
        <w:t>风险防范及灾后自救</w:t>
      </w:r>
      <w:r>
        <w:rPr>
          <w:rFonts w:hint="eastAsia" w:ascii="宋体" w:hAnsi="宋体" w:eastAsia="宋体" w:cs="宋体"/>
          <w:color w:val="000000"/>
          <w:sz w:val="24"/>
          <w:szCs w:val="24"/>
          <w:lang w:eastAsia="zh-CN"/>
        </w:rPr>
        <w:t>。</w:t>
      </w:r>
    </w:p>
    <w:p w14:paraId="3BC5371C">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（2）组织实施回访服务</w:t>
      </w:r>
    </w:p>
    <w:p w14:paraId="5C606BD1">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在保单有效期内，由承保单位负责组织项目小组定期以电话沟通、登门回访或慰问走访等多种灵活形式收集客户反馈意见。</w:t>
      </w:r>
    </w:p>
    <w:p w14:paraId="507E7EC2">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（3）建立联席会议制度</w:t>
      </w:r>
    </w:p>
    <w:p w14:paraId="04EB460A">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承保单位负责每半年联合组织一次由承保公司、有关被保险人代表和民政相关领导参加的联席会议(费用由承保单位承担)，通报保险承保、理赔与其他服务情况，就有关问题进行沟通与协商。</w:t>
      </w:r>
    </w:p>
    <w:p w14:paraId="470B8B34">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（4）承保理赔报表</w:t>
      </w:r>
    </w:p>
    <w:p w14:paraId="2748593E">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承保单位应当在每季度结束后的10个工作日内向民政局主管部门提交上季度保险承保和理赔报表(具体报表格式由民政局主管部门与承保单位共同商定)。</w:t>
      </w:r>
    </w:p>
    <w:p w14:paraId="0E76F6FB">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（5）重大自然灾害预警机制</w:t>
      </w:r>
    </w:p>
    <w:p w14:paraId="46F77361">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承保单位应主动向客户提供具备重大自然灾害预警信息，即在</w:t>
      </w:r>
      <w:r>
        <w:rPr>
          <w:rFonts w:hint="eastAsia" w:ascii="宋体" w:hAnsi="宋体" w:eastAsia="宋体" w:cs="宋体"/>
          <w:color w:val="000000"/>
          <w:sz w:val="24"/>
          <w:szCs w:val="24"/>
          <w:lang w:val="en-US" w:eastAsia="zh-CN"/>
        </w:rPr>
        <w:t>大</w:t>
      </w:r>
      <w:r>
        <w:rPr>
          <w:rFonts w:hint="eastAsia" w:ascii="宋体" w:hAnsi="宋体" w:eastAsia="宋体" w:cs="宋体"/>
          <w:color w:val="000000"/>
          <w:sz w:val="24"/>
          <w:szCs w:val="24"/>
        </w:rPr>
        <w:t>风、暴雨、大雾、大雪、高温等恶劣天气来临前48小时，自动向VIP客户发送灾害预警短信，提醒客户做好防损工作。对于可能出现的重大气象情况，承保单位客服人员立即通过后援中心的短信服务平台将预警信息第一时间发送到客户手中。短信内容包括气象跟踪实时信息、灾害前的防范措施、灾害中的应急措施和灾后的紧急抢救措施和相关注意事项。在向客户发送重大自然灾害预警短信的同时，承保单位内部将立即启动应急预案，按照应急预案组成应急指挥中心，统一调度协调，组成重大灾害调度小组、现场查勘小组、定损小组、核算小组、理赔小组、后勤保障小组等。</w:t>
      </w:r>
    </w:p>
    <w:p w14:paraId="02C27388">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（6）第三方责任事故法律援助</w:t>
      </w:r>
    </w:p>
    <w:p w14:paraId="241412D0">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对于因保险事故产生的第三者纠纷，如被保险人有需求，承保单位应在事故发生之初就及时介入调解处理，为被保险人提供处理建议，防止事件扩大，并提供无偿的法律咨询服务。</w:t>
      </w:r>
    </w:p>
    <w:p w14:paraId="298297E9">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7）承保单位宣传到位，利用多种方式宣传发动，让全社会充分认识老年人意外伤害保险是经济社会发展和人口老龄化发展的客观要求，充分发挥自身优势，利用网点覆盖广泛、服务队伍专业性强等特点，采取短信提醒、制发一人一张的承保明白卡、张贴宣传单、微信公众号等方式，借助各类媒体手段和宣传平台，面向全社会开展形式多样、内容丰富的宣传活动，提高社会各界对老年人意外伤害保险的认知度和关注度。</w:t>
      </w:r>
    </w:p>
    <w:p w14:paraId="62E02F69">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（8）服务保证</w:t>
      </w:r>
    </w:p>
    <w:p w14:paraId="0BFC8B5D">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①制度保证</w:t>
      </w:r>
    </w:p>
    <w:p w14:paraId="62B86C4C">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一旦中标成为承保人，承保单位将以红头文件或者工作通知书将服务计划和承保条件公布在内部网并邮件通知各分支机构，各分支机构按照文件及市政府关于老年人意外伤害保险项目相关要求与相关单位取得联络，以便开展保险服务工作。</w:t>
      </w:r>
    </w:p>
    <w:p w14:paraId="23557158">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②优秀的再保险保证</w:t>
      </w:r>
    </w:p>
    <w:p w14:paraId="117FF6D5">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承保单位要积极与高标准的再保险公司合作，加强企业实力和承保能力。</w:t>
      </w:r>
    </w:p>
    <w:p w14:paraId="250F1EAE">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③出色的网络服务平台</w:t>
      </w:r>
    </w:p>
    <w:p w14:paraId="0234C438">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承保单位应具备功能强大的网络平台，可以为客户提供专业化的产品和服务。</w:t>
      </w:r>
    </w:p>
    <w:p w14:paraId="307870F9">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④专业的服务团队</w:t>
      </w:r>
    </w:p>
    <w:p w14:paraId="23E3EC2C">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承保单位应设有24小时热线客户咨询服务、投诉举报电话，安排专人接听、记录、受理；本着“专业、稳定、热诚、差异”的原则，承保单位应为本项目按照最优等客户服务模式组建专属服务团队，构建与实际服务能力相适应的多级服务体系。</w:t>
      </w:r>
    </w:p>
    <w:p w14:paraId="23370160">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⑤监督和控制</w:t>
      </w:r>
    </w:p>
    <w:p w14:paraId="1894DCE5">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保险服务的承诺如何落实在于对服务的跟踪及监督，承保单位应对各下属机构的保险服务建立跟踪监督机制，具体将从以下几个方面着手：</w:t>
      </w:r>
    </w:p>
    <w:p w14:paraId="3EC7C840">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日常跟踪及沟通：每月将与民政局相关部门沟通，了解下属机构的服务评价以及产生的相关问题；</w:t>
      </w:r>
    </w:p>
    <w:p w14:paraId="49A8E7A2">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每季度向西安市老年人意外伤害保险主管单位发送《保险公司服务质量调查问卷》，了解承保单位及其下属企业的季度工作评价，以便发现问题、改进工作及提高服务水平；</w:t>
      </w:r>
    </w:p>
    <w:p w14:paraId="67CA7ABA">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对于承保及理赔工作，承保单位通过强大的IT系统进行检测、跟进和监督，依托IT系统能保证提出准确的承保、理赔清单；</w:t>
      </w:r>
    </w:p>
    <w:p w14:paraId="1F9D587F">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客户联络电话中心应具备客户投诉渠道，有效对被保险人投诉事件进行统计和反馈；</w:t>
      </w:r>
    </w:p>
    <w:p w14:paraId="4AE11DDB">
      <w:pPr>
        <w:pStyle w:val="12"/>
        <w:spacing w:line="360" w:lineRule="auto"/>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惩罚制度：承保单位有专门部门负责对机构经营、服务进行判定，根据问题严重程度有红、黄、蓝牌处罚制度。</w:t>
      </w:r>
    </w:p>
    <w:p w14:paraId="60065D28">
      <w:pPr>
        <w:keepNext w:val="0"/>
        <w:keepLines w:val="0"/>
        <w:pageBreakBefore w:val="0"/>
        <w:widowControl/>
        <w:kinsoku/>
        <w:wordWrap/>
        <w:overflowPunct/>
        <w:topLinePunct w:val="0"/>
        <w:autoSpaceDE/>
        <w:autoSpaceDN/>
        <w:bidi w:val="0"/>
        <w:snapToGrid/>
        <w:spacing w:line="360" w:lineRule="auto"/>
        <w:ind w:firstLine="482" w:firstLineChars="200"/>
        <w:jc w:val="left"/>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服务费用及支付方式</w:t>
      </w:r>
      <w:bookmarkEnd w:id="18"/>
    </w:p>
    <w:p w14:paraId="70FD48A6">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1、服务费按下列比例支付价款</w:t>
      </w:r>
    </w:p>
    <w:p w14:paraId="600A601E">
      <w:pPr>
        <w:pStyle w:val="2"/>
        <w:keepNext w:val="0"/>
        <w:keepLines w:val="0"/>
        <w:pageBreakBefore w:val="0"/>
        <w:widowControl w:val="0"/>
        <w:kinsoku/>
        <w:wordWrap/>
        <w:overflowPunct/>
        <w:topLinePunct w:val="0"/>
        <w:autoSpaceDE/>
        <w:autoSpaceDN/>
        <w:bidi w:val="0"/>
        <w:adjustRightInd/>
        <w:snapToGrid/>
        <w:spacing w:before="0" w:line="360" w:lineRule="auto"/>
        <w:ind w:left="859" w:leftChars="200" w:hanging="379" w:hangingChars="158"/>
        <w:textAlignment w:val="auto"/>
        <w:rPr>
          <w:rFonts w:hint="default" w:ascii="宋体" w:hAnsi="宋体" w:eastAsia="宋体" w:cs="宋体"/>
          <w:b w:val="0"/>
          <w:bCs w:val="0"/>
          <w:i w:val="0"/>
          <w:iCs w:val="0"/>
          <w:caps w:val="0"/>
          <w:spacing w:val="0"/>
          <w:sz w:val="24"/>
          <w:szCs w:val="24"/>
          <w:highlight w:val="none"/>
          <w:shd w:val="clear" w:color="auto" w:fill="FFFFFF"/>
          <w:lang w:val="en-US" w:eastAsia="zh-CN"/>
        </w:rPr>
      </w:pPr>
      <w:r>
        <w:rPr>
          <w:rFonts w:hint="eastAsia" w:ascii="宋体" w:hAnsi="宋体" w:eastAsia="宋体" w:cs="宋体"/>
          <w:b w:val="0"/>
          <w:bCs w:val="0"/>
          <w:i w:val="0"/>
          <w:iCs w:val="0"/>
          <w:caps w:val="0"/>
          <w:spacing w:val="0"/>
          <w:sz w:val="24"/>
          <w:szCs w:val="24"/>
          <w:highlight w:val="none"/>
          <w:shd w:val="clear" w:color="auto" w:fill="FFFFFF"/>
          <w:lang w:val="en-US" w:eastAsia="zh-CN"/>
        </w:rPr>
        <w:t>保费单价</w:t>
      </w:r>
      <w:r>
        <w:rPr>
          <w:rFonts w:hint="eastAsia" w:ascii="宋体" w:hAnsi="宋体" w:eastAsia="宋体" w:cs="宋体"/>
          <w:b w:val="0"/>
          <w:bCs w:val="0"/>
          <w:i w:val="0"/>
          <w:iCs w:val="0"/>
          <w:caps w:val="0"/>
          <w:spacing w:val="0"/>
          <w:sz w:val="24"/>
          <w:szCs w:val="24"/>
          <w:highlight w:val="none"/>
          <w:shd w:val="clear" w:color="auto" w:fill="FFFFFF"/>
        </w:rPr>
        <w:t>人民币（大写）：</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元，￥</w:t>
      </w:r>
      <w:r>
        <w:rPr>
          <w:rFonts w:hint="eastAsia" w:ascii="宋体" w:hAnsi="宋体" w:eastAsia="宋体" w:cs="宋体"/>
          <w:b w:val="0"/>
          <w:bCs w:val="0"/>
          <w:i w:val="0"/>
          <w:iCs w:val="0"/>
          <w:caps w:val="0"/>
          <w:spacing w:val="0"/>
          <w:sz w:val="24"/>
          <w:szCs w:val="24"/>
          <w:highlight w:val="none"/>
          <w:u w:val="single"/>
          <w:shd w:val="clear" w:color="auto" w:fill="FFFFFF"/>
        </w:rPr>
        <w:t xml:space="preserve"> </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w:t>
      </w:r>
    </w:p>
    <w:p w14:paraId="370A3BE8">
      <w:pPr>
        <w:pStyle w:val="2"/>
        <w:keepNext w:val="0"/>
        <w:keepLines w:val="0"/>
        <w:pageBreakBefore w:val="0"/>
        <w:widowControl w:val="0"/>
        <w:kinsoku/>
        <w:wordWrap/>
        <w:overflowPunct/>
        <w:topLinePunct w:val="0"/>
        <w:autoSpaceDE/>
        <w:autoSpaceDN/>
        <w:bidi w:val="0"/>
        <w:adjustRightInd/>
        <w:snapToGrid/>
        <w:spacing w:before="0" w:line="360" w:lineRule="auto"/>
        <w:ind w:left="859" w:leftChars="200" w:hanging="379" w:hangingChars="158"/>
        <w:textAlignment w:val="auto"/>
        <w:rPr>
          <w:rFonts w:hint="eastAsia" w:ascii="宋体" w:hAnsi="宋体" w:eastAsia="宋体" w:cs="宋体"/>
          <w:b w:val="0"/>
          <w:bCs w:val="0"/>
          <w:i w:val="0"/>
          <w:iCs w:val="0"/>
          <w:caps w:val="0"/>
          <w:spacing w:val="0"/>
          <w:sz w:val="24"/>
          <w:szCs w:val="24"/>
          <w:highlight w:val="none"/>
          <w:shd w:val="clear" w:color="auto" w:fill="FFFFFF"/>
        </w:rPr>
      </w:pPr>
      <w:r>
        <w:rPr>
          <w:rFonts w:hint="eastAsia" w:ascii="宋体" w:hAnsi="宋体" w:eastAsia="宋体" w:cs="宋体"/>
          <w:b w:val="0"/>
          <w:bCs w:val="0"/>
          <w:i w:val="0"/>
          <w:iCs w:val="0"/>
          <w:caps w:val="0"/>
          <w:spacing w:val="0"/>
          <w:sz w:val="24"/>
          <w:szCs w:val="24"/>
          <w:highlight w:val="none"/>
          <w:shd w:val="clear" w:color="auto" w:fill="FFFFFF"/>
        </w:rPr>
        <w:t>服务总费用为人民币（大写）：</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元，￥</w:t>
      </w:r>
      <w:r>
        <w:rPr>
          <w:rFonts w:hint="eastAsia" w:ascii="宋体" w:hAnsi="宋体" w:eastAsia="宋体" w:cs="宋体"/>
          <w:b w:val="0"/>
          <w:bCs w:val="0"/>
          <w:i w:val="0"/>
          <w:iCs w:val="0"/>
          <w:caps w:val="0"/>
          <w:spacing w:val="0"/>
          <w:sz w:val="24"/>
          <w:szCs w:val="24"/>
          <w:highlight w:val="none"/>
          <w:u w:val="single"/>
          <w:shd w:val="clear" w:color="auto" w:fill="FFFFFF"/>
        </w:rPr>
        <w:t xml:space="preserve"> </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w:t>
      </w:r>
    </w:p>
    <w:p w14:paraId="6558DEAE">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支付方式：</w:t>
      </w:r>
    </w:p>
    <w:p w14:paraId="7448B878">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本项目采取预付资金和据实结算相结合模式。</w:t>
      </w:r>
    </w:p>
    <w:p w14:paraId="11A65CB1">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1）在签订承保协议后，先向承保保险公司预支付保险期金额保险费的50%，</w:t>
      </w:r>
    </w:p>
    <w:p w14:paraId="6610337D">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2）保险期结束后，根据当年理赔金额占保险费总额比例，确定保险费支付金额，具体标准如下：</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FCE9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77104FB8">
            <w:pPr>
              <w:pStyle w:val="12"/>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000000"/>
                <w:sz w:val="24"/>
                <w:szCs w:val="24"/>
                <w:highlight w:val="none"/>
                <w:vertAlign w:val="baseline"/>
                <w:lang w:val="en-US" w:eastAsia="zh-CN"/>
              </w:rPr>
            </w:pPr>
            <w:r>
              <w:rPr>
                <w:rFonts w:hint="eastAsia" w:ascii="宋体" w:hAnsi="宋体" w:eastAsia="宋体" w:cs="宋体"/>
                <w:b w:val="0"/>
                <w:bCs/>
                <w:color w:val="000000"/>
                <w:sz w:val="24"/>
                <w:szCs w:val="24"/>
                <w:highlight w:val="none"/>
                <w:vertAlign w:val="baseline"/>
                <w:lang w:val="en-US" w:eastAsia="zh-CN"/>
              </w:rPr>
              <w:t>当年理赔金额占保险费总额比例</w:t>
            </w:r>
          </w:p>
        </w:tc>
        <w:tc>
          <w:tcPr>
            <w:tcW w:w="2500" w:type="pct"/>
          </w:tcPr>
          <w:p w14:paraId="7228417C">
            <w:pPr>
              <w:pStyle w:val="12"/>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000000"/>
                <w:sz w:val="24"/>
                <w:szCs w:val="24"/>
                <w:highlight w:val="none"/>
                <w:vertAlign w:val="baseline"/>
                <w:lang w:val="en-US" w:eastAsia="zh-CN"/>
              </w:rPr>
            </w:pPr>
            <w:r>
              <w:rPr>
                <w:rFonts w:hint="eastAsia" w:ascii="宋体" w:hAnsi="宋体" w:eastAsia="宋体" w:cs="宋体"/>
                <w:b w:val="0"/>
                <w:bCs/>
                <w:color w:val="000000"/>
                <w:sz w:val="24"/>
                <w:szCs w:val="24"/>
                <w:highlight w:val="none"/>
                <w:vertAlign w:val="baseline"/>
                <w:lang w:val="en-US" w:eastAsia="zh-CN"/>
              </w:rPr>
              <w:t>支付保险费</w:t>
            </w:r>
          </w:p>
        </w:tc>
      </w:tr>
      <w:tr w14:paraId="4BCA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6F9A09C0">
            <w:pPr>
              <w:pStyle w:val="12"/>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000000"/>
                <w:sz w:val="24"/>
                <w:szCs w:val="24"/>
                <w:highlight w:val="none"/>
                <w:vertAlign w:val="baseline"/>
                <w:lang w:val="en-US" w:eastAsia="zh-CN"/>
              </w:rPr>
            </w:pPr>
            <w:r>
              <w:rPr>
                <w:rFonts w:hint="eastAsia" w:ascii="宋体" w:hAnsi="宋体" w:eastAsia="宋体" w:cs="宋体"/>
                <w:b w:val="0"/>
                <w:bCs/>
                <w:color w:val="000000"/>
                <w:sz w:val="24"/>
                <w:szCs w:val="24"/>
                <w:highlight w:val="none"/>
                <w:vertAlign w:val="baseline"/>
                <w:lang w:val="en-US" w:eastAsia="zh-CN"/>
              </w:rPr>
              <w:t>理赔金额占比≥80%</w:t>
            </w:r>
          </w:p>
        </w:tc>
        <w:tc>
          <w:tcPr>
            <w:tcW w:w="2500" w:type="pct"/>
          </w:tcPr>
          <w:p w14:paraId="366388F8">
            <w:pPr>
              <w:pStyle w:val="12"/>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000000"/>
                <w:sz w:val="24"/>
                <w:szCs w:val="24"/>
                <w:highlight w:val="none"/>
                <w:vertAlign w:val="baseline"/>
                <w:lang w:val="en-US" w:eastAsia="zh-CN"/>
              </w:rPr>
            </w:pPr>
            <w:r>
              <w:rPr>
                <w:rFonts w:hint="eastAsia" w:ascii="宋体" w:hAnsi="宋体" w:eastAsia="宋体" w:cs="宋体"/>
                <w:b w:val="0"/>
                <w:bCs/>
                <w:color w:val="000000"/>
                <w:sz w:val="24"/>
                <w:szCs w:val="24"/>
                <w:highlight w:val="none"/>
                <w:vertAlign w:val="baseline"/>
                <w:lang w:val="en-US" w:eastAsia="zh-CN"/>
              </w:rPr>
              <w:t>全额支付</w:t>
            </w:r>
          </w:p>
        </w:tc>
      </w:tr>
      <w:tr w14:paraId="17CA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72977A73">
            <w:pPr>
              <w:pStyle w:val="12"/>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000000"/>
                <w:sz w:val="24"/>
                <w:szCs w:val="24"/>
                <w:highlight w:val="none"/>
                <w:vertAlign w:val="baseline"/>
                <w:lang w:val="en-US" w:eastAsia="zh-CN"/>
              </w:rPr>
            </w:pPr>
            <w:r>
              <w:rPr>
                <w:rFonts w:hint="eastAsia" w:ascii="宋体" w:hAnsi="宋体" w:eastAsia="宋体" w:cs="宋体"/>
                <w:b w:val="0"/>
                <w:bCs/>
                <w:color w:val="000000"/>
                <w:sz w:val="24"/>
                <w:szCs w:val="24"/>
                <w:highlight w:val="none"/>
                <w:vertAlign w:val="baseline"/>
                <w:lang w:val="en-US" w:eastAsia="zh-CN"/>
              </w:rPr>
              <w:t>理赔金额占比＜80%</w:t>
            </w:r>
          </w:p>
        </w:tc>
        <w:tc>
          <w:tcPr>
            <w:tcW w:w="2500" w:type="pct"/>
          </w:tcPr>
          <w:p w14:paraId="492644D1">
            <w:pPr>
              <w:pStyle w:val="12"/>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000000"/>
                <w:sz w:val="24"/>
                <w:szCs w:val="24"/>
                <w:highlight w:val="none"/>
                <w:vertAlign w:val="baseline"/>
                <w:lang w:val="en-US" w:eastAsia="zh-CN"/>
              </w:rPr>
            </w:pPr>
            <w:r>
              <w:rPr>
                <w:rFonts w:hint="eastAsia" w:ascii="宋体" w:hAnsi="宋体" w:eastAsia="宋体" w:cs="宋体"/>
                <w:b w:val="0"/>
                <w:bCs/>
                <w:color w:val="000000"/>
                <w:sz w:val="24"/>
                <w:szCs w:val="24"/>
                <w:highlight w:val="none"/>
                <w:vertAlign w:val="baseline"/>
                <w:lang w:val="en-US" w:eastAsia="zh-CN"/>
              </w:rPr>
              <w:t>理赔金额×1.2</w:t>
            </w:r>
          </w:p>
        </w:tc>
      </w:tr>
      <w:tr w14:paraId="3BDF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5463E8C9">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val="0"/>
                <w:color w:val="000000"/>
                <w:sz w:val="24"/>
                <w:szCs w:val="24"/>
                <w:highlight w:val="none"/>
                <w:vertAlign w:val="baseline"/>
                <w:lang w:val="en-US" w:eastAsia="zh-CN"/>
              </w:rPr>
            </w:pPr>
            <w:r>
              <w:rPr>
                <w:rFonts w:hint="eastAsia" w:ascii="宋体" w:hAnsi="宋体" w:eastAsia="宋体" w:cs="宋体"/>
                <w:color w:val="000000"/>
                <w:sz w:val="24"/>
                <w:szCs w:val="24"/>
                <w:highlight w:val="none"/>
                <w:lang w:val="en-US" w:eastAsia="zh-CN"/>
              </w:rPr>
              <w:t>备注：当“理赔金额×1.2”不足全额保险费的50%的部分资金，承保保险公司返还民政部门。</w:t>
            </w:r>
          </w:p>
        </w:tc>
      </w:tr>
    </w:tbl>
    <w:p w14:paraId="53705D2F">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2、结算方式：银行转账</w:t>
      </w:r>
    </w:p>
    <w:p w14:paraId="2256238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cs="宋体"/>
          <w:kern w:val="0"/>
          <w:sz w:val="24"/>
          <w:szCs w:val="24"/>
          <w:highlight w:val="none"/>
          <w:lang w:val="en-US" w:eastAsia="zh-CN"/>
        </w:rPr>
        <w:t>3</w:t>
      </w:r>
      <w:r>
        <w:rPr>
          <w:rFonts w:hint="eastAsia" w:ascii="宋体" w:hAnsi="宋体" w:eastAsia="宋体" w:cs="宋体"/>
          <w:kern w:val="0"/>
          <w:sz w:val="24"/>
          <w:szCs w:val="24"/>
          <w:highlight w:val="none"/>
          <w:lang w:val="en-US" w:eastAsia="zh-CN"/>
        </w:rPr>
        <w:t>、</w:t>
      </w:r>
      <w:r>
        <w:rPr>
          <w:rFonts w:hint="eastAsia" w:ascii="宋体" w:hAnsi="宋体" w:eastAsia="宋体" w:cs="宋体"/>
          <w:kern w:val="0"/>
          <w:sz w:val="24"/>
          <w:szCs w:val="24"/>
          <w:highlight w:val="none"/>
        </w:rPr>
        <w:t>乙方收款账户</w:t>
      </w:r>
    </w:p>
    <w:p w14:paraId="5CF0C07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账户名称：                 </w:t>
      </w:r>
    </w:p>
    <w:p w14:paraId="1A4FEAD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开户银行：                  </w:t>
      </w:r>
    </w:p>
    <w:p w14:paraId="6D26E50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rPr>
        <w:t>银行账号：</w:t>
      </w:r>
      <w:r>
        <w:rPr>
          <w:rFonts w:hint="eastAsia" w:ascii="宋体" w:hAnsi="宋体" w:eastAsia="宋体" w:cs="宋体"/>
          <w:kern w:val="0"/>
          <w:sz w:val="24"/>
          <w:szCs w:val="24"/>
          <w:highlight w:val="none"/>
          <w:lang w:val="en-US" w:eastAsia="zh-CN"/>
        </w:rPr>
        <w:t xml:space="preserve">                  </w:t>
      </w:r>
    </w:p>
    <w:p w14:paraId="070BC6DA">
      <w:pPr>
        <w:keepNext w:val="0"/>
        <w:keepLines w:val="0"/>
        <w:pageBreakBefore w:val="0"/>
        <w:kinsoku/>
        <w:wordWrap/>
        <w:overflowPunct/>
        <w:topLinePunct w:val="0"/>
        <w:autoSpaceDE/>
        <w:autoSpaceDN/>
        <w:bidi w:val="0"/>
        <w:snapToGrid/>
        <w:spacing w:line="360" w:lineRule="auto"/>
        <w:ind w:firstLine="482" w:firstLineChars="200"/>
        <w:outlineLvl w:val="1"/>
        <w:rPr>
          <w:rFonts w:hint="eastAsia" w:ascii="宋体" w:hAnsi="宋体" w:eastAsia="宋体" w:cs="宋体"/>
          <w:b/>
          <w:color w:val="auto"/>
          <w:sz w:val="24"/>
          <w:szCs w:val="24"/>
          <w:highlight w:val="none"/>
        </w:rPr>
      </w:pPr>
      <w:bookmarkStart w:id="19" w:name="_Toc22959"/>
      <w:r>
        <w:rPr>
          <w:rFonts w:hint="eastAsia" w:ascii="宋体" w:hAnsi="宋体" w:eastAsia="宋体" w:cs="宋体"/>
          <w:b/>
          <w:color w:val="auto"/>
          <w:sz w:val="24"/>
          <w:szCs w:val="24"/>
          <w:highlight w:val="none"/>
        </w:rPr>
        <w:t>第五条  知识产权（若有）</w:t>
      </w:r>
      <w:bookmarkEnd w:id="19"/>
    </w:p>
    <w:p w14:paraId="708D5D15">
      <w:pPr>
        <w:keepNext w:val="0"/>
        <w:keepLines w:val="0"/>
        <w:pageBreakBefore w:val="0"/>
        <w:tabs>
          <w:tab w:val="left" w:pos="1440"/>
        </w:tabs>
        <w:kinsoku/>
        <w:wordWrap/>
        <w:overflowPunct/>
        <w:topLinePunct w:val="0"/>
        <w:autoSpaceDE/>
        <w:autoSpaceDN/>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p>
    <w:p w14:paraId="158E8805">
      <w:pPr>
        <w:keepNext w:val="0"/>
        <w:keepLines w:val="0"/>
        <w:pageBreakBefore w:val="0"/>
        <w:kinsoku/>
        <w:wordWrap/>
        <w:overflowPunct/>
        <w:topLinePunct w:val="0"/>
        <w:autoSpaceDE/>
        <w:autoSpaceDN/>
        <w:bidi w:val="0"/>
        <w:snapToGrid/>
        <w:spacing w:line="360" w:lineRule="auto"/>
        <w:ind w:firstLine="482" w:firstLineChars="200"/>
        <w:outlineLvl w:val="1"/>
        <w:rPr>
          <w:rFonts w:hint="eastAsia" w:ascii="宋体" w:hAnsi="宋体" w:eastAsia="宋体" w:cs="宋体"/>
          <w:b/>
          <w:color w:val="auto"/>
          <w:sz w:val="24"/>
          <w:szCs w:val="24"/>
          <w:highlight w:val="none"/>
        </w:rPr>
      </w:pPr>
      <w:bookmarkStart w:id="20" w:name="_Toc31647"/>
      <w:r>
        <w:rPr>
          <w:rFonts w:hint="eastAsia" w:ascii="宋体" w:hAnsi="宋体" w:eastAsia="宋体" w:cs="宋体"/>
          <w:b/>
          <w:color w:val="auto"/>
          <w:sz w:val="24"/>
          <w:szCs w:val="24"/>
          <w:highlight w:val="none"/>
        </w:rPr>
        <w:t>第六条  无产权瑕疵条款（如有）</w:t>
      </w:r>
      <w:bookmarkEnd w:id="20"/>
    </w:p>
    <w:p w14:paraId="0B639D65">
      <w:pPr>
        <w:keepNext w:val="0"/>
        <w:keepLines w:val="0"/>
        <w:pageBreakBefore w:val="0"/>
        <w:tabs>
          <w:tab w:val="left" w:pos="1440"/>
        </w:tabs>
        <w:kinsoku/>
        <w:wordWrap/>
        <w:overflowPunct/>
        <w:topLinePunct w:val="0"/>
        <w:autoSpaceDE/>
        <w:autoSpaceDN/>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10DBE831">
      <w:pPr>
        <w:keepNext w:val="0"/>
        <w:keepLines w:val="0"/>
        <w:pageBreakBefore w:val="0"/>
        <w:kinsoku/>
        <w:wordWrap/>
        <w:overflowPunct/>
        <w:topLinePunct w:val="0"/>
        <w:autoSpaceDE/>
        <w:autoSpaceDN/>
        <w:bidi w:val="0"/>
        <w:spacing w:line="360" w:lineRule="auto"/>
        <w:ind w:left="426"/>
        <w:rPr>
          <w:rFonts w:hint="eastAsia" w:hAnsi="宋体"/>
          <w:b/>
          <w:color w:val="000000"/>
          <w:sz w:val="24"/>
          <w:szCs w:val="24"/>
          <w:highlight w:val="none"/>
        </w:rPr>
      </w:pPr>
      <w:r>
        <w:rPr>
          <w:rFonts w:hint="eastAsia" w:hAnsi="宋体"/>
          <w:b/>
          <w:color w:val="000000"/>
          <w:sz w:val="24"/>
          <w:szCs w:val="24"/>
          <w:highlight w:val="none"/>
        </w:rPr>
        <w:t>第七条   履约保证金</w:t>
      </w:r>
    </w:p>
    <w:p w14:paraId="02067D17">
      <w:pPr>
        <w:keepNext w:val="0"/>
        <w:keepLines w:val="0"/>
        <w:pageBreakBefore w:val="0"/>
        <w:kinsoku/>
        <w:wordWrap/>
        <w:overflowPunct/>
        <w:topLinePunct w:val="0"/>
        <w:autoSpaceDE/>
        <w:autoSpaceDN/>
        <w:bidi w:val="0"/>
        <w:spacing w:line="360" w:lineRule="auto"/>
        <w:ind w:left="426"/>
        <w:rPr>
          <w:rFonts w:hint="eastAsia" w:hAnsi="宋体"/>
          <w:color w:val="000000"/>
          <w:sz w:val="24"/>
          <w:szCs w:val="24"/>
          <w:highlight w:val="none"/>
        </w:rPr>
      </w:pPr>
      <w:r>
        <w:rPr>
          <w:rFonts w:hint="eastAsia" w:hAnsi="宋体"/>
          <w:color w:val="000000"/>
          <w:sz w:val="24"/>
          <w:szCs w:val="24"/>
          <w:highlight w:val="none"/>
        </w:rPr>
        <w:t>不需要提供履约保证金。</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9187D9E">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1" w:name="_Toc16162"/>
      <w:r>
        <w:rPr>
          <w:rFonts w:hint="eastAsia" w:ascii="宋体" w:hAnsi="宋体" w:eastAsia="宋体" w:cs="宋体"/>
          <w:b/>
          <w:color w:val="auto"/>
          <w:sz w:val="24"/>
          <w:szCs w:val="24"/>
          <w:highlight w:val="none"/>
        </w:rPr>
        <w:t>第八条  甲方的权利和义务</w:t>
      </w:r>
      <w:bookmarkEnd w:id="21"/>
    </w:p>
    <w:p w14:paraId="0A4B95EA">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183941E0">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2.负责检查监督乙方管理工作的实施及制度的执行情况。</w:t>
      </w:r>
    </w:p>
    <w:p w14:paraId="480FB0AC">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3.根据本合同规定，按时向乙方支付应付服务费用。</w:t>
      </w:r>
    </w:p>
    <w:p w14:paraId="291F60E5">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4.国家法律、法规所规定由甲方承担的其它责任。</w:t>
      </w:r>
    </w:p>
    <w:p w14:paraId="5AD362E2">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2" w:name="_Toc27740"/>
      <w:r>
        <w:rPr>
          <w:rFonts w:hint="eastAsia" w:ascii="宋体" w:hAnsi="宋体" w:eastAsia="宋体" w:cs="宋体"/>
          <w:b/>
          <w:color w:val="auto"/>
          <w:sz w:val="24"/>
          <w:szCs w:val="24"/>
          <w:highlight w:val="none"/>
        </w:rPr>
        <w:t>第九条  乙方的权利和义务</w:t>
      </w:r>
      <w:bookmarkEnd w:id="22"/>
    </w:p>
    <w:p w14:paraId="6CEC5A23">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1.对本合同规定的委托服务范围内的项目享有管理权及服务义务。</w:t>
      </w:r>
    </w:p>
    <w:p w14:paraId="49AF728B">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2.根据本合同的规定向甲方收取相关服务费用，并有权在本项目管理范围内管理及合理使用。</w:t>
      </w:r>
    </w:p>
    <w:p w14:paraId="0F561DCE">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1C491FAA">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Cs/>
          <w:color w:val="auto"/>
          <w:sz w:val="24"/>
          <w:szCs w:val="24"/>
          <w:highlight w:val="none"/>
        </w:rPr>
        <w:t>接受项目行业管理部门及政府有关部门的指导，接受甲方的监督。</w:t>
      </w:r>
    </w:p>
    <w:p w14:paraId="241A4E49">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5.国家法律、法规所规定由乙方承担的其它责任。</w:t>
      </w:r>
    </w:p>
    <w:p w14:paraId="46AF3AEF">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3" w:name="_Toc25988"/>
      <w:r>
        <w:rPr>
          <w:rFonts w:hint="eastAsia" w:ascii="宋体" w:hAnsi="宋体" w:eastAsia="宋体" w:cs="宋体"/>
          <w:b/>
          <w:color w:val="auto"/>
          <w:sz w:val="24"/>
          <w:szCs w:val="24"/>
          <w:highlight w:val="none"/>
        </w:rPr>
        <w:t>第十条  违约责任</w:t>
      </w:r>
      <w:bookmarkEnd w:id="23"/>
    </w:p>
    <w:p w14:paraId="6EA916DF">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1.甲乙双方必须遵守本合同并执行合同中的各项规定，保证本合同的正常履行。</w:t>
      </w:r>
    </w:p>
    <w:p w14:paraId="42FBE12D">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47B581B">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24" w:name="_Toc26448"/>
      <w:bookmarkStart w:id="25" w:name="_Toc225670756"/>
      <w:bookmarkStart w:id="26" w:name="_Toc185395254"/>
      <w:bookmarkStart w:id="27" w:name="_Toc247334846"/>
      <w:bookmarkStart w:id="28" w:name="_Toc251768867"/>
      <w:bookmarkStart w:id="29" w:name="_Toc211911353"/>
      <w:bookmarkStart w:id="30" w:name="_Toc212019599"/>
      <w:bookmarkStart w:id="31" w:name="_Toc232492933"/>
      <w:bookmarkStart w:id="32" w:name="_Toc238984980"/>
      <w:bookmarkStart w:id="33" w:name="_Toc286993792"/>
      <w:bookmarkStart w:id="34" w:name="_Toc225244857"/>
      <w:bookmarkStart w:id="35" w:name="_Toc225654649"/>
      <w:bookmarkStart w:id="36" w:name="_Toc239233919"/>
      <w:bookmarkStart w:id="37" w:name="_Toc211854454"/>
      <w:bookmarkStart w:id="38" w:name="_Toc237145411"/>
      <w:bookmarkStart w:id="39" w:name="_Toc239568423"/>
      <w:bookmarkStart w:id="40" w:name="_Toc241833908"/>
      <w:r>
        <w:rPr>
          <w:rFonts w:hint="eastAsia" w:ascii="宋体" w:hAnsi="宋体" w:eastAsia="宋体" w:cs="宋体"/>
          <w:b/>
          <w:sz w:val="24"/>
          <w:szCs w:val="24"/>
          <w:highlight w:val="none"/>
        </w:rPr>
        <w:t>第十一条  不可抗力事件处理</w:t>
      </w:r>
      <w:bookmarkEnd w:id="24"/>
    </w:p>
    <w:p w14:paraId="4744B096">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1.在合同有效期内，任何一方因不可抗力事件导致不能履行合同，则合同履行期可延长，其延长期与不可抗力影响期相同。</w:t>
      </w:r>
    </w:p>
    <w:p w14:paraId="2DA4B251">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2.不可抗力事件发生后，应立即通知对方，并寄送有关权威机构出具的证明。</w:t>
      </w:r>
    </w:p>
    <w:p w14:paraId="5BE94D56">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3.不可抗力事件延续</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天以上，双方应通过友好协商，确定是否继续履行合同。</w:t>
      </w:r>
    </w:p>
    <w:p w14:paraId="2A12E24C">
      <w:pPr>
        <w:keepNext w:val="0"/>
        <w:keepLines w:val="0"/>
        <w:pageBreakBefore w:val="0"/>
        <w:widowControl/>
        <w:kinsoku/>
        <w:wordWrap/>
        <w:overflowPunct/>
        <w:topLinePunct w:val="0"/>
        <w:autoSpaceDE/>
        <w:autoSpaceDN/>
        <w:bidi w:val="0"/>
        <w:snapToGrid/>
        <w:spacing w:line="360" w:lineRule="auto"/>
        <w:ind w:firstLine="482" w:firstLineChars="200"/>
        <w:jc w:val="left"/>
        <w:outlineLvl w:val="1"/>
        <w:rPr>
          <w:rFonts w:hint="eastAsia" w:ascii="宋体" w:hAnsi="宋体" w:eastAsia="宋体" w:cs="宋体"/>
          <w:kern w:val="0"/>
          <w:sz w:val="24"/>
          <w:szCs w:val="24"/>
          <w:highlight w:val="none"/>
        </w:rPr>
      </w:pPr>
      <w:bookmarkStart w:id="41" w:name="_Toc20448"/>
      <w:r>
        <w:rPr>
          <w:rFonts w:hint="eastAsia" w:ascii="宋体" w:hAnsi="宋体" w:eastAsia="宋体" w:cs="宋体"/>
          <w:b/>
          <w:sz w:val="24"/>
          <w:szCs w:val="24"/>
          <w:highlight w:val="none"/>
        </w:rPr>
        <w:t xml:space="preserve">第十二条  </w:t>
      </w:r>
      <w:r>
        <w:rPr>
          <w:rFonts w:hint="eastAsia" w:ascii="宋体" w:hAnsi="宋体" w:eastAsia="宋体" w:cs="宋体"/>
          <w:b/>
          <w:kern w:val="0"/>
          <w:sz w:val="24"/>
          <w:szCs w:val="24"/>
          <w:highlight w:val="none"/>
        </w:rPr>
        <w:t>合同的变更和终止</w:t>
      </w:r>
      <w:bookmarkEnd w:id="41"/>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71E0503">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bookmarkStart w:id="42" w:name="_Toc239568424"/>
      <w:bookmarkStart w:id="43" w:name="_Toc286993793"/>
      <w:bookmarkStart w:id="44" w:name="_Toc251768868"/>
      <w:bookmarkStart w:id="45" w:name="_Toc282696231"/>
      <w:bookmarkStart w:id="46" w:name="_Toc211911354"/>
      <w:bookmarkStart w:id="47" w:name="_Toc225654650"/>
      <w:bookmarkStart w:id="48" w:name="_Toc225244858"/>
      <w:bookmarkStart w:id="49" w:name="_Toc211854455"/>
      <w:bookmarkStart w:id="50" w:name="_Toc239233920"/>
      <w:bookmarkStart w:id="51" w:name="_Toc225670757"/>
      <w:bookmarkStart w:id="52" w:name="_Toc185395255"/>
      <w:bookmarkStart w:id="53" w:name="_Toc247334847"/>
      <w:bookmarkStart w:id="54" w:name="_Toc232492934"/>
      <w:bookmarkStart w:id="55" w:name="_Toc212019600"/>
      <w:bookmarkStart w:id="56" w:name="_Toc283019219"/>
      <w:bookmarkStart w:id="57" w:name="_Toc241833909"/>
      <w:bookmarkStart w:id="58" w:name="_Toc237145412"/>
      <w:bookmarkStart w:id="59" w:name="_Toc238984981"/>
      <w:r>
        <w:rPr>
          <w:rFonts w:hint="eastAsia" w:ascii="宋体" w:hAnsi="宋体" w:eastAsia="宋体" w:cs="宋体"/>
          <w:kern w:val="0"/>
          <w:sz w:val="24"/>
          <w:szCs w:val="24"/>
          <w:highlight w:val="none"/>
        </w:rPr>
        <w:t>除《中华人民共和国政府采购法》第49条、第50条第二款规定的情形外，本合同一经签订，甲乙双方不得擅自变更、中止或终止合同。</w:t>
      </w:r>
    </w:p>
    <w:p w14:paraId="3FCA493E">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60" w:name="_Toc32004"/>
      <w:r>
        <w:rPr>
          <w:rFonts w:hint="eastAsia" w:ascii="宋体" w:hAnsi="宋体" w:eastAsia="宋体" w:cs="宋体"/>
          <w:b/>
          <w:sz w:val="24"/>
          <w:szCs w:val="24"/>
          <w:highlight w:val="none"/>
        </w:rPr>
        <w:t>第十三条  解决合同纠纷的方式</w:t>
      </w:r>
      <w:bookmarkEnd w:id="60"/>
    </w:p>
    <w:p w14:paraId="2392A5B0">
      <w:pPr>
        <w:pStyle w:val="10"/>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1、在执行本合同中发生的或与本合同有关的争端，双方应通过友好协商解决，经协商在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天内不能达成协议时，</w:t>
      </w:r>
      <w:r>
        <w:rPr>
          <w:rFonts w:hint="eastAsia" w:ascii="宋体" w:hAnsi="宋体" w:eastAsia="宋体" w:cs="宋体"/>
          <w:kern w:val="0"/>
          <w:sz w:val="24"/>
          <w:szCs w:val="24"/>
          <w:highlight w:val="none"/>
        </w:rPr>
        <w:t>则采取以下第</w:t>
      </w:r>
      <w:r>
        <w:rPr>
          <w:rFonts w:hint="eastAsia" w:ascii="宋体" w:hAnsi="宋体" w:eastAsia="宋体" w:cs="宋体"/>
          <w:kern w:val="0"/>
          <w:sz w:val="24"/>
          <w:szCs w:val="24"/>
          <w:highlight w:val="none"/>
          <w:u w:val="single"/>
        </w:rPr>
        <w:t xml:space="preserve"> 1 </w:t>
      </w:r>
      <w:r>
        <w:rPr>
          <w:rFonts w:hint="eastAsia" w:ascii="宋体" w:hAnsi="宋体" w:eastAsia="宋体" w:cs="宋体"/>
          <w:kern w:val="0"/>
          <w:sz w:val="24"/>
          <w:szCs w:val="24"/>
          <w:highlight w:val="none"/>
        </w:rPr>
        <w:t>种方式解决争议：</w:t>
      </w:r>
    </w:p>
    <w:p w14:paraId="5D5DFA25">
      <w:pPr>
        <w:pStyle w:val="10"/>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（1）向甲方所在地有管辖权的人民法院提起诉讼；</w:t>
      </w:r>
    </w:p>
    <w:p w14:paraId="52B3DEAA">
      <w:pPr>
        <w:pStyle w:val="10"/>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（2）向</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仲裁委员会按其仲裁规则申请仲裁。</w:t>
      </w:r>
    </w:p>
    <w:p w14:paraId="13CBE098">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2、在仲裁期间，本合同应继续履行。</w:t>
      </w: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E37F890">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61" w:name="_Toc28433"/>
      <w:r>
        <w:rPr>
          <w:rFonts w:hint="eastAsia" w:ascii="宋体" w:hAnsi="宋体" w:eastAsia="宋体" w:cs="宋体"/>
          <w:b/>
          <w:sz w:val="24"/>
          <w:szCs w:val="24"/>
          <w:highlight w:val="none"/>
        </w:rPr>
        <w:t>第十四条  合同生效及其他</w:t>
      </w:r>
      <w:bookmarkEnd w:id="61"/>
    </w:p>
    <w:p w14:paraId="73560A7C">
      <w:pPr>
        <w:pStyle w:val="11"/>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1、合同经双方法定代表人（单位负责人）或授权委托代理人签字并加盖单位公章并由采购代理机构盖章后生效。</w:t>
      </w:r>
    </w:p>
    <w:p w14:paraId="0505D0EA">
      <w:pPr>
        <w:pStyle w:val="11"/>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331B4813">
      <w:pPr>
        <w:pStyle w:val="11"/>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w:t>
      </w:r>
      <w:r>
        <w:rPr>
          <w:rFonts w:hint="eastAsia" w:ascii="宋体" w:hAnsi="宋体" w:eastAsia="宋体" w:cs="宋体"/>
          <w:sz w:val="24"/>
          <w:szCs w:val="24"/>
          <w:highlight w:val="none"/>
          <w:lang w:val="en-US" w:eastAsia="zh-CN"/>
        </w:rPr>
        <w:t>陆</w:t>
      </w:r>
      <w:r>
        <w:rPr>
          <w:rFonts w:hint="eastAsia" w:ascii="宋体" w:hAnsi="宋体" w:eastAsia="宋体" w:cs="宋体"/>
          <w:sz w:val="24"/>
          <w:szCs w:val="24"/>
          <w:highlight w:val="none"/>
        </w:rPr>
        <w:t>份，自双方签章之日起起效。甲方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份，乙方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份，政府采购代理机构壹份，同级财政部门备案壹份，具有同等法律效力。</w:t>
      </w:r>
    </w:p>
    <w:p w14:paraId="1565CA1C">
      <w:pPr>
        <w:pStyle w:val="11"/>
        <w:keepNext w:val="0"/>
        <w:keepLines w:val="0"/>
        <w:pageBreakBefore w:val="0"/>
        <w:kinsoku/>
        <w:wordWrap/>
        <w:overflowPunct/>
        <w:topLinePunct w:val="0"/>
        <w:autoSpaceDE/>
        <w:autoSpaceDN/>
        <w:bidi w:val="0"/>
        <w:snapToGrid/>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第十五条 附件</w:t>
      </w:r>
    </w:p>
    <w:p w14:paraId="59D38F97">
      <w:pPr>
        <w:pStyle w:val="11"/>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1、项目采购文件</w:t>
      </w:r>
    </w:p>
    <w:p w14:paraId="4698F06A">
      <w:pPr>
        <w:pStyle w:val="11"/>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2、项目修改澄清文件</w:t>
      </w:r>
    </w:p>
    <w:p w14:paraId="44073AC3">
      <w:pPr>
        <w:pStyle w:val="11"/>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3、项目响应文件</w:t>
      </w:r>
    </w:p>
    <w:p w14:paraId="552A6FDD">
      <w:pPr>
        <w:pStyle w:val="11"/>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4、成交通知书</w:t>
      </w:r>
    </w:p>
    <w:p w14:paraId="6619A92C">
      <w:pPr>
        <w:pStyle w:val="11"/>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207A7876">
      <w:pPr>
        <w:keepNext w:val="0"/>
        <w:keepLines w:val="0"/>
        <w:pageBreakBefore w:val="0"/>
        <w:kinsoku/>
        <w:wordWrap/>
        <w:overflowPunct/>
        <w:topLinePunct w:val="0"/>
        <w:autoSpaceDE/>
        <w:autoSpaceDN/>
        <w:bidi w:val="0"/>
        <w:spacing w:line="360" w:lineRule="auto"/>
        <w:rPr>
          <w:rFonts w:hint="eastAsia" w:hAnsi="宋体"/>
          <w:b/>
          <w:bCs/>
          <w:color w:val="000000"/>
          <w:kern w:val="2"/>
          <w:sz w:val="24"/>
          <w:szCs w:val="24"/>
          <w:highlight w:val="none"/>
          <w:lang w:val="en-US" w:eastAsia="zh-CN"/>
        </w:rPr>
      </w:pPr>
      <w:r>
        <w:rPr>
          <w:rFonts w:hint="eastAsia" w:hAnsi="宋体"/>
          <w:b/>
          <w:bCs/>
          <w:color w:val="000000"/>
          <w:kern w:val="2"/>
          <w:sz w:val="24"/>
          <w:szCs w:val="24"/>
          <w:highlight w:val="none"/>
          <w:lang w:val="en-US" w:eastAsia="zh-CN"/>
        </w:rPr>
        <w:br w:type="page"/>
      </w:r>
    </w:p>
    <w:p w14:paraId="2C2AD885">
      <w:pPr>
        <w:pStyle w:val="11"/>
        <w:keepNext w:val="0"/>
        <w:keepLines w:val="0"/>
        <w:pageBreakBefore w:val="0"/>
        <w:kinsoku/>
        <w:wordWrap/>
        <w:overflowPunct/>
        <w:topLinePunct w:val="0"/>
        <w:autoSpaceDE/>
        <w:autoSpaceDN/>
        <w:bidi w:val="0"/>
        <w:snapToGrid/>
        <w:spacing w:line="360" w:lineRule="auto"/>
        <w:ind w:left="0" w:leftChars="0"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（以下无正文）</w:t>
      </w:r>
    </w:p>
    <w:p w14:paraId="011643D3">
      <w:pPr>
        <w:pStyle w:val="4"/>
        <w:keepNext w:val="0"/>
        <w:keepLines w:val="0"/>
        <w:pageBreakBefore w:val="0"/>
        <w:kinsoku/>
        <w:wordWrap/>
        <w:overflowPunct/>
        <w:topLinePunct w:val="0"/>
        <w:autoSpaceDE/>
        <w:autoSpaceDN/>
        <w:bidi w:val="0"/>
        <w:spacing w:line="360" w:lineRule="auto"/>
        <w:rPr>
          <w:rFonts w:hint="eastAsia" w:hAnsi="宋体"/>
          <w:b/>
          <w:bCs/>
          <w:color w:val="000000"/>
          <w:sz w:val="24"/>
          <w:szCs w:val="24"/>
          <w:highlight w:val="none"/>
        </w:rPr>
      </w:pPr>
    </w:p>
    <w:p w14:paraId="5D733477">
      <w:pPr>
        <w:keepNext w:val="0"/>
        <w:keepLines w:val="0"/>
        <w:pageBreakBefore w:val="0"/>
        <w:kinsoku/>
        <w:wordWrap/>
        <w:overflowPunct/>
        <w:topLinePunct w:val="0"/>
        <w:autoSpaceDE/>
        <w:autoSpaceDN/>
        <w:bidi w:val="0"/>
        <w:spacing w:line="360" w:lineRule="auto"/>
        <w:ind w:firstLine="480" w:firstLineChars="200"/>
        <w:rPr>
          <w:rFonts w:hAnsi="宋体"/>
          <w:color w:val="000000"/>
          <w:sz w:val="24"/>
          <w:szCs w:val="24"/>
          <w:highlight w:val="none"/>
        </w:rPr>
      </w:pPr>
      <w:r>
        <w:rPr>
          <w:rFonts w:hint="eastAsia" w:hAnsi="宋体"/>
          <w:color w:val="000000"/>
          <w:sz w:val="24"/>
          <w:szCs w:val="24"/>
          <w:highlight w:val="none"/>
        </w:rPr>
        <w:t>甲方：   （盖章）</w:t>
      </w:r>
      <w:r>
        <w:rPr>
          <w:rFonts w:hAnsi="宋体"/>
          <w:color w:val="000000"/>
          <w:sz w:val="24"/>
          <w:szCs w:val="24"/>
          <w:highlight w:val="none"/>
        </w:rPr>
        <w:t xml:space="preserve">   </w:t>
      </w:r>
      <w:r>
        <w:rPr>
          <w:rFonts w:hAnsi="宋体"/>
          <w:color w:val="000000"/>
          <w:sz w:val="24"/>
          <w:szCs w:val="24"/>
          <w:highlight w:val="none"/>
        </w:rPr>
        <w:tab/>
      </w:r>
      <w:r>
        <w:rPr>
          <w:rFonts w:hAnsi="宋体"/>
          <w:color w:val="000000"/>
          <w:sz w:val="24"/>
          <w:szCs w:val="24"/>
          <w:highlight w:val="none"/>
        </w:rPr>
        <w:tab/>
      </w:r>
      <w:r>
        <w:rPr>
          <w:rFonts w:hAnsi="宋体"/>
          <w:color w:val="000000"/>
          <w:sz w:val="24"/>
          <w:szCs w:val="24"/>
          <w:highlight w:val="none"/>
        </w:rPr>
        <w:tab/>
      </w:r>
      <w:r>
        <w:rPr>
          <w:rFonts w:hAnsi="宋体"/>
          <w:color w:val="000000"/>
          <w:sz w:val="24"/>
          <w:szCs w:val="24"/>
          <w:highlight w:val="none"/>
        </w:rPr>
        <w:t xml:space="preserve">    </w:t>
      </w:r>
      <w:r>
        <w:rPr>
          <w:rFonts w:hint="eastAsia" w:hAnsi="宋体"/>
          <w:color w:val="000000"/>
          <w:sz w:val="24"/>
          <w:szCs w:val="24"/>
          <w:highlight w:val="none"/>
        </w:rPr>
        <w:t xml:space="preserve">       </w:t>
      </w:r>
      <w:r>
        <w:rPr>
          <w:rFonts w:hint="eastAsia" w:hAnsi="宋体"/>
          <w:color w:val="000000"/>
          <w:sz w:val="24"/>
          <w:szCs w:val="24"/>
          <w:highlight w:val="none"/>
          <w:lang w:val="en-US" w:eastAsia="zh-CN"/>
        </w:rPr>
        <w:t xml:space="preserve"> </w:t>
      </w:r>
      <w:r>
        <w:rPr>
          <w:rFonts w:hint="eastAsia" w:hAnsi="宋体"/>
          <w:color w:val="000000"/>
          <w:sz w:val="24"/>
          <w:szCs w:val="24"/>
          <w:highlight w:val="none"/>
        </w:rPr>
        <w:t>乙方：</w:t>
      </w:r>
      <w:r>
        <w:rPr>
          <w:rFonts w:hAnsi="宋体"/>
          <w:color w:val="000000"/>
          <w:sz w:val="24"/>
          <w:szCs w:val="24"/>
          <w:highlight w:val="none"/>
        </w:rPr>
        <w:t xml:space="preserve">   </w:t>
      </w:r>
      <w:r>
        <w:rPr>
          <w:rFonts w:hint="eastAsia" w:hAnsi="宋体"/>
          <w:color w:val="000000"/>
          <w:sz w:val="24"/>
          <w:szCs w:val="24"/>
          <w:highlight w:val="none"/>
        </w:rPr>
        <w:t>（盖章）</w:t>
      </w:r>
    </w:p>
    <w:p w14:paraId="49DBFDE5">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法定代表人（单位负责人）：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法定代表人（单位负责人）：</w:t>
      </w:r>
    </w:p>
    <w:p w14:paraId="188E005E">
      <w:pPr>
        <w:keepNext w:val="0"/>
        <w:keepLines w:val="0"/>
        <w:pageBreakBefore w:val="0"/>
        <w:kinsoku/>
        <w:wordWrap/>
        <w:overflowPunct/>
        <w:topLinePunct w:val="0"/>
        <w:autoSpaceDE/>
        <w:autoSpaceDN/>
        <w:bidi w:val="0"/>
        <w:spacing w:line="360" w:lineRule="auto"/>
        <w:ind w:firstLine="480" w:firstLineChars="200"/>
        <w:rPr>
          <w:rFonts w:hAnsi="宋体"/>
          <w:color w:val="000000"/>
          <w:sz w:val="24"/>
          <w:szCs w:val="24"/>
          <w:highlight w:val="none"/>
        </w:rPr>
      </w:pPr>
      <w:r>
        <w:rPr>
          <w:rFonts w:hint="eastAsia" w:hAnsi="宋体"/>
          <w:color w:val="000000"/>
          <w:sz w:val="24"/>
          <w:szCs w:val="24"/>
          <w:highlight w:val="none"/>
        </w:rPr>
        <w:t>地</w:t>
      </w:r>
      <w:r>
        <w:rPr>
          <w:rFonts w:hAnsi="宋体"/>
          <w:color w:val="000000"/>
          <w:sz w:val="24"/>
          <w:szCs w:val="24"/>
          <w:highlight w:val="none"/>
        </w:rPr>
        <w:t xml:space="preserve">    </w:t>
      </w:r>
      <w:r>
        <w:rPr>
          <w:rFonts w:hint="eastAsia" w:hAnsi="宋体"/>
          <w:color w:val="000000"/>
          <w:sz w:val="24"/>
          <w:szCs w:val="24"/>
          <w:highlight w:val="none"/>
        </w:rPr>
        <w:t>址：</w:t>
      </w:r>
      <w:r>
        <w:rPr>
          <w:rFonts w:hAnsi="宋体"/>
          <w:color w:val="000000"/>
          <w:sz w:val="24"/>
          <w:szCs w:val="24"/>
          <w:highlight w:val="none"/>
        </w:rPr>
        <w:t xml:space="preserve">                         </w:t>
      </w:r>
      <w:r>
        <w:rPr>
          <w:rFonts w:hint="eastAsia" w:hAnsi="宋体"/>
          <w:color w:val="000000"/>
          <w:sz w:val="24"/>
          <w:szCs w:val="24"/>
          <w:highlight w:val="none"/>
        </w:rPr>
        <w:t xml:space="preserve">    地</w:t>
      </w:r>
      <w:r>
        <w:rPr>
          <w:rFonts w:hAnsi="宋体"/>
          <w:color w:val="000000"/>
          <w:sz w:val="24"/>
          <w:szCs w:val="24"/>
          <w:highlight w:val="none"/>
        </w:rPr>
        <w:t xml:space="preserve">    </w:t>
      </w:r>
      <w:r>
        <w:rPr>
          <w:rFonts w:hint="eastAsia" w:hAnsi="宋体"/>
          <w:color w:val="000000"/>
          <w:sz w:val="24"/>
          <w:szCs w:val="24"/>
          <w:highlight w:val="none"/>
        </w:rPr>
        <w:t>址：</w:t>
      </w:r>
    </w:p>
    <w:p w14:paraId="0B278952">
      <w:pPr>
        <w:keepNext w:val="0"/>
        <w:keepLines w:val="0"/>
        <w:pageBreakBefore w:val="0"/>
        <w:kinsoku/>
        <w:wordWrap/>
        <w:overflowPunct/>
        <w:topLinePunct w:val="0"/>
        <w:autoSpaceDE/>
        <w:autoSpaceDN/>
        <w:bidi w:val="0"/>
        <w:spacing w:line="360" w:lineRule="auto"/>
        <w:ind w:firstLine="480" w:firstLineChars="200"/>
        <w:rPr>
          <w:rFonts w:hAnsi="宋体"/>
          <w:color w:val="000000"/>
          <w:sz w:val="24"/>
          <w:szCs w:val="24"/>
          <w:highlight w:val="none"/>
        </w:rPr>
      </w:pPr>
      <w:r>
        <w:rPr>
          <w:rFonts w:hint="eastAsia" w:hAnsi="宋体"/>
          <w:color w:val="000000"/>
          <w:sz w:val="24"/>
          <w:szCs w:val="24"/>
          <w:highlight w:val="none"/>
        </w:rPr>
        <w:t>开户银行：</w:t>
      </w:r>
      <w:r>
        <w:rPr>
          <w:rFonts w:hAnsi="宋体"/>
          <w:color w:val="000000"/>
          <w:sz w:val="24"/>
          <w:szCs w:val="24"/>
          <w:highlight w:val="none"/>
        </w:rPr>
        <w:t xml:space="preserve">                         </w:t>
      </w:r>
      <w:r>
        <w:rPr>
          <w:rFonts w:hint="eastAsia" w:hAnsi="宋体"/>
          <w:color w:val="000000"/>
          <w:sz w:val="24"/>
          <w:szCs w:val="24"/>
          <w:highlight w:val="none"/>
        </w:rPr>
        <w:t xml:space="preserve">    开户银行：</w:t>
      </w:r>
    </w:p>
    <w:p w14:paraId="44828195">
      <w:pPr>
        <w:keepNext w:val="0"/>
        <w:keepLines w:val="0"/>
        <w:pageBreakBefore w:val="0"/>
        <w:kinsoku/>
        <w:wordWrap/>
        <w:overflowPunct/>
        <w:topLinePunct w:val="0"/>
        <w:autoSpaceDE/>
        <w:autoSpaceDN/>
        <w:bidi w:val="0"/>
        <w:spacing w:line="360" w:lineRule="auto"/>
        <w:ind w:firstLine="480" w:firstLineChars="200"/>
        <w:rPr>
          <w:rFonts w:hAnsi="宋体"/>
          <w:color w:val="000000"/>
          <w:sz w:val="24"/>
          <w:szCs w:val="24"/>
          <w:highlight w:val="none"/>
        </w:rPr>
      </w:pPr>
      <w:r>
        <w:rPr>
          <w:rFonts w:hint="eastAsia" w:hAnsi="宋体"/>
          <w:color w:val="000000"/>
          <w:sz w:val="24"/>
          <w:szCs w:val="24"/>
          <w:highlight w:val="none"/>
        </w:rPr>
        <w:t>账号：</w:t>
      </w:r>
      <w:r>
        <w:rPr>
          <w:rFonts w:hAnsi="宋体"/>
          <w:color w:val="000000"/>
          <w:sz w:val="24"/>
          <w:szCs w:val="24"/>
          <w:highlight w:val="none"/>
        </w:rPr>
        <w:t xml:space="preserve">                             </w:t>
      </w:r>
      <w:r>
        <w:rPr>
          <w:rFonts w:hint="eastAsia" w:hAnsi="宋体"/>
          <w:color w:val="000000"/>
          <w:sz w:val="24"/>
          <w:szCs w:val="24"/>
          <w:highlight w:val="none"/>
        </w:rPr>
        <w:t xml:space="preserve">    账号：</w:t>
      </w:r>
    </w:p>
    <w:p w14:paraId="08F5CD19">
      <w:pPr>
        <w:keepNext w:val="0"/>
        <w:keepLines w:val="0"/>
        <w:pageBreakBefore w:val="0"/>
        <w:kinsoku/>
        <w:wordWrap/>
        <w:overflowPunct/>
        <w:topLinePunct w:val="0"/>
        <w:autoSpaceDE/>
        <w:autoSpaceDN/>
        <w:bidi w:val="0"/>
        <w:spacing w:line="360" w:lineRule="auto"/>
        <w:ind w:firstLine="480" w:firstLineChars="200"/>
        <w:rPr>
          <w:rFonts w:hAnsi="宋体"/>
          <w:color w:val="000000"/>
          <w:sz w:val="24"/>
          <w:szCs w:val="24"/>
          <w:highlight w:val="none"/>
        </w:rPr>
      </w:pPr>
      <w:r>
        <w:rPr>
          <w:rFonts w:hint="eastAsia" w:hAnsi="宋体"/>
          <w:color w:val="000000"/>
          <w:sz w:val="24"/>
          <w:szCs w:val="24"/>
          <w:highlight w:val="none"/>
        </w:rPr>
        <w:t>电</w:t>
      </w:r>
      <w:r>
        <w:rPr>
          <w:rFonts w:hAnsi="宋体"/>
          <w:color w:val="000000"/>
          <w:sz w:val="24"/>
          <w:szCs w:val="24"/>
          <w:highlight w:val="none"/>
        </w:rPr>
        <w:t xml:space="preserve">    </w:t>
      </w:r>
      <w:r>
        <w:rPr>
          <w:rFonts w:hint="eastAsia" w:hAnsi="宋体"/>
          <w:color w:val="000000"/>
          <w:sz w:val="24"/>
          <w:szCs w:val="24"/>
          <w:highlight w:val="none"/>
        </w:rPr>
        <w:t>话：</w:t>
      </w:r>
      <w:r>
        <w:rPr>
          <w:rFonts w:hAnsi="宋体"/>
          <w:color w:val="000000"/>
          <w:sz w:val="24"/>
          <w:szCs w:val="24"/>
          <w:highlight w:val="none"/>
        </w:rPr>
        <w:t xml:space="preserve">                        </w:t>
      </w:r>
      <w:r>
        <w:rPr>
          <w:rFonts w:hint="eastAsia" w:hAnsi="宋体"/>
          <w:color w:val="000000"/>
          <w:sz w:val="24"/>
          <w:szCs w:val="24"/>
          <w:highlight w:val="none"/>
        </w:rPr>
        <w:t xml:space="preserve">   </w:t>
      </w:r>
      <w:r>
        <w:rPr>
          <w:rFonts w:hAnsi="宋体"/>
          <w:color w:val="000000"/>
          <w:sz w:val="24"/>
          <w:szCs w:val="24"/>
          <w:highlight w:val="none"/>
        </w:rPr>
        <w:t xml:space="preserve"> </w:t>
      </w:r>
      <w:r>
        <w:rPr>
          <w:rFonts w:hint="eastAsia" w:hAnsi="宋体"/>
          <w:color w:val="000000"/>
          <w:sz w:val="24"/>
          <w:szCs w:val="24"/>
          <w:highlight w:val="none"/>
        </w:rPr>
        <w:t xml:space="preserve"> 电</w:t>
      </w:r>
      <w:r>
        <w:rPr>
          <w:rFonts w:hAnsi="宋体"/>
          <w:color w:val="000000"/>
          <w:sz w:val="24"/>
          <w:szCs w:val="24"/>
          <w:highlight w:val="none"/>
        </w:rPr>
        <w:t xml:space="preserve">    </w:t>
      </w:r>
      <w:r>
        <w:rPr>
          <w:rFonts w:hint="eastAsia" w:hAnsi="宋体"/>
          <w:color w:val="000000"/>
          <w:sz w:val="24"/>
          <w:szCs w:val="24"/>
          <w:highlight w:val="none"/>
        </w:rPr>
        <w:t>话：</w:t>
      </w:r>
    </w:p>
    <w:p w14:paraId="2C953E9A">
      <w:pPr>
        <w:keepNext w:val="0"/>
        <w:keepLines w:val="0"/>
        <w:pageBreakBefore w:val="0"/>
        <w:kinsoku/>
        <w:wordWrap/>
        <w:overflowPunct/>
        <w:topLinePunct w:val="0"/>
        <w:autoSpaceDE/>
        <w:autoSpaceDN/>
        <w:bidi w:val="0"/>
        <w:spacing w:line="360" w:lineRule="auto"/>
        <w:ind w:firstLine="480" w:firstLineChars="200"/>
        <w:rPr>
          <w:rFonts w:hAnsi="宋体"/>
          <w:color w:val="000000"/>
          <w:sz w:val="24"/>
          <w:szCs w:val="24"/>
          <w:highlight w:val="none"/>
        </w:rPr>
      </w:pPr>
      <w:r>
        <w:rPr>
          <w:rFonts w:hint="eastAsia" w:hAnsi="宋体"/>
          <w:color w:val="000000"/>
          <w:sz w:val="24"/>
          <w:szCs w:val="24"/>
          <w:highlight w:val="none"/>
        </w:rPr>
        <w:t>传</w:t>
      </w:r>
      <w:r>
        <w:rPr>
          <w:rFonts w:hAnsi="宋体"/>
          <w:color w:val="000000"/>
          <w:sz w:val="24"/>
          <w:szCs w:val="24"/>
          <w:highlight w:val="none"/>
        </w:rPr>
        <w:t xml:space="preserve">    </w:t>
      </w:r>
      <w:r>
        <w:rPr>
          <w:rFonts w:hint="eastAsia" w:hAnsi="宋体"/>
          <w:color w:val="000000"/>
          <w:sz w:val="24"/>
          <w:szCs w:val="24"/>
          <w:highlight w:val="none"/>
        </w:rPr>
        <w:t>真：</w:t>
      </w:r>
      <w:r>
        <w:rPr>
          <w:rFonts w:hAnsi="宋体"/>
          <w:color w:val="000000"/>
          <w:sz w:val="24"/>
          <w:szCs w:val="24"/>
          <w:highlight w:val="none"/>
        </w:rPr>
        <w:t xml:space="preserve">                        </w:t>
      </w:r>
      <w:r>
        <w:rPr>
          <w:rFonts w:hint="eastAsia" w:hAnsi="宋体"/>
          <w:color w:val="000000"/>
          <w:sz w:val="24"/>
          <w:szCs w:val="24"/>
          <w:highlight w:val="none"/>
        </w:rPr>
        <w:t xml:space="preserve">   </w:t>
      </w:r>
      <w:r>
        <w:rPr>
          <w:rFonts w:hAnsi="宋体"/>
          <w:color w:val="000000"/>
          <w:sz w:val="24"/>
          <w:szCs w:val="24"/>
          <w:highlight w:val="none"/>
        </w:rPr>
        <w:t xml:space="preserve"> </w:t>
      </w:r>
      <w:r>
        <w:rPr>
          <w:rFonts w:hint="eastAsia" w:hAnsi="宋体"/>
          <w:color w:val="000000"/>
          <w:sz w:val="24"/>
          <w:szCs w:val="24"/>
          <w:highlight w:val="none"/>
        </w:rPr>
        <w:t xml:space="preserve"> 传</w:t>
      </w:r>
      <w:r>
        <w:rPr>
          <w:rFonts w:hAnsi="宋体"/>
          <w:color w:val="000000"/>
          <w:sz w:val="24"/>
          <w:szCs w:val="24"/>
          <w:highlight w:val="none"/>
        </w:rPr>
        <w:t xml:space="preserve">    </w:t>
      </w:r>
      <w:r>
        <w:rPr>
          <w:rFonts w:hint="eastAsia" w:hAnsi="宋体"/>
          <w:color w:val="000000"/>
          <w:sz w:val="24"/>
          <w:szCs w:val="24"/>
          <w:highlight w:val="none"/>
        </w:rPr>
        <w:t>真：</w:t>
      </w:r>
    </w:p>
    <w:p w14:paraId="3A28A9E8">
      <w:pPr>
        <w:keepNext w:val="0"/>
        <w:keepLines w:val="0"/>
        <w:pageBreakBefore w:val="0"/>
        <w:kinsoku/>
        <w:wordWrap/>
        <w:overflowPunct/>
        <w:topLinePunct w:val="0"/>
        <w:autoSpaceDE/>
        <w:autoSpaceDN/>
        <w:bidi w:val="0"/>
        <w:spacing w:line="360" w:lineRule="auto"/>
        <w:ind w:firstLine="480" w:firstLineChars="200"/>
        <w:rPr>
          <w:rFonts w:hAnsi="宋体"/>
          <w:color w:val="000000"/>
          <w:sz w:val="24"/>
          <w:szCs w:val="24"/>
          <w:highlight w:val="none"/>
        </w:rPr>
      </w:pPr>
      <w:r>
        <w:rPr>
          <w:rFonts w:hint="eastAsia" w:hAnsi="宋体"/>
          <w:color w:val="000000"/>
          <w:sz w:val="24"/>
          <w:szCs w:val="24"/>
          <w:highlight w:val="none"/>
        </w:rPr>
        <w:t>签约日期：  年   月  日</w:t>
      </w:r>
      <w:r>
        <w:rPr>
          <w:rFonts w:hAnsi="宋体"/>
          <w:color w:val="000000"/>
          <w:sz w:val="24"/>
          <w:szCs w:val="24"/>
          <w:highlight w:val="none"/>
        </w:rPr>
        <w:t xml:space="preserve"> </w:t>
      </w:r>
      <w:r>
        <w:rPr>
          <w:rFonts w:hint="eastAsia" w:hAnsi="宋体"/>
          <w:color w:val="000000"/>
          <w:sz w:val="24"/>
          <w:szCs w:val="24"/>
          <w:highlight w:val="none"/>
          <w:lang w:val="en-US" w:eastAsia="zh-CN"/>
        </w:rPr>
        <w:t xml:space="preserve">               </w:t>
      </w:r>
      <w:r>
        <w:rPr>
          <w:rFonts w:hint="eastAsia" w:hAnsi="宋体"/>
          <w:color w:val="000000"/>
          <w:sz w:val="24"/>
          <w:szCs w:val="24"/>
          <w:highlight w:val="none"/>
        </w:rPr>
        <w:t>签约日期：  年   月  日</w:t>
      </w:r>
    </w:p>
    <w:p w14:paraId="29071541">
      <w:pPr>
        <w:keepNext w:val="0"/>
        <w:keepLines w:val="0"/>
        <w:pageBreakBefore w:val="0"/>
        <w:kinsoku/>
        <w:wordWrap/>
        <w:overflowPunct/>
        <w:topLinePunct w:val="0"/>
        <w:autoSpaceDE/>
        <w:autoSpaceDN/>
        <w:bidi w:val="0"/>
        <w:spacing w:line="360" w:lineRule="auto"/>
        <w:rPr>
          <w:sz w:val="24"/>
          <w:szCs w:val="24"/>
          <w:highlight w:val="none"/>
        </w:rPr>
      </w:pPr>
    </w:p>
    <w:p w14:paraId="5D5BA3FF">
      <w:pPr>
        <w:pStyle w:val="12"/>
        <w:spacing w:line="360" w:lineRule="auto"/>
        <w:rPr>
          <w:rFonts w:hint="eastAsia" w:ascii="宋体" w:hAnsi="宋体" w:eastAsia="宋体" w:cs="宋体"/>
          <w:color w:val="0000FF"/>
          <w:sz w:val="24"/>
          <w:szCs w:val="24"/>
          <w:lang w:val="en-US" w:eastAsia="zh-Hans"/>
        </w:rPr>
      </w:pPr>
    </w:p>
    <w:p w14:paraId="2467BD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37901AAF"/>
    <w:rsid w:val="075D5F53"/>
    <w:rsid w:val="0AEF463C"/>
    <w:rsid w:val="0CDD71F7"/>
    <w:rsid w:val="0DD72B32"/>
    <w:rsid w:val="12375A30"/>
    <w:rsid w:val="17C968AF"/>
    <w:rsid w:val="18B847FC"/>
    <w:rsid w:val="1AA832AB"/>
    <w:rsid w:val="1DF80CBB"/>
    <w:rsid w:val="30B4797B"/>
    <w:rsid w:val="37901AAF"/>
    <w:rsid w:val="38415FDC"/>
    <w:rsid w:val="38BB4BD3"/>
    <w:rsid w:val="3D4C7565"/>
    <w:rsid w:val="46D7531D"/>
    <w:rsid w:val="475C06D8"/>
    <w:rsid w:val="4BE15ACD"/>
    <w:rsid w:val="4D39613E"/>
    <w:rsid w:val="4D981AED"/>
    <w:rsid w:val="4F1461B2"/>
    <w:rsid w:val="64617D51"/>
    <w:rsid w:val="78006A66"/>
    <w:rsid w:val="78DA4543"/>
    <w:rsid w:val="796C3F60"/>
    <w:rsid w:val="79F47C5A"/>
    <w:rsid w:val="7BE45047"/>
    <w:rsid w:val="7CE837E4"/>
    <w:rsid w:val="7CF36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toc 1"/>
    <w:basedOn w:val="1"/>
    <w:next w:val="1"/>
    <w:qFormat/>
    <w:uiPriority w:val="39"/>
  </w:style>
  <w:style w:type="paragraph" w:styleId="6">
    <w:name w:val="Body Text First Indent"/>
    <w:basedOn w:val="3"/>
    <w:qFormat/>
    <w:uiPriority w:val="0"/>
    <w:rPr>
      <w:rFonts w:hAnsi="宋体"/>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 首行缩进:  2 字符"/>
    <w:basedOn w:val="1"/>
    <w:qFormat/>
    <w:uiPriority w:val="0"/>
    <w:pPr>
      <w:spacing w:line="400" w:lineRule="exact"/>
      <w:ind w:firstLine="200" w:firstLineChars="200"/>
    </w:pPr>
    <w:rPr>
      <w:rFonts w:cs="宋体"/>
      <w:sz w:val="24"/>
    </w:rPr>
  </w:style>
  <w:style w:type="paragraph" w:styleId="11">
    <w:name w:val="List Paragraph"/>
    <w:basedOn w:val="1"/>
    <w:qFormat/>
    <w:uiPriority w:val="34"/>
    <w:pPr>
      <w:ind w:firstLine="420" w:firstLineChars="200"/>
    </w:pPr>
    <w:rPr>
      <w:rFonts w:ascii="Calibri" w:hAnsi="Calibri"/>
      <w:kern w:val="2"/>
      <w:sz w:val="21"/>
      <w:szCs w:val="2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14">
    <w:name w:val="表格"/>
    <w:basedOn w:val="1"/>
    <w:qFormat/>
    <w:uiPriority w:val="0"/>
    <w:pPr>
      <w:widowControl/>
      <w:spacing w:line="360" w:lineRule="auto"/>
      <w:ind w:firstLine="0" w:firstLineChars="0"/>
    </w:pPr>
    <w:rPr>
      <w:rFonts w:hint="eastAsia" w:ascii="宋体" w:hAnsi="宋体" w:eastAsia="宋体" w:cs="宋体"/>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4230</Words>
  <Characters>4362</Characters>
  <Lines>0</Lines>
  <Paragraphs>0</Paragraphs>
  <TotalTime>0</TotalTime>
  <ScaleCrop>false</ScaleCrop>
  <LinksUpToDate>false</LinksUpToDate>
  <CharactersWithSpaces>4751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2023-12-12T05:53:00Z</dcterms:created>
  <dc:creator>爽爽</dc:creator>
  <cp:lastModifiedBy>听说</cp:lastModifiedBy>
  <dcterms:modified xsi:type="dcterms:W3CDTF">2026-08-26T01:20:02Z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B2D571055A8946C48E30FF0166CEC6CD_13</vt:lpwstr>
  </property>
  <property fmtid="{D5CDD505-2E9C-101B-9397-08002B2CF9AE}" pid="4" name="KSOTemplateDocerSaveRecord">
    <vt:lpwstr>eyJoZGlkIjoiN2Y2ZDgyMTFlMDBjOWFlY2UyOGEwMWEyNjFiZDZiM2EiLCJ1c2VySWQiOiIyMzk1NjAwNDMifQ==</vt:lpwstr>
  </property>
</Properties>
</file>