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版本号：SYCG-CS-26034.1B120260819001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三原县财政保障车辆购置项目(二次)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SYCG-CS-26034.1B1</w:t>
      </w:r>
      <w:r>
        <w:br/>
      </w:r>
      <w:r>
        <w:br/>
      </w:r>
      <w:r>
        <w:br/>
      </w:r>
    </w:p>
    <w:p>
      <w:pPr>
        <w:pStyle w:val="null3"/>
        <w:jc w:val="center"/>
        <w:outlineLvl w:val="2"/>
      </w:pPr>
      <w:r>
        <w:rPr>
          <w:rFonts w:ascii="仿宋_GB2312" w:hAnsi="仿宋_GB2312" w:cs="仿宋_GB2312" w:eastAsia="仿宋_GB2312"/>
          <w:sz w:val="28"/>
          <w:b/>
        </w:rPr>
        <w:t>三原县机关事务管理局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三原县机关事务管理局</w:t>
      </w:r>
      <w:r>
        <w:rPr>
          <w:rFonts w:ascii="仿宋_GB2312" w:hAnsi="仿宋_GB2312" w:cs="仿宋_GB2312" w:eastAsia="仿宋_GB2312"/>
        </w:rPr>
        <w:t>委托，拟对</w:t>
      </w:r>
      <w:r>
        <w:rPr>
          <w:rFonts w:ascii="仿宋_GB2312" w:hAnsi="仿宋_GB2312" w:cs="仿宋_GB2312" w:eastAsia="仿宋_GB2312"/>
        </w:rPr>
        <w:t>三原县财政保障车辆购置项目(二次)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SYCG-CS-26034.1B1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三原县财政保障车辆购置项目(二次)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认真贯彻落实《三原县党政机关公务用车管理实施细则》文件精神，严格按照“处置一辆，更新一辆”的原则，结合我县财政保障车辆现状，为满足我县党政机关正常公务出行，经市机关事务服务中心批复，需购置6辆4门5座三厢新能源轿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1、营业执照及主体资格：提供法定代表人授权委托书及委托代理人有效身份证原件，法定代表人直接参加开标会议，需提供法定代表人身份证明及其有效的身份证原件；</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3、税收缴纳证明：提供开标截止时间前6个月内任意已缴纳1个月的纳税证明或完税证明（时间以税款所属日期为准、税种须包含增值税或企业所得税），依法免税的单位应提供相关证明材料。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4、社会保障资金缴纳证明：提供开标截止时间前6个月内任意已缴纳1个月的社会保障资金缴存单据或社保机构开具的社会保险参保缴费情况证明，依法不需要缴纳社会保障资金的单位应提供相关证明材料。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6、声明：提供具有履行本合同所必需的设备和专业技术能力的声明</w:t>
      </w:r>
    </w:p>
    <w:p>
      <w:pPr>
        <w:pStyle w:val="null3"/>
      </w:pPr>
      <w:r>
        <w:rPr>
          <w:rFonts w:ascii="仿宋_GB2312" w:hAnsi="仿宋_GB2312" w:cs="仿宋_GB2312" w:eastAsia="仿宋_GB2312"/>
        </w:rPr>
        <w:t>7、重大违法声明：供应商参加采购活动近3年内经营活动中没有重大违法记录声明，以及未被列入失信被执行人、重大税收违法案件当事人名单、政府采购严重违法失信行为记录名单的书面声明；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8、非联合体：供应商负责人不得为同一人或者存在控股、管理关系</w:t>
      </w:r>
    </w:p>
    <w:p>
      <w:pPr>
        <w:pStyle w:val="null3"/>
      </w:pPr>
      <w:r>
        <w:rPr>
          <w:rFonts w:ascii="仿宋_GB2312" w:hAnsi="仿宋_GB2312" w:cs="仿宋_GB2312" w:eastAsia="仿宋_GB2312"/>
        </w:rPr>
        <w:t>9、特定资质：所投车型生产企业、车辆型号在工信部机动车产品公告目录，提供完整公告截图；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三原县机关事务管理局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三原县县委院内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029-32281808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三厢新能源轿车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三原县机关事务管理局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三原县机关事务管理局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三原县机关事务管理局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联系电话：029-32268927</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为认真贯彻落实《三原县党政机关公务用车管理实施细则》文件精神，严格按照“处置一辆，更新一辆”的原则，结合我县财政保障车辆现状，为满足我县党政机关正常公务出行，经市机关事务服务中心批复，需 购置6辆4门5座三厢新能源轿车。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708,000.00</w:t>
      </w:r>
    </w:p>
    <w:p>
      <w:pPr>
        <w:pStyle w:val="null3"/>
      </w:pPr>
      <w:r>
        <w:rPr>
          <w:rFonts w:ascii="仿宋_GB2312" w:hAnsi="仿宋_GB2312" w:cs="仿宋_GB2312" w:eastAsia="仿宋_GB2312"/>
        </w:rPr>
        <w:t>采购包最高限价（元）: 708,000.00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三原县财政保障车辆购置项目</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708,000.00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标的名称：三原县财政保障车辆购置项目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544"/>
              <w:gridCol w:w="544"/>
              <w:gridCol w:w="1011"/>
              <w:gridCol w:w="226"/>
              <w:gridCol w:w="226"/>
            </w:tblGrid>
            <w:tr>
              <w:tc>
                <w:tcPr>
                  <w:tcW w:type="dxa" w:w="2099"/>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三原县财政保障车辆购置(规格参数)</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主要参数</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参数设置</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能源类型</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插电式混合动力</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环保标准</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国VI</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CLTC纯电续航里程(km)</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≥125</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★车身结构</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4门5座三厢车</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长*宽*高(mm)</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≥4750*1840*1480</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★整车质保</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六年或15万公里</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整备质量(kg)</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≥1650</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最大满载质量(kg)</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≥2000</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轴距(mm)</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≥2750</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油箱容积(L)</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≥60</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排量(L)</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≥1495ml</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电机类型</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永磁/同步</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电动机总功率(kW)</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≥120</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三电首任车主质保政策</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终身质保/非营运</w:t>
                  </w:r>
                  <w:r>
                    <w:br/>
                  </w:r>
                  <w:r>
                    <w:rPr>
                      <w:rFonts w:ascii="仿宋_GB2312" w:hAnsi="仿宋_GB2312" w:cs="仿宋_GB2312" w:eastAsia="仿宋_GB2312"/>
                      <w:sz w:val="18"/>
                      <w:color w:val="000000"/>
                    </w:rPr>
                    <w:t xml:space="preserve"> （责任免除条款以官方为准）</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★电池类型</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磷酸铁锂电池</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主/副驾驶座安全气囊</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标配</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17</w:t>
                  </w:r>
                </w:p>
              </w:tc>
              <w:tc>
                <w:tcPr>
                  <w:tcW w:type="dxa" w:w="5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驾驶辅助影像</w:t>
                  </w:r>
                </w:p>
              </w:tc>
              <w:tc>
                <w:tcPr>
                  <w:tcW w:type="dxa" w:w="101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360度全景影像</w:t>
                  </w: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26"/>
                  <w:tcBorders>
                    <w:top w:val="none" w:color="000000" w:sz="4"/>
                    <w:left w:val="none" w:color="000000" w:sz="4"/>
                    <w:bottom w:val="none" w:color="000000" w:sz="4"/>
                    <w:right w:val="none" w:color="000000" w:sz="4"/>
                  </w:tcBorders>
                  <w:tcMar>
                    <w:top w:type="dxa" w:w="15"/>
                    <w:left w:type="dxa" w:w="15"/>
                    <w:right w:type="dxa" w:w="15"/>
                  </w:tcMar>
                  <w:vAlign w:val="center"/>
                </w:tcPr>
                <w:p/>
              </w:tc>
            </w:tr>
          </w:tbl>
          <w:p>
            <w:pPr>
              <w:pStyle w:val="null3"/>
            </w:pPr>
            <w:r>
              <w:rPr>
                <w:rFonts w:ascii="仿宋_GB2312" w:hAnsi="仿宋_GB2312" w:cs="仿宋_GB2312" w:eastAsia="仿宋_GB2312"/>
              </w:rPr>
              <w:t>注：</w:t>
            </w:r>
          </w:p>
          <w:p>
            <w:pPr>
              <w:pStyle w:val="null3"/>
              <w:jc w:val="both"/>
            </w:pPr>
            <w:r>
              <w:rPr>
                <w:rFonts w:ascii="仿宋_GB2312" w:hAnsi="仿宋_GB2312" w:cs="仿宋_GB2312" w:eastAsia="仿宋_GB2312"/>
                <w:sz w:val="16"/>
                <w:b/>
                <w:color w:val="000000"/>
              </w:rPr>
              <w:t>1.供应商需承诺动力电池报废后提供免费上门回收服务，并出具《动力蓄电池回收凭证》，回收流程符合《新能源汽车动力蓄电池回收利用管理暂行办法》，确保电池全生命周期环保”。</w:t>
            </w:r>
          </w:p>
          <w:p>
            <w:pPr>
              <w:pStyle w:val="null3"/>
            </w:pPr>
            <w:r>
              <w:rPr>
                <w:rFonts w:ascii="仿宋_GB2312" w:hAnsi="仿宋_GB2312" w:cs="仿宋_GB2312" w:eastAsia="仿宋_GB2312"/>
                <w:sz w:val="16"/>
                <w:b/>
                <w:color w:val="000000"/>
              </w:rPr>
              <w:t>2.整车质保6年（15万公里）</w:t>
            </w:r>
          </w:p>
          <w:p>
            <w:pPr>
              <w:pStyle w:val="null3"/>
            </w:pPr>
            <w:r>
              <w:rPr>
                <w:rFonts w:ascii="仿宋_GB2312" w:hAnsi="仿宋_GB2312" w:cs="仿宋_GB2312" w:eastAsia="仿宋_GB2312"/>
                <w:sz w:val="16"/>
                <w:b/>
                <w:color w:val="000000"/>
              </w:rPr>
              <w:t>3.数量：6辆</w:t>
            </w:r>
          </w:p>
          <w:p>
            <w:pPr>
              <w:pStyle w:val="null3"/>
            </w:pPr>
            <w:r>
              <w:rPr>
                <w:rFonts w:ascii="仿宋_GB2312" w:hAnsi="仿宋_GB2312" w:cs="仿宋_GB2312" w:eastAsia="仿宋_GB2312"/>
                <w:sz w:val="16"/>
                <w:b/>
                <w:color w:val="000000"/>
              </w:rPr>
              <w:t>4、文件中“★”标注的关键参数，供应商必须100%响应，并提供有效的佐证材料（第三方/厂家检测报告或产品说明书或产品彩页或官网介绍截图等）。未提供佐证材料或佐证材料无法证明其响应性的，视为不响应招标文件，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三原县机关事务服务中心(县委院内)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预付款，合同签订生效后，甲方向乙方支付预付款，达到付款条件起15个工作日内，支付合同总金额的30.0%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其他，全部供货完毕并验收合格后，甲方向 乙方支付尾款，达到付款条件起15个工作日内，支付合同总金额的70.0%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乙方安装调试合格后，向甲方提出验收申请，甲方接到乙方验收申请后组织验 收(必要时可聘请相应专家或委托相应部门参与验收)，验收合格后出具使用验收合格证明。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质保期为验收合格后6年(15万公里)，终身维护保养，质保期后，只收取成 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方案说明书.1docx.docx 报价表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提供法定代表人授权委托书及委托代理人有效身份证原件，法定代表人直接参加开标会议，需提供法定代表人身份证明及其有效的身份证原件；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提供开标截止时间前6个月内任意已缴纳1个月的纳税证明或完税证明（时间以税款所属日期为准、税种须包含增值税或企业所得税），依法免税的单位应提供相关证明材料。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提供开标截止时间前6个月内任意已缴纳1个月的社会保障资金缴存单据或社保机构开具的社会保险参保缴费情况证明，依法不需要缴纳社会保障资金的单位应提供相关证明材料。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所投车型生产企业、车辆型号在工信部机动车产品公告目录，提供完整公告截图；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 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1、招标文件中“★”标注的关键参数，供应商必须100%响应，并提供有效的佐证材料（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供应商针对本项目提出实施方案，包含但不限于①供货方案、②维修保养的培训服务、③应急预案等，内容完整、详细、合理、可操作性强，符合项目要求。每项满分1分，缺项不得分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供应商针对本项目提出培训方案，包含但不限于①培训计划②培训时间及内容③培训方式等，内容完整、详细、合理、可操作性强，符合项目要求。每项满分1分，缺项不得分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进度计划 保障方案</w:t>
            </w:r>
          </w:p>
        </w:tc>
        <w:tc>
          <w:tcPr>
            <w:tcW w:type="dxa" w:w="2492"/>
          </w:tcPr>
          <w:p>
            <w:pPr>
              <w:pStyle w:val="null3"/>
            </w:pPr>
            <w:r>
              <w:rPr>
                <w:rFonts w:ascii="仿宋_GB2312" w:hAnsi="仿宋_GB2312" w:cs="仿宋_GB2312" w:eastAsia="仿宋_GB2312"/>
              </w:rPr>
              <w:t>供应商针对本项目提出进度计划 保障方案，包含但不限于①供货方案、②阶段划分与里程任务、③任务分解与时间安排等，内容完整、详细、合理、可操作性强，符合项目要求。每项满分2分，缺项不得分 , 每项内容存在缺陷，扣0.5分，扣完为止。缺陷是指内容不合理、虽有内容但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供应商应提供产品来源渠道证明，包含但不限于原厂授权、销售合同、委托销售协议等相关证明材料。所提供证明材料需明确与本项目相关，并体现与供应商所投的货物品牌型号一致的产品，满分10分，未提供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近三年内（2023年1月-至今）有类似项目业绩的，每份计2分，计满10分为止。注：业绩以中标通知书或合同为准，时间以中标通知书发出时间或合同签订时间为准。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价格分采用低价优先法计算，即满足本招标文件要求的最低投标报价为评标基准价，其价格分为满分，其它投标人的价格分统一按照下列公式计算：投标报价得分=（评标基准价／投标报价）×价格分分值（精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方案说明书.1docx.docx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详见附件：方案说明书.1docx.docx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