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版本号：DCZX2026-ZCCS-GC105620260706001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运动场塑胶场地改造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DCZX2026-ZCCS-GC1056</w:t>
      </w:r>
      <w:r>
        <w:br/>
      </w:r>
      <w:r>
        <w:br/>
      </w:r>
      <w:r>
        <w:br/>
      </w:r>
    </w:p>
    <w:p>
      <w:pPr>
        <w:pStyle w:val="null3"/>
        <w:jc w:val="center"/>
        <w:outlineLvl w:val="2"/>
      </w:pPr>
      <w:r>
        <w:rPr>
          <w:rFonts w:ascii="仿宋_GB2312" w:hAnsi="仿宋_GB2312" w:cs="仿宋_GB2312" w:eastAsia="仿宋_GB2312"/>
          <w:sz w:val="28"/>
          <w:b/>
        </w:rPr>
        <w:t>西安高新第七小学</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西安高新第七小学</w:t>
      </w:r>
      <w:r>
        <w:rPr>
          <w:rFonts w:ascii="仿宋_GB2312" w:hAnsi="仿宋_GB2312" w:cs="仿宋_GB2312" w:eastAsia="仿宋_GB2312"/>
        </w:rPr>
        <w:t>委托，拟对</w:t>
      </w:r>
      <w:r>
        <w:rPr>
          <w:rFonts w:ascii="仿宋_GB2312" w:hAnsi="仿宋_GB2312" w:cs="仿宋_GB2312" w:eastAsia="仿宋_GB2312"/>
        </w:rPr>
        <w:t>运动场塑胶场地改造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DCZX2026-ZCCS-GC1056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运动场塑胶场地改造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西安高新第七小学运动场塑胶场地改造，具体详见图纸及工程量清单。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采购包1（西安高新第七小学运动场塑胶场地改造）：属于专门面向中小企业采购。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1、法定代表人授权书：法定代表人授权书（法定代表人直接参加投标，须提供法定代表人身份证明）；</w:t>
      </w:r>
    </w:p>
    <w:p>
      <w:pPr>
        <w:pStyle w:val="null3"/>
      </w:pPr>
      <w:r>
        <w:rPr>
          <w:rFonts w:ascii="仿宋_GB2312" w:hAnsi="仿宋_GB2312" w:cs="仿宋_GB2312" w:eastAsia="仿宋_GB2312"/>
        </w:rPr>
        <w:t>2、信用信息：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3、企业资质：投标供应商须具备行业主管部门颁发的建筑工程施工总承包三级及以上资质并具有有效的安全生产许可证；</w:t>
      </w:r>
    </w:p>
    <w:p>
      <w:pPr>
        <w:pStyle w:val="null3"/>
      </w:pPr>
      <w:r>
        <w:rPr>
          <w:rFonts w:ascii="仿宋_GB2312" w:hAnsi="仿宋_GB2312" w:cs="仿宋_GB2312" w:eastAsia="仿宋_GB2312"/>
        </w:rPr>
        <w:t>4、项目经理资质：投标供应商拟派项目经理须具备行业主管部门颁发的建筑工程专业二级及以上建造师资质及有效的安全生产考核合格证书（建安B证），在本单位注册且无在建工程；</w:t>
      </w:r>
    </w:p>
    <w:p>
      <w:pPr>
        <w:pStyle w:val="null3"/>
      </w:pPr>
      <w:r>
        <w:rPr>
          <w:rFonts w:ascii="仿宋_GB2312" w:hAnsi="仿宋_GB2312" w:cs="仿宋_GB2312" w:eastAsia="仿宋_GB2312"/>
        </w:rPr>
        <w:t>5、投标供应商基本信息及项目经理基本信息：投标供应商基本信息及项目经理基本信息应在“陕西建设网（http://js.shaanxi.gov.cn/ ）或陕西省建筑市场监管与诚信信息发布平台”可查询；</w:t>
      </w:r>
    </w:p>
    <w:p>
      <w:pPr>
        <w:pStyle w:val="null3"/>
      </w:pPr>
      <w:r>
        <w:rPr>
          <w:rFonts w:ascii="仿宋_GB2312" w:hAnsi="仿宋_GB2312" w:cs="仿宋_GB2312" w:eastAsia="仿宋_GB2312"/>
        </w:rPr>
        <w:t>6、承诺：投标供应商不得在各级诚信信息平台被列为投标受限制的行为人</w:t>
      </w:r>
    </w:p>
    <w:p>
      <w:pPr>
        <w:pStyle w:val="null3"/>
      </w:pPr>
      <w:r>
        <w:rPr>
          <w:rFonts w:ascii="仿宋_GB2312" w:hAnsi="仿宋_GB2312" w:cs="仿宋_GB2312" w:eastAsia="仿宋_GB2312"/>
        </w:rPr>
        <w:t>7、联合体投标：本项目不接受联合体投标</w:t>
      </w:r>
    </w:p>
    <w:p>
      <w:pPr>
        <w:pStyle w:val="null3"/>
      </w:pPr>
      <w:r>
        <w:rPr>
          <w:rFonts w:ascii="仿宋_GB2312" w:hAnsi="仿宋_GB2312" w:cs="仿宋_GB2312" w:eastAsia="仿宋_GB2312"/>
        </w:rPr>
        <w:t>8、中小企业声明函：本项目专门面向中小企业采购，仅限符合《政府采购促进中小企业发展管理办法》的通知(财库〔2020〕46 号) 条件的中小企业参与，并提供中小企业声明函，残疾人福利企业、监狱企业视同小微企业。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西安高新区鱼化一路2985号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029-88456225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彭宏飞、刘玮哲、胡丽珠、潘娟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采购包1：1,153,244.57元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代理服务费收费标准：1、参照《招标代理服务收费管理暂行办法》（计价格[2002]1980号）和《关于招标代理服务收费有关问题的通知》(发改办价格[2003]857号）的有关规定执行。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开户银行：中国民生银行股份有限公司西安高新科技支行；账号：171277297 （备注：项目名称+项目编号） 3、成交供应商在领取成交通知书时须携带法定代表人授权书及加盖单位公章的被授权人身份证复印件。</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西安高新第七小学</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采购⼈对合同约定的全部内容享有完全的知识产权及所有权。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联系电话：0269-81773523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1,153,244.57</w:t>
      </w:r>
    </w:p>
    <w:p>
      <w:pPr>
        <w:pStyle w:val="null3"/>
      </w:pPr>
      <w:r>
        <w:rPr>
          <w:rFonts w:ascii="仿宋_GB2312" w:hAnsi="仿宋_GB2312" w:cs="仿宋_GB2312" w:eastAsia="仿宋_GB2312"/>
        </w:rPr>
        <w:t>采购包最高限价（元）: 1,153,244.57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西安高新第七小学运动场塑胶场地改造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1,153,244.57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标的名称：西安高新第七小学运动场塑胶场地改造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一、采购内容</w:t>
            </w:r>
          </w:p>
          <w:p>
            <w:pPr>
              <w:pStyle w:val="null3"/>
              <w:ind w:firstLine="638"/>
              <w:jc w:val="both"/>
            </w:pPr>
            <w:r>
              <w:rPr>
                <w:rFonts w:ascii="仿宋_GB2312" w:hAnsi="仿宋_GB2312" w:cs="仿宋_GB2312" w:eastAsia="仿宋_GB2312"/>
                <w:sz w:val="24"/>
              </w:rPr>
              <w:t>项目名称：西安高新第七小学</w:t>
            </w:r>
            <w:r>
              <w:rPr>
                <w:rFonts w:ascii="仿宋_GB2312" w:hAnsi="仿宋_GB2312" w:cs="仿宋_GB2312" w:eastAsia="仿宋_GB2312"/>
                <w:sz w:val="24"/>
              </w:rPr>
              <w:t>运动场改造</w:t>
            </w:r>
            <w:r>
              <w:rPr>
                <w:rFonts w:ascii="仿宋_GB2312" w:hAnsi="仿宋_GB2312" w:cs="仿宋_GB2312" w:eastAsia="仿宋_GB2312"/>
                <w:sz w:val="24"/>
              </w:rPr>
              <w:t>项目</w:t>
            </w:r>
          </w:p>
          <w:p>
            <w:pPr>
              <w:pStyle w:val="null3"/>
              <w:ind w:firstLine="638"/>
              <w:jc w:val="both"/>
            </w:pPr>
            <w:r>
              <w:rPr>
                <w:rFonts w:ascii="仿宋_GB2312" w:hAnsi="仿宋_GB2312" w:cs="仿宋_GB2312" w:eastAsia="仿宋_GB2312"/>
                <w:sz w:val="24"/>
              </w:rPr>
              <w:t>工程地点</w:t>
            </w:r>
            <w:r>
              <w:rPr>
                <w:rFonts w:ascii="仿宋_GB2312" w:hAnsi="仿宋_GB2312" w:cs="仿宋_GB2312" w:eastAsia="仿宋_GB2312"/>
                <w:sz w:val="24"/>
              </w:rPr>
              <w:t>: 西安市高新区鱼化一路2985号</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、采购要求</w:t>
            </w:r>
          </w:p>
          <w:p>
            <w:pPr>
              <w:pStyle w:val="null3"/>
              <w:ind w:firstLine="512"/>
              <w:jc w:val="both"/>
            </w:pPr>
            <w:r>
              <w:rPr>
                <w:rFonts w:ascii="仿宋_GB2312" w:hAnsi="仿宋_GB2312" w:cs="仿宋_GB2312" w:eastAsia="仿宋_GB2312"/>
                <w:sz w:val="24"/>
                <w:color w:val="333333"/>
              </w:rPr>
              <w:t>1</w:t>
            </w:r>
            <w:r>
              <w:rPr>
                <w:rFonts w:ascii="仿宋_GB2312" w:hAnsi="仿宋_GB2312" w:cs="仿宋_GB2312" w:eastAsia="仿宋_GB2312"/>
                <w:sz w:val="24"/>
                <w:color w:val="333333"/>
              </w:rPr>
              <w:t>.</w:t>
            </w:r>
            <w:r>
              <w:rPr>
                <w:rFonts w:ascii="仿宋_GB2312" w:hAnsi="仿宋_GB2312" w:cs="仿宋_GB2312" w:eastAsia="仿宋_GB2312"/>
                <w:sz w:val="24"/>
                <w:color w:val="333333"/>
              </w:rPr>
              <w:t>工期：自合同签订生效之日起</w:t>
            </w:r>
            <w:r>
              <w:rPr>
                <w:rFonts w:ascii="仿宋_GB2312" w:hAnsi="仿宋_GB2312" w:cs="仿宋_GB2312" w:eastAsia="仿宋_GB2312"/>
                <w:sz w:val="24"/>
                <w:color w:val="333333"/>
              </w:rPr>
              <w:t>30</w:t>
            </w:r>
            <w:r>
              <w:rPr>
                <w:rFonts w:ascii="仿宋_GB2312" w:hAnsi="仿宋_GB2312" w:cs="仿宋_GB2312" w:eastAsia="仿宋_GB2312"/>
                <w:sz w:val="24"/>
                <w:color w:val="333333"/>
              </w:rPr>
              <w:t>个日历日完成合同内全部工程量的施工内容。</w:t>
            </w:r>
          </w:p>
          <w:p>
            <w:pPr>
              <w:pStyle w:val="null3"/>
              <w:ind w:firstLine="512"/>
              <w:jc w:val="both"/>
            </w:pPr>
            <w:r>
              <w:rPr>
                <w:rFonts w:ascii="仿宋_GB2312" w:hAnsi="仿宋_GB2312" w:cs="仿宋_GB2312" w:eastAsia="仿宋_GB2312"/>
                <w:sz w:val="24"/>
                <w:color w:val="333333"/>
              </w:rPr>
              <w:t>2</w:t>
            </w:r>
            <w:r>
              <w:rPr>
                <w:rFonts w:ascii="仿宋_GB2312" w:hAnsi="仿宋_GB2312" w:cs="仿宋_GB2312" w:eastAsia="仿宋_GB2312"/>
                <w:sz w:val="24"/>
                <w:color w:val="333333"/>
              </w:rPr>
              <w:t>.</w:t>
            </w:r>
            <w:r>
              <w:rPr>
                <w:rFonts w:ascii="仿宋_GB2312" w:hAnsi="仿宋_GB2312" w:cs="仿宋_GB2312" w:eastAsia="仿宋_GB2312"/>
                <w:sz w:val="24"/>
                <w:color w:val="333333"/>
              </w:rPr>
              <w:t>付款方式：</w:t>
            </w:r>
          </w:p>
          <w:p>
            <w:pPr>
              <w:pStyle w:val="null3"/>
              <w:ind w:firstLine="512"/>
              <w:jc w:val="left"/>
            </w:pPr>
            <w:r>
              <w:rPr>
                <w:rFonts w:ascii="仿宋_GB2312" w:hAnsi="仿宋_GB2312" w:cs="仿宋_GB2312" w:eastAsia="仿宋_GB2312"/>
                <w:sz w:val="24"/>
                <w:color w:val="333333"/>
              </w:rPr>
              <w:t>合同签订后</w:t>
            </w:r>
            <w:r>
              <w:rPr>
                <w:rFonts w:ascii="仿宋_GB2312" w:hAnsi="仿宋_GB2312" w:cs="仿宋_GB2312" w:eastAsia="仿宋_GB2312"/>
                <w:sz w:val="24"/>
                <w:color w:val="333333"/>
              </w:rPr>
              <w:t>30日内支付合同金额的40%作为预付款，施工完成后通过审计决算支付全部剩余合同价款。</w:t>
            </w:r>
            <w:r>
              <w:rPr>
                <w:rFonts w:ascii="仿宋_GB2312" w:hAnsi="仿宋_GB2312" w:cs="仿宋_GB2312" w:eastAsia="仿宋_GB2312"/>
                <w:sz w:val="24"/>
                <w:color w:val="333333"/>
              </w:rPr>
              <w:t>付款前乙方应提供与付款额等额增值税发票。</w:t>
            </w:r>
          </w:p>
          <w:p>
            <w:pPr>
              <w:pStyle w:val="null3"/>
              <w:ind w:firstLine="512"/>
              <w:jc w:val="both"/>
            </w:pPr>
            <w:r>
              <w:rPr>
                <w:rFonts w:ascii="仿宋_GB2312" w:hAnsi="仿宋_GB2312" w:cs="仿宋_GB2312" w:eastAsia="仿宋_GB2312"/>
                <w:sz w:val="24"/>
                <w:color w:val="333333"/>
              </w:rPr>
              <w:t>3.质保期：2年。</w:t>
            </w:r>
          </w:p>
          <w:p>
            <w:pPr>
              <w:pStyle w:val="null3"/>
              <w:ind w:firstLine="512"/>
              <w:jc w:val="both"/>
            </w:pPr>
            <w:r>
              <w:rPr>
                <w:rFonts w:ascii="仿宋_GB2312" w:hAnsi="仿宋_GB2312" w:cs="仿宋_GB2312" w:eastAsia="仿宋_GB2312"/>
                <w:sz w:val="24"/>
                <w:color w:val="333333"/>
              </w:rPr>
              <w:t>4.</w:t>
            </w:r>
            <w:r>
              <w:rPr>
                <w:rFonts w:ascii="仿宋_GB2312" w:hAnsi="仿宋_GB2312" w:cs="仿宋_GB2312" w:eastAsia="仿宋_GB2312"/>
                <w:sz w:val="24"/>
                <w:color w:val="333333"/>
              </w:rPr>
              <w:t>质量保证、服务要求：</w:t>
            </w:r>
          </w:p>
          <w:p>
            <w:pPr>
              <w:pStyle w:val="null3"/>
              <w:ind w:firstLine="512"/>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1</w:t>
            </w:r>
            <w:r>
              <w:rPr>
                <w:rFonts w:ascii="仿宋_GB2312" w:hAnsi="仿宋_GB2312" w:cs="仿宋_GB2312" w:eastAsia="仿宋_GB2312"/>
                <w:sz w:val="24"/>
                <w:color w:val="333333"/>
              </w:rPr>
              <w:t>）工程质量：</w:t>
            </w:r>
            <w:r>
              <w:rPr>
                <w:rFonts w:ascii="仿宋_GB2312" w:hAnsi="仿宋_GB2312" w:cs="仿宋_GB2312" w:eastAsia="仿宋_GB2312"/>
                <w:sz w:val="24"/>
                <w:color w:val="333333"/>
              </w:rPr>
              <w:t>合格</w:t>
            </w:r>
            <w:r>
              <w:rPr>
                <w:rFonts w:ascii="仿宋_GB2312" w:hAnsi="仿宋_GB2312" w:cs="仿宋_GB2312" w:eastAsia="仿宋_GB2312"/>
                <w:sz w:val="24"/>
                <w:color w:val="333333"/>
              </w:rPr>
              <w:t>。质量标准的评定以国家或行业的质量检验评定标准为依据，按照相关的技术标准、法规和行业规范进行，所有工程部位、施工工艺及材料选用均须符合规定的质量要求。如果由于承包方的原因，导致工程质量未达到约定的质量标准，承包方应承担相应的违约责任，并进行整改，直到符合合同及相关质量要求。</w:t>
            </w:r>
          </w:p>
          <w:p>
            <w:pPr>
              <w:pStyle w:val="null3"/>
              <w:ind w:firstLine="512"/>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2）质保期:本工程质保期为竣工验收合格之日起算起两年。质保期内，承包方应无偿提供必要的维修和更换服务，确保工程的质量和功能不受损害。质保期的具体起始时间以竣工验收合格并正式交付使用为准。</w:t>
            </w:r>
          </w:p>
          <w:p>
            <w:pPr>
              <w:pStyle w:val="null3"/>
              <w:ind w:firstLine="512"/>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3）</w:t>
            </w:r>
            <w:r>
              <w:rPr>
                <w:rFonts w:ascii="仿宋_GB2312" w:hAnsi="仿宋_GB2312" w:cs="仿宋_GB2312" w:eastAsia="仿宋_GB2312"/>
                <w:sz w:val="24"/>
                <w:color w:val="333333"/>
              </w:rPr>
              <w:t>质保期内应无偿负责所承包工程的维修和替换等工作。在质保期结束后，若工程需要维护，承包方依然提供维修服务，但将根据实际情况收取相应的人工和材料费用。承包方应提前与建设单位达成协议，明确费用标准和服务内容。</w:t>
            </w:r>
          </w:p>
          <w:p>
            <w:pPr>
              <w:pStyle w:val="null3"/>
              <w:ind w:firstLine="512"/>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4）任何维修工作不得超过48小时完成。从接到维修通知到实际修复的完成时间，承包方应迅速反应，确保问题在最短时间内解决。对于需要更换的部分，承包方应确保更换工作在72小时内完成。更换工作应符合相关规范，并保证更换后的设备或材料达到工程质量标准。</w:t>
            </w:r>
          </w:p>
          <w:p>
            <w:pPr>
              <w:pStyle w:val="null3"/>
              <w:ind w:firstLine="512"/>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5）若施工单位未按照合同规定的质量保修服务要求提供相应的质保服务，建设单位有权选择第三方进行维护和修理。在此情况下，所有产生的费用，包括人工、材料和其他相关费用，将由施工单位承担。</w:t>
            </w:r>
          </w:p>
          <w:p>
            <w:pPr>
              <w:pStyle w:val="null3"/>
              <w:ind w:firstLine="512"/>
              <w:jc w:val="left"/>
            </w:pPr>
            <w:r>
              <w:rPr>
                <w:rFonts w:ascii="仿宋_GB2312" w:hAnsi="仿宋_GB2312" w:cs="仿宋_GB2312" w:eastAsia="仿宋_GB2312"/>
                <w:sz w:val="24"/>
                <w:color w:val="333333"/>
              </w:rPr>
              <w:t>5.</w:t>
            </w:r>
            <w:r>
              <w:rPr>
                <w:rFonts w:ascii="仿宋_GB2312" w:hAnsi="仿宋_GB2312" w:cs="仿宋_GB2312" w:eastAsia="仿宋_GB2312"/>
                <w:sz w:val="24"/>
                <w:color w:val="333333"/>
              </w:rPr>
              <w:t>其他要求：</w:t>
            </w:r>
          </w:p>
          <w:p>
            <w:pPr>
              <w:pStyle w:val="null3"/>
              <w:ind w:firstLine="512"/>
              <w:jc w:val="both"/>
            </w:pPr>
            <w:r>
              <w:rPr>
                <w:rFonts w:ascii="仿宋_GB2312" w:hAnsi="仿宋_GB2312" w:cs="仿宋_GB2312" w:eastAsia="仿宋_GB2312"/>
                <w:sz w:val="24"/>
                <w:color w:val="333333"/>
              </w:rPr>
              <w:t>在改造过程中，供应商需根据本项目的具体需求，结合安全、环保、健康等要求，提出切实可行的改造方案。改造方案应充分考虑空间利用的合理性，确保改造后的设计方案满足</w:t>
            </w:r>
            <w:r>
              <w:rPr>
                <w:rFonts w:ascii="仿宋_GB2312" w:hAnsi="仿宋_GB2312" w:cs="仿宋_GB2312" w:eastAsia="仿宋_GB2312"/>
                <w:sz w:val="24"/>
                <w:color w:val="333333"/>
              </w:rPr>
              <w:t>体育教学</w:t>
            </w:r>
            <w:r>
              <w:rPr>
                <w:rFonts w:ascii="仿宋_GB2312" w:hAnsi="仿宋_GB2312" w:cs="仿宋_GB2312" w:eastAsia="仿宋_GB2312"/>
                <w:sz w:val="24"/>
                <w:color w:val="333333"/>
              </w:rPr>
              <w:t>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竞争性磋商文件第六章6.3.4：“（五）若采用项目包干价的，供应商直接给出其完成本项目全部工作内容所需的总价，不再提供已标价工程量清单（报价格式要求见第六章）。”为系统自动生成内容，无法更改，本项目需要提供已标价工程量清单。 （3）“若供应商的最后报价只有一个总价，则供应商应当提交相应调整部分的报价构成及明细，并结合首次报价提供的已标价工程量清单，重新计算总报价。”为系统自动生成，无法更改，本项目二次报价只需填报项目总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磋商响应文件截止时间不足一年的可提供成立后任意时段的资产负债表），或磋商响应文件递交截止时间前6个月内银行出具的资信证明或提供《基本资格条件承诺函》； 3、磋商响应文件递交截止时间前一年内已缴纳的至少一个月的纳税证明或完税证明，依法免税的单位应提供相关证明材料或提供《基本资格条件承诺函》； 4、磋商响应文件递交截止时间前一年内已缴存的至少一个月的社会保障资金缴存单据或社保机构开具的社会保险参保缴费情况证明，依法不需要缴纳社会保障资金的单位应提供相关证明材料或提供《基本资格条件承诺函》； 5、提供具有履行合同所必需的设备和专业技术能力的承诺或提供《基本资格条件承诺函》； 6、参加政府采购活动前3年内，在经营活动中没有重大违法记录的书面声明或提供《基本资格条件承诺函》。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磋商响应文件截止时间不足一年的可提供成立后任意时段的资产负债表），或磋商响应文件递交截止时间前6个月内银行出具的资信证明或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投标供应商须具备行业主管部门颁发的建筑工程施工总承包三级及以上资质并具有有效的安全生产许可证；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投标供应商拟派项目经理须具备行业主管部门颁发的建筑工程专业二级及以上建造师资质及有效的安全生产考核合格证书（建安B证），在本单位注册且无在建工程；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投标供应商基本信息及项目经理基本信息</w:t>
            </w:r>
          </w:p>
        </w:tc>
        <w:tc>
          <w:tcPr>
            <w:tcW w:type="dxa" w:w="3322"/>
          </w:tcPr>
          <w:p>
            <w:pPr>
              <w:pStyle w:val="null3"/>
            </w:pPr>
            <w:r>
              <w:rPr>
                <w:rFonts w:ascii="仿宋_GB2312" w:hAnsi="仿宋_GB2312" w:cs="仿宋_GB2312" w:eastAsia="仿宋_GB2312"/>
              </w:rPr>
              <w:t>投标供应商基本信息及项目经理基本信息应在“陕西建设网（http://js.shaanxi.gov.cn/ ）或陕西省建筑市场监管与诚信信息发布平台”可查询；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投标供应商不得在各级诚信信息平台被列为投标受限制的行为人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条件的中小企业参与，并提供中小企业声明函，残疾人福利企业、监狱企业视同小微企业。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已标价工程量清单.docx 商务、技术条款偏离表.docx 中小企业声明函 残疾人福利性单位声明函 拒绝政府采购领域商业贿赂承诺书.docx 报价函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技术方案.docx 已标价工程量清单.docx 商务、技术条款偏离表.docx 中小企业声明函 残疾人福利性单位声明函 拒绝政府采购领域商业贿赂承诺书.docx 报价函 标的清单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已标价工程量清单.docx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施工机械配备和材料投入计划包括但不限于新材料、新工艺、绿色建材的使用</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投标供应商提供2023年1月1日至今（以合同签订日期为准）类似项目业绩（以合同复印件或扫描件加盖公章为准）每个有效业绩得1分，满分共计5分。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详见附件：商务、技术条款偏离表.docx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