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版本号：ZHZB-2026-GK-05028.1B120260731002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统计实验室项目(二次)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ZHZB-2026-GK-05028.1B1</w:t>
      </w:r>
      <w:r>
        <w:br/>
      </w:r>
      <w:r>
        <w:br/>
      </w:r>
      <w:r>
        <w:br/>
      </w:r>
    </w:p>
    <w:p>
      <w:pPr>
        <w:pStyle w:val="null3"/>
        <w:jc w:val="center"/>
        <w:outlineLvl w:val="2"/>
      </w:pPr>
      <w:r>
        <w:rPr>
          <w:rFonts w:ascii="仿宋_GB2312" w:hAnsi="仿宋_GB2312" w:cs="仿宋_GB2312" w:eastAsia="仿宋_GB2312"/>
          <w:sz w:val="28"/>
          <w:b/>
        </w:rPr>
        <w:t>安康学院</w:t>
      </w:r>
    </w:p>
    <w:p>
      <w:pPr>
        <w:pStyle w:val="null3"/>
        <w:jc w:val="center"/>
        <w:outlineLvl w:val="2"/>
      </w:pPr>
      <w:r>
        <w:rPr>
          <w:rFonts w:ascii="仿宋_GB2312" w:hAnsi="仿宋_GB2312" w:cs="仿宋_GB2312" w:eastAsia="仿宋_GB2312"/>
          <w:sz w:val="28"/>
          <w:b/>
        </w:rPr>
        <w:t>陕西正鸿项目管理有限公司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陕西正鸿项目管理有限公司</w:t>
      </w:r>
      <w:r>
        <w:rPr>
          <w:rFonts w:ascii="仿宋_GB2312" w:hAnsi="仿宋_GB2312" w:cs="仿宋_GB2312" w:eastAsia="仿宋_GB2312"/>
        </w:rPr>
        <w:t>（以下简称“代理机构”）受</w:t>
      </w:r>
      <w:r>
        <w:rPr>
          <w:rFonts w:ascii="仿宋_GB2312" w:hAnsi="仿宋_GB2312" w:cs="仿宋_GB2312" w:eastAsia="仿宋_GB2312"/>
        </w:rPr>
        <w:t>安康学院</w:t>
      </w:r>
      <w:r>
        <w:rPr>
          <w:rFonts w:ascii="仿宋_GB2312" w:hAnsi="仿宋_GB2312" w:cs="仿宋_GB2312" w:eastAsia="仿宋_GB2312"/>
        </w:rPr>
        <w:t>委托，拟对</w:t>
      </w:r>
      <w:r>
        <w:rPr>
          <w:rFonts w:ascii="仿宋_GB2312" w:hAnsi="仿宋_GB2312" w:cs="仿宋_GB2312" w:eastAsia="仿宋_GB2312"/>
        </w:rPr>
        <w:t>统计实验室项目(二次)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ZHZB-2026-GK-05028.1B1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统计实验室项目(二次)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本项目为统计学、应用统计分析微专业实验室改造建设项目，用于支撑《Python 数据分析》《文本挖掘》《人工智能与数据挖掘》等核心课程教学与实验实训。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法人提供经审计的2025年度财务报告（成立时间至投标文件递交截止时间不足一年的可提供成立后任意时段的资产负债表）或投标文件递交截止时间前六个月内银行出具的资信证明；其他组织和自然人提供银行出具的资信证明或财务报表。注：①提供财务报告的，内容至少包括审计报告、附注。根据《财政部关于注册会计师行业统一监管平台上线运行的通知》财办〔2022〕32号文件要求，审计报告须具有注册会计师行业统一监管平台https://acc.mof.gov.cn赋予的验证码，若审计报告未赋码视为无效。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有依法缴纳税收的良好记录：法人提供投标文件递交截止时间前一年内至少一个月依法缴纳税收的相关凭据（时间以税款所属日期为准，凭据应有税务机关或代收机关的公章或业务专用章）；其他组织和自然人提供缴纳税收的凭据；依法免税的投标人应提供相关文件证明</w:t>
      </w:r>
    </w:p>
    <w:p>
      <w:pPr>
        <w:pStyle w:val="null3"/>
      </w:pPr>
      <w:r>
        <w:rPr>
          <w:rFonts w:ascii="仿宋_GB2312" w:hAnsi="仿宋_GB2312" w:cs="仿宋_GB2312" w:eastAsia="仿宋_GB2312"/>
        </w:rPr>
        <w:t>4、有依法缴纳社会保障资金的良好记录：提供投标文件递交截止时间前一年内至少一个月已缴纳的社会保障资金的凭据（社会保障资金缴存单据或社保机构开具的社会保险参保缴费情况证明）；依法不需要缴纳社会保障资金的投标人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7、法定代表人授权书、法定代表人身份证明合格：提供合格的法定代表人授权书（附法定代表人、被授权人身份证复印件）或法定代表人身份证明（法定代表人直接参加的）</w:t>
      </w:r>
    </w:p>
    <w:p>
      <w:pPr>
        <w:pStyle w:val="null3"/>
      </w:pPr>
      <w:r>
        <w:rPr>
          <w:rFonts w:ascii="仿宋_GB2312" w:hAnsi="仿宋_GB2312" w:cs="仿宋_GB2312" w:eastAsia="仿宋_GB2312"/>
        </w:rPr>
        <w:t>8、信用承诺：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安康学院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陕西省安康市育才路92号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725000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0915-3288097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陕西省西安市曲江新区雁翔路3269号旺座曲江D座30层3003室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高欢欢、刘晓利、卫钰、肖崇阳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029-89338755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开户名称：陕西正鸿项目管理有限公司</w:t>
            </w:r>
          </w:p>
          <w:p>
            <w:pPr>
              <w:pStyle w:val="null3"/>
            </w:pPr>
            <w:r>
              <w:rPr>
                <w:rFonts w:ascii="仿宋_GB2312" w:hAnsi="仿宋_GB2312" w:cs="仿宋_GB2312" w:eastAsia="仿宋_GB2312"/>
              </w:rPr>
              <w:t>开户银行：交通银行股份有限公司西安大雁塔支行</w:t>
            </w:r>
          </w:p>
          <w:p>
            <w:pPr>
              <w:pStyle w:val="null3"/>
            </w:pPr>
            <w:r>
              <w:rPr>
                <w:rFonts w:ascii="仿宋_GB2312" w:hAnsi="仿宋_GB2312" w:cs="仿宋_GB2312" w:eastAsia="仿宋_GB2312"/>
              </w:rPr>
              <w:t>银行账号：611301053018010099844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本项目合同签订之日，乙方应向甲方递交履约保证金（项目总金额的5%）。若乙方出现合同约定的违约行为，甲方有权在履约保证金中优先扣除违约金，扣除违约金后履约保证金不足部分，乙方应在15天内补足。如乙方逾期未能补足履约保证金的，甲方有权单方解除合同并没收本合同约定金额的履约保证金。若乙方完成其合同义务并经验收合格后，乙方可向甲方书面提交退回履约保证金的申请。甲方收到乙方的退回履约保证金申请材料并经审核无误后，30天内将履约保证金无息退还乙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代理服务费收费标准：参照国家计委颁发的《招标代理服务收费管理暂行办法》（计价格[2002]1980号）和《关于招标代理服务收费有关问题的通知》（发改办价格[2003]857号）的有关规定标准及乙方相关承诺收取。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踏勘时间：2026-08-03 09:00:00</w:t>
            </w:r>
          </w:p>
          <w:p>
            <w:pPr>
              <w:pStyle w:val="null3"/>
              <w:ind w:firstLine="975"/>
            </w:pPr>
            <w:r>
              <w:rPr>
                <w:rFonts w:ascii="仿宋_GB2312" w:hAnsi="仿宋_GB2312" w:cs="仿宋_GB2312" w:eastAsia="仿宋_GB2312"/>
              </w:rPr>
              <w:t>踏勘地点：安康学院江南校区</w:t>
            </w:r>
          </w:p>
          <w:p>
            <w:pPr>
              <w:pStyle w:val="null3"/>
              <w:ind w:firstLine="975"/>
            </w:pPr>
            <w:r>
              <w:rPr>
                <w:rFonts w:ascii="仿宋_GB2312" w:hAnsi="仿宋_GB2312" w:cs="仿宋_GB2312" w:eastAsia="仿宋_GB2312"/>
              </w:rPr>
              <w:t>联系人：强老师</w:t>
            </w:r>
          </w:p>
          <w:p>
            <w:pPr>
              <w:pStyle w:val="null3"/>
              <w:ind w:firstLine="975"/>
            </w:pPr>
            <w:r>
              <w:rPr>
                <w:rFonts w:ascii="仿宋_GB2312" w:hAnsi="仿宋_GB2312" w:cs="仿宋_GB2312" w:eastAsia="仿宋_GB2312"/>
              </w:rPr>
              <w:t>联系电话号码：13893437606</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安康学院</w:t>
      </w:r>
      <w:r>
        <w:rPr>
          <w:rFonts w:ascii="仿宋_GB2312" w:hAnsi="仿宋_GB2312" w:cs="仿宋_GB2312" w:eastAsia="仿宋_GB2312"/>
        </w:rPr>
        <w:t>和</w:t>
      </w:r>
      <w:r>
        <w:rPr>
          <w:rFonts w:ascii="仿宋_GB2312" w:hAnsi="仿宋_GB2312" w:cs="仿宋_GB2312" w:eastAsia="仿宋_GB2312"/>
        </w:rPr>
        <w:t>陕西正鸿项目管理有限公司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安康学院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安康学院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使⽤该知识成果后，投标⼈需提供开发接⼝和开发⼿册等技术资料，并承诺提供⽆限期⽀持，采购⼈享有使⽤权（含采购⼈委托第三⽅在该项⽬后续开发的使⽤权）。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联系人：高欢欢</w:t>
      </w:r>
    </w:p>
    <w:p>
      <w:pPr>
        <w:pStyle w:val="null3"/>
      </w:pPr>
      <w:r>
        <w:rPr>
          <w:rFonts w:ascii="仿宋_GB2312" w:hAnsi="仿宋_GB2312" w:cs="仿宋_GB2312" w:eastAsia="仿宋_GB2312"/>
        </w:rPr>
        <w:t>联系电话：029-89338755</w:t>
      </w:r>
    </w:p>
    <w:p>
      <w:pPr>
        <w:pStyle w:val="null3"/>
      </w:pPr>
      <w:r>
        <w:rPr>
          <w:rFonts w:ascii="仿宋_GB2312" w:hAnsi="仿宋_GB2312" w:cs="仿宋_GB2312" w:eastAsia="仿宋_GB2312"/>
        </w:rPr>
        <w:t>地址：陕西省西安市曲江新区雁翔路3269号旺座曲江D座30层3003室</w:t>
      </w:r>
    </w:p>
    <w:p>
      <w:pPr>
        <w:pStyle w:val="null3"/>
      </w:pPr>
      <w:r>
        <w:rPr>
          <w:rFonts w:ascii="仿宋_GB2312" w:hAnsi="仿宋_GB2312" w:cs="仿宋_GB2312" w:eastAsia="仿宋_GB2312"/>
        </w:rPr>
        <w:t>邮编：710062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本项目为统计学、应用统计分析微专业实验室改造建设项目，用于支撑《Python 数据分析》《文本挖掘》《人工智能与数据挖掘》等核心课程教学与实验实训。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统计实验室项目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标的名称：统计实验室项目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一、教育教学管理系统（</w:t>
            </w:r>
            <w:r>
              <w:rPr>
                <w:rFonts w:ascii="仿宋_GB2312" w:hAnsi="仿宋_GB2312" w:cs="仿宋_GB2312" w:eastAsia="仿宋_GB2312"/>
                <w:sz w:val="24"/>
                <w:b/>
              </w:rPr>
              <w:t>1套</w:t>
            </w:r>
            <w:r>
              <w:rPr>
                <w:rFonts w:ascii="仿宋_GB2312" w:hAnsi="仿宋_GB2312" w:cs="仿宋_GB2312" w:eastAsia="仿宋_GB2312"/>
                <w:sz w:val="24"/>
                <w:b/>
              </w:rPr>
              <w:t>）（核心产品）</w:t>
            </w:r>
          </w:p>
          <w:p>
            <w:pPr>
              <w:pStyle w:val="null3"/>
              <w:jc w:val="left"/>
            </w:pPr>
            <w:r>
              <w:rPr>
                <w:rFonts w:ascii="仿宋_GB2312" w:hAnsi="仿宋_GB2312" w:cs="仿宋_GB2312" w:eastAsia="仿宋_GB2312"/>
                <w:sz w:val="24"/>
              </w:rPr>
              <w:t>1、支持监控视图，监控视图页面提供客户端画面监控缩略图，能够显示整个班级学生，并支持缩略图多级放大缩小。</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、管理</w:t>
            </w:r>
            <w:r>
              <w:rPr>
                <w:rFonts w:ascii="仿宋_GB2312" w:hAnsi="仿宋_GB2312" w:cs="仿宋_GB2312" w:eastAsia="仿宋_GB2312"/>
                <w:sz w:val="24"/>
              </w:rPr>
              <w:t>51</w:t>
            </w:r>
            <w:r>
              <w:rPr>
                <w:rFonts w:ascii="仿宋_GB2312" w:hAnsi="仿宋_GB2312" w:cs="仿宋_GB2312" w:eastAsia="仿宋_GB2312"/>
                <w:sz w:val="24"/>
              </w:rPr>
              <w:t>个终端，提供授权。</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、全面支持主流兼容虚拟机。</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、屏幕广播：将教师机屏幕和教师讲话实时广播给单一、部分或全体学生，可选择全屏或窗口方式。支持教师选定本机的全屏画面或者屏幕的任意区域画面广播给单一、部分或全体学生，支持窗口接收。</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、学生演示：教师选定一台学生机作为示范，由此学生代替教师进行示范教学。</w:t>
            </w:r>
          </w:p>
          <w:p>
            <w:pPr>
              <w:pStyle w:val="null3"/>
              <w:jc w:val="left"/>
            </w:pPr>
            <w:r>
              <w:rPr>
                <w:rFonts w:ascii="仿宋_GB2312" w:hAnsi="仿宋_GB2312" w:cs="仿宋_GB2312" w:eastAsia="仿宋_GB2312"/>
                <w:sz w:val="24"/>
              </w:rPr>
              <w:t>6、支持文件分发和文件收集功能；支持拖拽添加文件，可限制学生提交文件的数目和大小。</w:t>
            </w:r>
          </w:p>
          <w:p>
            <w:pPr>
              <w:pStyle w:val="null3"/>
              <w:jc w:val="left"/>
            </w:pPr>
            <w:r>
              <w:rPr>
                <w:rFonts w:ascii="仿宋_GB2312" w:hAnsi="仿宋_GB2312" w:cs="仿宋_GB2312" w:eastAsia="仿宋_GB2312"/>
                <w:sz w:val="24"/>
              </w:rPr>
              <w:t>7、屏幕监视：教师机可以监视单一、部分、全体学生机的屏幕，教师机每屏可监视多个学生屏幕。可以控制教师机监控的同屏幕各窗口间、屏幕与屏幕间的切换速度。可手动或自动循环监视。</w:t>
            </w:r>
          </w:p>
          <w:p>
            <w:pPr>
              <w:pStyle w:val="null3"/>
            </w:pPr>
            <w:r>
              <w:rPr>
                <w:rFonts w:ascii="仿宋_GB2312" w:hAnsi="仿宋_GB2312" w:cs="仿宋_GB2312" w:eastAsia="仿宋_GB2312"/>
                <w:sz w:val="24"/>
              </w:rPr>
              <w:t>8、适配统计学实验教学，支持现有统计软件（SPSS、R、STAT、PYTHON）的运行、支持师生互动、实验任务布置与批改、实验数据同步，兼容智慧黑板及校园教学管理系统。</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w:t>
            </w:r>
            <w:r>
              <w:rPr>
                <w:rFonts w:ascii="仿宋_GB2312" w:hAnsi="仿宋_GB2312" w:cs="仿宋_GB2312" w:eastAsia="仿宋_GB2312"/>
                <w:sz w:val="24"/>
              </w:rPr>
              <w:t>二、教师</w:t>
            </w:r>
            <w:r>
              <w:rPr>
                <w:rFonts w:ascii="仿宋_GB2312" w:hAnsi="仿宋_GB2312" w:cs="仿宋_GB2312" w:eastAsia="仿宋_GB2312"/>
                <w:sz w:val="24"/>
              </w:rPr>
              <w:t>终端</w:t>
            </w:r>
            <w:r>
              <w:rPr>
                <w:rFonts w:ascii="仿宋_GB2312" w:hAnsi="仿宋_GB2312" w:cs="仿宋_GB2312" w:eastAsia="仿宋_GB2312"/>
                <w:sz w:val="24"/>
              </w:rPr>
              <w:t>1</w:t>
            </w:r>
            <w:r>
              <w:rPr>
                <w:rFonts w:ascii="仿宋_GB2312" w:hAnsi="仿宋_GB2312" w:cs="仿宋_GB2312" w:eastAsia="仿宋_GB2312"/>
                <w:sz w:val="24"/>
              </w:rPr>
              <w:t>台，配置：</w:t>
            </w:r>
            <w:r>
              <w:rPr>
                <w:rFonts w:ascii="仿宋_GB2312" w:hAnsi="仿宋_GB2312" w:cs="仿宋_GB2312" w:eastAsia="仿宋_GB2312"/>
                <w:sz w:val="24"/>
              </w:rPr>
              <w:t>CPU≥20核，主频数≥2.1GHZ；内存：≥32G DDR4；独立显卡：显存≥8GB；硬盘：≥1TB 固态硬盘，支持机械硬盘扩展；显示器：显示屏尺寸≥23英寸（1920*1080，VGA+HDMI接口≥1，USB接口≥4）</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w:t>
            </w:r>
            <w:r>
              <w:rPr>
                <w:rFonts w:ascii="仿宋_GB2312" w:hAnsi="仿宋_GB2312" w:cs="仿宋_GB2312" w:eastAsia="仿宋_GB2312"/>
                <w:sz w:val="24"/>
              </w:rPr>
              <w:t>三、学生</w:t>
            </w:r>
            <w:r>
              <w:rPr>
                <w:rFonts w:ascii="仿宋_GB2312" w:hAnsi="仿宋_GB2312" w:cs="仿宋_GB2312" w:eastAsia="仿宋_GB2312"/>
                <w:sz w:val="24"/>
              </w:rPr>
              <w:t>终端</w:t>
            </w:r>
            <w:r>
              <w:rPr>
                <w:rFonts w:ascii="仿宋_GB2312" w:hAnsi="仿宋_GB2312" w:cs="仿宋_GB2312" w:eastAsia="仿宋_GB2312"/>
                <w:sz w:val="24"/>
              </w:rPr>
              <w:t>50</w:t>
            </w:r>
            <w:r>
              <w:rPr>
                <w:rFonts w:ascii="仿宋_GB2312" w:hAnsi="仿宋_GB2312" w:cs="仿宋_GB2312" w:eastAsia="仿宋_GB2312"/>
                <w:sz w:val="24"/>
              </w:rPr>
              <w:t>台，配置：</w:t>
            </w:r>
            <w:r>
              <w:rPr>
                <w:rFonts w:ascii="仿宋_GB2312" w:hAnsi="仿宋_GB2312" w:cs="仿宋_GB2312" w:eastAsia="仿宋_GB2312"/>
                <w:sz w:val="24"/>
              </w:rPr>
              <w:t>CPU≥20核，主频数≥2.1GH</w:t>
            </w:r>
            <w:r>
              <w:rPr>
                <w:rFonts w:ascii="仿宋_GB2312" w:hAnsi="仿宋_GB2312" w:cs="仿宋_GB2312" w:eastAsia="仿宋_GB2312"/>
                <w:sz w:val="24"/>
              </w:rPr>
              <w:t>z</w:t>
            </w:r>
            <w:r>
              <w:rPr>
                <w:rFonts w:ascii="仿宋_GB2312" w:hAnsi="仿宋_GB2312" w:cs="仿宋_GB2312" w:eastAsia="仿宋_GB2312"/>
                <w:sz w:val="24"/>
              </w:rPr>
              <w:t>；内存：</w:t>
            </w:r>
            <w:r>
              <w:rPr>
                <w:rFonts w:ascii="仿宋_GB2312" w:hAnsi="仿宋_GB2312" w:cs="仿宋_GB2312" w:eastAsia="仿宋_GB2312"/>
                <w:sz w:val="24"/>
              </w:rPr>
              <w:t>≥32G DDR4；独立显卡：显存≥</w:t>
            </w:r>
            <w:r>
              <w:rPr>
                <w:rFonts w:ascii="仿宋_GB2312" w:hAnsi="仿宋_GB2312" w:cs="仿宋_GB2312" w:eastAsia="仿宋_GB2312"/>
                <w:sz w:val="24"/>
              </w:rPr>
              <w:t>4GB</w:t>
            </w:r>
            <w:r>
              <w:rPr>
                <w:rFonts w:ascii="仿宋_GB2312" w:hAnsi="仿宋_GB2312" w:cs="仿宋_GB2312" w:eastAsia="仿宋_GB2312"/>
                <w:sz w:val="24"/>
              </w:rPr>
              <w:t>；硬盘：</w:t>
            </w:r>
            <w:r>
              <w:rPr>
                <w:rFonts w:ascii="仿宋_GB2312" w:hAnsi="仿宋_GB2312" w:cs="仿宋_GB2312" w:eastAsia="仿宋_GB2312"/>
                <w:sz w:val="24"/>
              </w:rPr>
              <w:t>≥</w:t>
            </w:r>
            <w:r>
              <w:rPr>
                <w:rFonts w:ascii="仿宋_GB2312" w:hAnsi="仿宋_GB2312" w:cs="仿宋_GB2312" w:eastAsia="仿宋_GB2312"/>
                <w:sz w:val="24"/>
              </w:rPr>
              <w:t>512GB</w:t>
            </w:r>
            <w:r>
              <w:rPr>
                <w:rFonts w:ascii="仿宋_GB2312" w:hAnsi="仿宋_GB2312" w:cs="仿宋_GB2312" w:eastAsia="仿宋_GB2312"/>
                <w:sz w:val="24"/>
              </w:rPr>
              <w:t xml:space="preserve"> </w:t>
            </w:r>
            <w:r>
              <w:rPr>
                <w:rFonts w:ascii="仿宋_GB2312" w:hAnsi="仿宋_GB2312" w:cs="仿宋_GB2312" w:eastAsia="仿宋_GB2312"/>
                <w:sz w:val="24"/>
              </w:rPr>
              <w:t>固态硬盘，支持机械硬盘扩展；显示器：显示屏尺寸</w:t>
            </w:r>
            <w:r>
              <w:rPr>
                <w:rFonts w:ascii="仿宋_GB2312" w:hAnsi="仿宋_GB2312" w:cs="仿宋_GB2312" w:eastAsia="仿宋_GB2312"/>
                <w:sz w:val="24"/>
              </w:rPr>
              <w:t>≥23英寸（1920*1080，VGA+HDMI接口≥1，USB接口≥4）</w:t>
            </w:r>
            <w:r>
              <w:rPr>
                <w:rFonts w:ascii="仿宋_GB2312" w:hAnsi="仿宋_GB2312" w:cs="仿宋_GB2312" w:eastAsia="仿宋_GB2312"/>
                <w:sz w:val="24"/>
              </w:rPr>
              <w:t>；</w:t>
            </w:r>
            <w:r>
              <w:rPr>
                <w:rFonts w:ascii="仿宋_GB2312" w:hAnsi="仿宋_GB2312" w:cs="仿宋_GB2312" w:eastAsia="仿宋_GB2312"/>
                <w:sz w:val="24"/>
              </w:rPr>
              <w:t>配正版国产操作系统，标配键鼠。</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rPr>
              <w:t>▲</w:t>
            </w:r>
            <w:r>
              <w:rPr>
                <w:rFonts w:ascii="仿宋_GB2312" w:hAnsi="仿宋_GB2312" w:cs="仿宋_GB2312" w:eastAsia="仿宋_GB2312"/>
                <w:sz w:val="24"/>
              </w:rPr>
              <w:t>四、</w:t>
            </w:r>
            <w:r>
              <w:rPr>
                <w:rFonts w:ascii="仿宋_GB2312" w:hAnsi="仿宋_GB2312" w:cs="仿宋_GB2312" w:eastAsia="仿宋_GB2312"/>
                <w:sz w:val="24"/>
              </w:rPr>
              <w:t>输出终端</w:t>
            </w:r>
            <w:r>
              <w:rPr>
                <w:rFonts w:ascii="仿宋_GB2312" w:hAnsi="仿宋_GB2312" w:cs="仿宋_GB2312" w:eastAsia="仿宋_GB2312"/>
                <w:sz w:val="24"/>
              </w:rPr>
              <w:t>1台，A4，彩色，激光，打印速度≥</w:t>
            </w:r>
            <w:r>
              <w:rPr>
                <w:rFonts w:ascii="仿宋_GB2312" w:hAnsi="仿宋_GB2312" w:cs="仿宋_GB2312" w:eastAsia="仿宋_GB2312"/>
                <w:sz w:val="24"/>
              </w:rPr>
              <w:t>35</w:t>
            </w:r>
            <w:r>
              <w:rPr>
                <w:rFonts w:ascii="仿宋_GB2312" w:hAnsi="仿宋_GB2312" w:cs="仿宋_GB2312" w:eastAsia="仿宋_GB2312"/>
                <w:sz w:val="24"/>
              </w:rPr>
              <w:t>ppm。</w:t>
            </w:r>
            <w:r>
              <w:rPr>
                <w:rFonts w:ascii="仿宋_GB2312" w:hAnsi="仿宋_GB2312" w:cs="仿宋_GB2312" w:eastAsia="仿宋_GB2312"/>
                <w:sz w:val="24"/>
              </w:rPr>
              <w:t>打印分辨率</w:t>
            </w:r>
            <w:r>
              <w:rPr>
                <w:rFonts w:ascii="仿宋_GB2312" w:hAnsi="仿宋_GB2312" w:cs="仿宋_GB2312" w:eastAsia="仿宋_GB2312"/>
                <w:sz w:val="24"/>
              </w:rPr>
              <w:t>1200×1200dpi</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五、</w:t>
            </w:r>
            <w:r>
              <w:rPr>
                <w:rFonts w:ascii="仿宋_GB2312" w:hAnsi="仿宋_GB2312" w:cs="仿宋_GB2312" w:eastAsia="仿宋_GB2312"/>
                <w:sz w:val="24"/>
              </w:rPr>
              <w:t>控温装置</w:t>
            </w:r>
            <w:r>
              <w:rPr>
                <w:rFonts w:ascii="仿宋_GB2312" w:hAnsi="仿宋_GB2312" w:cs="仿宋_GB2312" w:eastAsia="仿宋_GB2312"/>
                <w:sz w:val="24"/>
              </w:rPr>
              <w:t>2台：</w:t>
            </w:r>
          </w:p>
          <w:p>
            <w:pPr>
              <w:pStyle w:val="null3"/>
              <w:jc w:val="left"/>
            </w:pPr>
            <w:r>
              <w:rPr>
                <w:rFonts w:ascii="仿宋_GB2312" w:hAnsi="仿宋_GB2312" w:cs="仿宋_GB2312" w:eastAsia="仿宋_GB2312"/>
                <w:sz w:val="24"/>
              </w:rPr>
              <w:t>类型：立式；</w:t>
            </w:r>
            <w:r>
              <w:rPr>
                <w:rFonts w:ascii="仿宋_GB2312" w:hAnsi="仿宋_GB2312" w:cs="仿宋_GB2312" w:eastAsia="仿宋_GB2312"/>
                <w:sz w:val="24"/>
              </w:rPr>
              <w:t>变频</w:t>
            </w:r>
          </w:p>
          <w:p>
            <w:pPr>
              <w:pStyle w:val="null3"/>
              <w:jc w:val="left"/>
            </w:pPr>
            <w:r>
              <w:rPr>
                <w:rFonts w:ascii="仿宋_GB2312" w:hAnsi="仿宋_GB2312" w:cs="仿宋_GB2312" w:eastAsia="仿宋_GB2312"/>
                <w:sz w:val="24"/>
              </w:rPr>
              <w:t>制冷量：</w:t>
            </w:r>
            <w:r>
              <w:rPr>
                <w:rFonts w:ascii="仿宋_GB2312" w:hAnsi="仿宋_GB2312" w:cs="仿宋_GB2312" w:eastAsia="仿宋_GB2312"/>
                <w:sz w:val="24"/>
              </w:rPr>
              <w:t>≥7300W；</w:t>
            </w:r>
          </w:p>
          <w:p>
            <w:pPr>
              <w:pStyle w:val="null3"/>
              <w:jc w:val="left"/>
            </w:pPr>
            <w:r>
              <w:rPr>
                <w:rFonts w:ascii="仿宋_GB2312" w:hAnsi="仿宋_GB2312" w:cs="仿宋_GB2312" w:eastAsia="仿宋_GB2312"/>
                <w:sz w:val="24"/>
              </w:rPr>
              <w:t>制热量：</w:t>
            </w:r>
            <w:r>
              <w:rPr>
                <w:rFonts w:ascii="仿宋_GB2312" w:hAnsi="仿宋_GB2312" w:cs="仿宋_GB2312" w:eastAsia="仿宋_GB2312"/>
                <w:sz w:val="24"/>
              </w:rPr>
              <w:t>≥10000W；</w:t>
            </w:r>
          </w:p>
          <w:p>
            <w:pPr>
              <w:pStyle w:val="null3"/>
            </w:pPr>
            <w:r>
              <w:rPr>
                <w:rFonts w:ascii="仿宋_GB2312" w:hAnsi="仿宋_GB2312" w:cs="仿宋_GB2312" w:eastAsia="仿宋_GB2312"/>
                <w:sz w:val="24"/>
              </w:rPr>
              <w:t>能效等级：</w:t>
            </w:r>
            <w:r>
              <w:rPr>
                <w:rFonts w:ascii="仿宋_GB2312" w:hAnsi="仿宋_GB2312" w:cs="仿宋_GB2312" w:eastAsia="仿宋_GB2312"/>
                <w:sz w:val="24"/>
              </w:rPr>
              <w:t>Ⅰ级</w:t>
            </w:r>
            <w:r>
              <w:rPr>
                <w:rFonts w:ascii="仿宋_GB2312" w:hAnsi="仿宋_GB2312" w:cs="仿宋_GB2312" w:eastAsia="仿宋_GB2312"/>
                <w:sz w:val="24"/>
              </w:rPr>
              <w:t>；</w:t>
            </w:r>
          </w:p>
          <w:p>
            <w:pPr>
              <w:pStyle w:val="null3"/>
            </w:pPr>
            <w:r>
              <w:rPr>
                <w:rFonts w:ascii="仿宋_GB2312" w:hAnsi="仿宋_GB2312" w:cs="仿宋_GB2312" w:eastAsia="仿宋_GB2312"/>
                <w:sz w:val="24"/>
              </w:rPr>
              <w:t>含安装。</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六、</w:t>
            </w:r>
            <w:r>
              <w:rPr>
                <w:rFonts w:ascii="仿宋_GB2312" w:hAnsi="仿宋_GB2312" w:cs="仿宋_GB2312" w:eastAsia="仿宋_GB2312"/>
                <w:sz w:val="24"/>
              </w:rPr>
              <w:t>控温装置</w:t>
            </w:r>
            <w:r>
              <w:rPr>
                <w:rFonts w:ascii="仿宋_GB2312" w:hAnsi="仿宋_GB2312" w:cs="仿宋_GB2312" w:eastAsia="仿宋_GB2312"/>
                <w:sz w:val="24"/>
              </w:rPr>
              <w:t>1台：</w:t>
            </w:r>
          </w:p>
          <w:p>
            <w:pPr>
              <w:pStyle w:val="null3"/>
              <w:jc w:val="left"/>
            </w:pPr>
            <w:r>
              <w:rPr>
                <w:rFonts w:ascii="仿宋_GB2312" w:hAnsi="仿宋_GB2312" w:cs="仿宋_GB2312" w:eastAsia="仿宋_GB2312"/>
                <w:sz w:val="24"/>
              </w:rPr>
              <w:t>类型：挂式；</w:t>
            </w:r>
            <w:r>
              <w:rPr>
                <w:rFonts w:ascii="仿宋_GB2312" w:hAnsi="仿宋_GB2312" w:cs="仿宋_GB2312" w:eastAsia="仿宋_GB2312"/>
                <w:sz w:val="24"/>
              </w:rPr>
              <w:t>变频</w:t>
            </w:r>
          </w:p>
          <w:p>
            <w:pPr>
              <w:pStyle w:val="null3"/>
              <w:jc w:val="left"/>
            </w:pPr>
            <w:r>
              <w:rPr>
                <w:rFonts w:ascii="仿宋_GB2312" w:hAnsi="仿宋_GB2312" w:cs="仿宋_GB2312" w:eastAsia="仿宋_GB2312"/>
                <w:sz w:val="24"/>
              </w:rPr>
              <w:t>制冷量：</w:t>
            </w:r>
            <w:r>
              <w:rPr>
                <w:rFonts w:ascii="仿宋_GB2312" w:hAnsi="仿宋_GB2312" w:cs="仿宋_GB2312" w:eastAsia="仿宋_GB2312"/>
                <w:sz w:val="24"/>
              </w:rPr>
              <w:t>≥4600W；</w:t>
            </w:r>
          </w:p>
          <w:p>
            <w:pPr>
              <w:pStyle w:val="null3"/>
              <w:jc w:val="left"/>
            </w:pPr>
            <w:r>
              <w:rPr>
                <w:rFonts w:ascii="仿宋_GB2312" w:hAnsi="仿宋_GB2312" w:cs="仿宋_GB2312" w:eastAsia="仿宋_GB2312"/>
                <w:sz w:val="24"/>
              </w:rPr>
              <w:t>制热量：</w:t>
            </w:r>
            <w:r>
              <w:rPr>
                <w:rFonts w:ascii="仿宋_GB2312" w:hAnsi="仿宋_GB2312" w:cs="仿宋_GB2312" w:eastAsia="仿宋_GB2312"/>
                <w:sz w:val="24"/>
              </w:rPr>
              <w:t>≥6300W；</w:t>
            </w:r>
          </w:p>
          <w:p>
            <w:pPr>
              <w:pStyle w:val="null3"/>
            </w:pPr>
            <w:r>
              <w:rPr>
                <w:rFonts w:ascii="仿宋_GB2312" w:hAnsi="仿宋_GB2312" w:cs="仿宋_GB2312" w:eastAsia="仿宋_GB2312"/>
                <w:sz w:val="24"/>
              </w:rPr>
              <w:t>能效等级：</w:t>
            </w:r>
            <w:r>
              <w:rPr>
                <w:rFonts w:ascii="仿宋_GB2312" w:hAnsi="仿宋_GB2312" w:cs="仿宋_GB2312" w:eastAsia="仿宋_GB2312"/>
                <w:sz w:val="24"/>
              </w:rPr>
              <w:t>Ⅰ级</w:t>
            </w:r>
            <w:r>
              <w:rPr>
                <w:rFonts w:ascii="仿宋_GB2312" w:hAnsi="仿宋_GB2312" w:cs="仿宋_GB2312" w:eastAsia="仿宋_GB2312"/>
                <w:sz w:val="24"/>
              </w:rPr>
              <w:t>；</w:t>
            </w:r>
          </w:p>
          <w:p>
            <w:pPr>
              <w:pStyle w:val="null3"/>
            </w:pPr>
            <w:r>
              <w:rPr>
                <w:rFonts w:ascii="仿宋_GB2312" w:hAnsi="仿宋_GB2312" w:cs="仿宋_GB2312" w:eastAsia="仿宋_GB2312"/>
                <w:sz w:val="24"/>
              </w:rPr>
              <w:t>含安装。</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4"/>
                <w:b/>
              </w:rPr>
              <w:t>七</w:t>
            </w:r>
            <w:r>
              <w:rPr>
                <w:rFonts w:ascii="仿宋_GB2312" w:hAnsi="仿宋_GB2312" w:cs="仿宋_GB2312" w:eastAsia="仿宋_GB2312"/>
                <w:sz w:val="24"/>
                <w:b/>
              </w:rPr>
              <w:t>、教师桌椅（</w:t>
            </w:r>
            <w:r>
              <w:rPr>
                <w:rFonts w:ascii="仿宋_GB2312" w:hAnsi="仿宋_GB2312" w:cs="仿宋_GB2312" w:eastAsia="仿宋_GB2312"/>
                <w:sz w:val="24"/>
                <w:b/>
              </w:rPr>
              <w:t>1套）</w:t>
            </w:r>
          </w:p>
          <w:p>
            <w:pPr>
              <w:pStyle w:val="null3"/>
              <w:jc w:val="both"/>
            </w:pPr>
            <w:r>
              <w:rPr>
                <w:rFonts w:ascii="仿宋_GB2312" w:hAnsi="仿宋_GB2312" w:cs="仿宋_GB2312" w:eastAsia="仿宋_GB2312"/>
                <w:sz w:val="24"/>
              </w:rPr>
              <w:t>1、桌子，采用钢木结构。规格尺寸：W1400*D700*750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台面板材料厚度</w:t>
            </w:r>
            <w:r>
              <w:rPr>
                <w:rFonts w:ascii="仿宋_GB2312" w:hAnsi="仿宋_GB2312" w:cs="仿宋_GB2312" w:eastAsia="仿宋_GB2312"/>
                <w:sz w:val="24"/>
              </w:rPr>
              <w:t>≥25mm</w:t>
            </w:r>
            <w:r>
              <w:rPr>
                <w:rFonts w:ascii="仿宋_GB2312" w:hAnsi="仿宋_GB2312" w:cs="仿宋_GB2312" w:eastAsia="仿宋_GB2312"/>
                <w:sz w:val="24"/>
              </w:rPr>
              <w:t>，</w:t>
            </w:r>
            <w:r>
              <w:rPr>
                <w:rFonts w:ascii="仿宋_GB2312" w:hAnsi="仿宋_GB2312" w:cs="仿宋_GB2312" w:eastAsia="仿宋_GB2312"/>
                <w:sz w:val="24"/>
              </w:rPr>
              <w:t>桌挡板、活动柜、主机托材料厚度</w:t>
            </w:r>
            <w:r>
              <w:rPr>
                <w:rFonts w:ascii="仿宋_GB2312" w:hAnsi="仿宋_GB2312" w:cs="仿宋_GB2312" w:eastAsia="仿宋_GB2312"/>
                <w:sz w:val="24"/>
              </w:rPr>
              <w:t>≥</w:t>
            </w:r>
            <w:r>
              <w:rPr>
                <w:rFonts w:ascii="仿宋_GB2312" w:hAnsi="仿宋_GB2312" w:cs="仿宋_GB2312" w:eastAsia="仿宋_GB2312"/>
                <w:sz w:val="24"/>
              </w:rPr>
              <w:t>16</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材料采用</w:t>
            </w:r>
            <w:r>
              <w:rPr>
                <w:rFonts w:ascii="仿宋_GB2312" w:hAnsi="仿宋_GB2312" w:cs="仿宋_GB2312" w:eastAsia="仿宋_GB2312"/>
                <w:sz w:val="24"/>
              </w:rPr>
              <w:t>E</w:t>
            </w:r>
            <w:r>
              <w:rPr>
                <w:rFonts w:ascii="仿宋_GB2312" w:hAnsi="仿宋_GB2312" w:cs="仿宋_GB2312" w:eastAsia="仿宋_GB2312"/>
                <w:sz w:val="24"/>
                <w:vertAlign w:val="subscript"/>
              </w:rPr>
              <w:t>0</w:t>
            </w:r>
            <w:r>
              <w:rPr>
                <w:rFonts w:ascii="仿宋_GB2312" w:hAnsi="仿宋_GB2312" w:cs="仿宋_GB2312" w:eastAsia="仿宋_GB2312"/>
                <w:sz w:val="24"/>
              </w:rPr>
              <w:t>级双饰面刨花板，封边采用厚度</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PVC封边条，激光或PUR封边工艺；桌架采用壁厚</w:t>
            </w:r>
            <w:r>
              <w:rPr>
                <w:rFonts w:ascii="仿宋_GB2312" w:hAnsi="仿宋_GB2312" w:cs="仿宋_GB2312" w:eastAsia="仿宋_GB2312"/>
                <w:sz w:val="24"/>
              </w:rPr>
              <w:t>≥</w:t>
            </w:r>
            <w:r>
              <w:rPr>
                <w:rFonts w:ascii="仿宋_GB2312" w:hAnsi="仿宋_GB2312" w:cs="仿宋_GB2312" w:eastAsia="仿宋_GB2312"/>
                <w:sz w:val="24"/>
              </w:rPr>
              <w:t>1.5</w:t>
            </w:r>
            <w:r>
              <w:rPr>
                <w:rFonts w:ascii="仿宋_GB2312" w:hAnsi="仿宋_GB2312" w:cs="仿宋_GB2312" w:eastAsia="仿宋_GB2312"/>
                <w:sz w:val="24"/>
              </w:rPr>
              <w:t>mm</w:t>
            </w:r>
            <w:r>
              <w:rPr>
                <w:rFonts w:ascii="仿宋_GB2312" w:hAnsi="仿宋_GB2312" w:cs="仿宋_GB2312" w:eastAsia="仿宋_GB2312"/>
                <w:sz w:val="24"/>
              </w:rPr>
              <w:t>钢制型材，钢网片厚度</w:t>
            </w:r>
            <w:r>
              <w:rPr>
                <w:rFonts w:ascii="仿宋_GB2312" w:hAnsi="仿宋_GB2312" w:cs="仿宋_GB2312" w:eastAsia="仿宋_GB2312"/>
                <w:sz w:val="24"/>
              </w:rPr>
              <w:t>≥</w:t>
            </w:r>
            <w:r>
              <w:rPr>
                <w:rFonts w:ascii="仿宋_GB2312" w:hAnsi="仿宋_GB2312" w:cs="仿宋_GB2312" w:eastAsia="仿宋_GB2312"/>
                <w:sz w:val="24"/>
              </w:rPr>
              <w:t>0.8</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钢制工件表面除油、磷化处理后喷塑，四脚有耐磨防滑脚垫，厚度</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mm</w:t>
            </w:r>
            <w:r>
              <w:rPr>
                <w:rFonts w:ascii="仿宋_GB2312" w:hAnsi="仿宋_GB2312" w:cs="仿宋_GB2312" w:eastAsia="仿宋_GB2312"/>
                <w:sz w:val="24"/>
              </w:rPr>
              <w:t>。整体满足</w:t>
            </w:r>
            <w:r>
              <w:rPr>
                <w:rFonts w:ascii="仿宋_GB2312" w:hAnsi="仿宋_GB2312" w:cs="仿宋_GB2312" w:eastAsia="仿宋_GB2312"/>
                <w:sz w:val="24"/>
              </w:rPr>
              <w:t>GB/T 3325-2024 金属家具通用技术条件标准要求，材料满足GB/T 15102-2017 浸渍胶膜纸饰面纤维板和刨花板，QB/T 4463-2025家具用封边条标准要求。</w:t>
            </w:r>
          </w:p>
          <w:p>
            <w:pPr>
              <w:pStyle w:val="null3"/>
              <w:jc w:val="left"/>
            </w:pPr>
            <w:r>
              <w:rPr>
                <w:rFonts w:ascii="仿宋_GB2312" w:hAnsi="仿宋_GB2312" w:cs="仿宋_GB2312" w:eastAsia="仿宋_GB2312"/>
                <w:sz w:val="24"/>
              </w:rPr>
              <w:t>2、椅子，规格尺寸：规格尺寸W550</w:t>
            </w:r>
            <w:r>
              <w:rPr>
                <w:rFonts w:ascii="仿宋_GB2312" w:hAnsi="仿宋_GB2312" w:cs="仿宋_GB2312" w:eastAsia="仿宋_GB2312"/>
                <w:sz w:val="24"/>
              </w:rPr>
              <w:t>*</w:t>
            </w:r>
            <w:r>
              <w:rPr>
                <w:rFonts w:ascii="仿宋_GB2312" w:hAnsi="仿宋_GB2312" w:cs="仿宋_GB2312" w:eastAsia="仿宋_GB2312"/>
                <w:sz w:val="24"/>
              </w:rPr>
              <w:t>D560</w:t>
            </w:r>
            <w:r>
              <w:rPr>
                <w:rFonts w:ascii="仿宋_GB2312" w:hAnsi="仿宋_GB2312" w:cs="仿宋_GB2312" w:eastAsia="仿宋_GB2312"/>
                <w:sz w:val="24"/>
              </w:rPr>
              <w:t>*</w:t>
            </w:r>
            <w:r>
              <w:rPr>
                <w:rFonts w:ascii="仿宋_GB2312" w:hAnsi="仿宋_GB2312" w:cs="仿宋_GB2312" w:eastAsia="仿宋_GB2312"/>
                <w:sz w:val="24"/>
              </w:rPr>
              <w:t>H450/900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承重</w:t>
            </w:r>
            <w:r>
              <w:rPr>
                <w:rFonts w:ascii="仿宋_GB2312" w:hAnsi="仿宋_GB2312" w:cs="仿宋_GB2312" w:eastAsia="仿宋_GB2312"/>
                <w:sz w:val="24"/>
              </w:rPr>
              <w:t>≥</w:t>
            </w:r>
            <w:r>
              <w:rPr>
                <w:rFonts w:ascii="仿宋_GB2312" w:hAnsi="仿宋_GB2312" w:cs="仿宋_GB2312" w:eastAsia="仿宋_GB2312"/>
                <w:sz w:val="24"/>
              </w:rPr>
              <w:t>150kg；椅架采用钢制型材，断面尺寸≥50*25mm,壁厚≥1.5mm,横梁、连接杆采用40*20*1.2mm钢制型材，表面电镀工艺；椅背面料高弹透气网布，黑色条纹网格纹理；座面面料加厚网布或耐磨PU皮，厚度≥1.0mm,填充高弹海绵，海绵密度≥40kg/m³，厚度≥50mm,垫板采用厚度≥12mmE</w:t>
            </w:r>
            <w:r>
              <w:rPr>
                <w:rFonts w:ascii="仿宋_GB2312" w:hAnsi="仿宋_GB2312" w:cs="仿宋_GB2312" w:eastAsia="仿宋_GB2312"/>
                <w:sz w:val="24"/>
                <w:vertAlign w:val="subscript"/>
              </w:rPr>
              <w:t>0</w:t>
            </w:r>
            <w:r>
              <w:rPr>
                <w:rFonts w:ascii="仿宋_GB2312" w:hAnsi="仿宋_GB2312" w:cs="仿宋_GB2312" w:eastAsia="仿宋_GB2312"/>
                <w:sz w:val="24"/>
              </w:rPr>
              <w:t>级胶合板。有扶手，和椅架一体成型工艺，扶手表面有塑料盖板。整体满足</w:t>
            </w:r>
            <w:r>
              <w:rPr>
                <w:rFonts w:ascii="仿宋_GB2312" w:hAnsi="仿宋_GB2312" w:cs="仿宋_GB2312" w:eastAsia="仿宋_GB2312"/>
                <w:sz w:val="24"/>
              </w:rPr>
              <w:t>GB/T 2280-2016 办公家具 办公椅标准要求。</w:t>
            </w:r>
          </w:p>
          <w:p>
            <w:pPr>
              <w:pStyle w:val="null3"/>
              <w:jc w:val="left"/>
            </w:pPr>
            <w:r>
              <w:rPr>
                <w:rFonts w:ascii="仿宋_GB2312" w:hAnsi="仿宋_GB2312" w:cs="仿宋_GB2312" w:eastAsia="仿宋_GB2312"/>
                <w:sz w:val="24"/>
              </w:rPr>
              <w:t>3、五金：优质品牌五金件。桌面配35</w:t>
            </w:r>
            <w:r>
              <w:rPr>
                <w:rFonts w:ascii="仿宋_GB2312" w:hAnsi="仿宋_GB2312" w:cs="仿宋_GB2312" w:eastAsia="仿宋_GB2312"/>
                <w:sz w:val="24"/>
              </w:rPr>
              <w:t>mm</w:t>
            </w:r>
            <w:r>
              <w:rPr>
                <w:rFonts w:ascii="仿宋_GB2312" w:hAnsi="仿宋_GB2312" w:cs="仿宋_GB2312" w:eastAsia="仿宋_GB2312"/>
                <w:sz w:val="24"/>
              </w:rPr>
              <w:t>塑料穿线孔套，铝合金拉手，桌子配悬挂式</w:t>
            </w:r>
            <w:r>
              <w:rPr>
                <w:rFonts w:ascii="仿宋_GB2312" w:hAnsi="仿宋_GB2312" w:cs="仿宋_GB2312" w:eastAsia="仿宋_GB2312"/>
                <w:sz w:val="24"/>
              </w:rPr>
              <w:t>ABS材质键盘架，家具锁，缓冲暗铰链和导轨，可制动主机托脚轮，脚轮直径</w:t>
            </w:r>
            <w:r>
              <w:rPr>
                <w:rFonts w:ascii="仿宋_GB2312" w:hAnsi="仿宋_GB2312" w:cs="仿宋_GB2312" w:eastAsia="仿宋_GB2312"/>
                <w:sz w:val="24"/>
              </w:rPr>
              <w:t>≥</w:t>
            </w:r>
            <w:r>
              <w:rPr>
                <w:rFonts w:ascii="仿宋_GB2312" w:hAnsi="仿宋_GB2312" w:cs="仿宋_GB2312" w:eastAsia="仿宋_GB2312"/>
                <w:sz w:val="24"/>
              </w:rPr>
              <w:t>48</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满足</w:t>
            </w:r>
            <w:r>
              <w:rPr>
                <w:rFonts w:ascii="仿宋_GB2312" w:hAnsi="仿宋_GB2312" w:cs="仿宋_GB2312" w:eastAsia="仿宋_GB2312"/>
                <w:sz w:val="24"/>
              </w:rPr>
              <w:t>QB/T 4765-2014 家具用脚轮，QB/T 1621-2015 家具锁，QB/T 2189-2013 家具五金 杯状暗铰链，QB/T 2454-2013 家具五金 抽屉导轨标准要求。</w:t>
            </w:r>
          </w:p>
          <w:p>
            <w:pPr>
              <w:pStyle w:val="null3"/>
              <w:jc w:val="both"/>
            </w:pPr>
            <w:r>
              <w:rPr>
                <w:rFonts w:ascii="仿宋_GB2312" w:hAnsi="仿宋_GB2312" w:cs="仿宋_GB2312" w:eastAsia="仿宋_GB2312"/>
                <w:sz w:val="24"/>
              </w:rPr>
              <w:t>示意图</w:t>
            </w:r>
          </w:p>
          <w:p>
            <w:pPr>
              <w:pStyle w:val="null3"/>
              <w:jc w:val="both"/>
            </w:pPr>
            <w:r>
              <w:drawing>
                <wp:inline distT="0" distR="0" distB="0" distL="0">
                  <wp:extent cx="1621155" cy="162115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1621155"/>
                          </a:xfrm>
                          <a:prstGeom prst="rect">
                            <a:avLst/>
                          </a:prstGeom>
                        </pic:spPr>
                      </pic:pic>
                    </a:graphicData>
                  </a:graphic>
                </wp:inline>
              </w:drawing>
            </w:r>
          </w:p>
          <w:p>
            <w:pPr>
              <w:pStyle w:val="null3"/>
              <w:jc w:val="both"/>
            </w:pPr>
            <w:r>
              <w:drawing>
                <wp:inline distT="0" distR="0" distB="0" distL="0">
                  <wp:extent cx="1621155" cy="1197160"/>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1621155" cy="1197160"/>
                          </a:xfrm>
                          <a:prstGeom prst="rect">
                            <a:avLst/>
                          </a:prstGeom>
                        </pic:spPr>
                      </pic:pic>
                    </a:graphicData>
                  </a:graphic>
                </wp:inline>
              </w:drawing>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4"/>
                <w:b/>
              </w:rPr>
              <w:t>八</w:t>
            </w:r>
            <w:r>
              <w:rPr>
                <w:rFonts w:ascii="仿宋_GB2312" w:hAnsi="仿宋_GB2312" w:cs="仿宋_GB2312" w:eastAsia="仿宋_GB2312"/>
                <w:sz w:val="24"/>
                <w:b/>
              </w:rPr>
              <w:t>、学生桌凳（</w:t>
            </w:r>
            <w:r>
              <w:rPr>
                <w:rFonts w:ascii="仿宋_GB2312" w:hAnsi="仿宋_GB2312" w:cs="仿宋_GB2312" w:eastAsia="仿宋_GB2312"/>
                <w:sz w:val="24"/>
                <w:b/>
              </w:rPr>
              <w:t>25套）</w:t>
            </w:r>
          </w:p>
          <w:p>
            <w:pPr>
              <w:pStyle w:val="null3"/>
              <w:jc w:val="both"/>
            </w:pPr>
            <w:r>
              <w:rPr>
                <w:rFonts w:ascii="仿宋_GB2312" w:hAnsi="仿宋_GB2312" w:cs="仿宋_GB2312" w:eastAsia="仿宋_GB2312"/>
                <w:sz w:val="24"/>
              </w:rPr>
              <w:t>1、桌子，钢木结构，规格尺寸W</w:t>
            </w:r>
            <w:r>
              <w:rPr>
                <w:rFonts w:ascii="仿宋_GB2312" w:hAnsi="仿宋_GB2312" w:cs="仿宋_GB2312" w:eastAsia="仿宋_GB2312"/>
                <w:sz w:val="24"/>
              </w:rPr>
              <w:t>1200*</w:t>
            </w:r>
            <w:r>
              <w:rPr>
                <w:rFonts w:ascii="仿宋_GB2312" w:hAnsi="仿宋_GB2312" w:cs="仿宋_GB2312" w:eastAsia="仿宋_GB2312"/>
                <w:sz w:val="24"/>
              </w:rPr>
              <w:t>D</w:t>
            </w:r>
            <w:r>
              <w:rPr>
                <w:rFonts w:ascii="仿宋_GB2312" w:hAnsi="仿宋_GB2312" w:cs="仿宋_GB2312" w:eastAsia="仿宋_GB2312"/>
                <w:sz w:val="24"/>
              </w:rPr>
              <w:t>600*</w:t>
            </w:r>
            <w:r>
              <w:rPr>
                <w:rFonts w:ascii="仿宋_GB2312" w:hAnsi="仿宋_GB2312" w:cs="仿宋_GB2312" w:eastAsia="仿宋_GB2312"/>
                <w:sz w:val="24"/>
              </w:rPr>
              <w:t>H</w:t>
            </w:r>
            <w:r>
              <w:rPr>
                <w:rFonts w:ascii="仿宋_GB2312" w:hAnsi="仿宋_GB2312" w:cs="仿宋_GB2312" w:eastAsia="仿宋_GB2312"/>
                <w:sz w:val="24"/>
              </w:rPr>
              <w:t>750mm</w:t>
            </w:r>
            <w:r>
              <w:rPr>
                <w:rFonts w:ascii="仿宋_GB2312" w:hAnsi="仿宋_GB2312" w:cs="仿宋_GB2312" w:eastAsia="仿宋_GB2312"/>
                <w:sz w:val="24"/>
              </w:rPr>
              <w:t>，</w:t>
            </w:r>
            <w:r>
              <w:rPr>
                <w:rFonts w:ascii="仿宋_GB2312" w:hAnsi="仿宋_GB2312" w:cs="仿宋_GB2312" w:eastAsia="仿宋_GB2312"/>
                <w:sz w:val="24"/>
              </w:rPr>
              <w:t>台面板材料厚度</w:t>
            </w:r>
            <w:r>
              <w:rPr>
                <w:rFonts w:ascii="仿宋_GB2312" w:hAnsi="仿宋_GB2312" w:cs="仿宋_GB2312" w:eastAsia="仿宋_GB2312"/>
                <w:sz w:val="24"/>
              </w:rPr>
              <w:t>≥25mm</w:t>
            </w:r>
            <w:r>
              <w:rPr>
                <w:rFonts w:ascii="仿宋_GB2312" w:hAnsi="仿宋_GB2312" w:cs="仿宋_GB2312" w:eastAsia="仿宋_GB2312"/>
                <w:sz w:val="24"/>
              </w:rPr>
              <w:t>，</w:t>
            </w:r>
            <w:r>
              <w:rPr>
                <w:rFonts w:ascii="仿宋_GB2312" w:hAnsi="仿宋_GB2312" w:cs="仿宋_GB2312" w:eastAsia="仿宋_GB2312"/>
                <w:sz w:val="24"/>
              </w:rPr>
              <w:t>桌挡板、主机柜材料厚度</w:t>
            </w:r>
            <w:r>
              <w:rPr>
                <w:rFonts w:ascii="仿宋_GB2312" w:hAnsi="仿宋_GB2312" w:cs="仿宋_GB2312" w:eastAsia="仿宋_GB2312"/>
                <w:sz w:val="24"/>
              </w:rPr>
              <w:t>≥</w:t>
            </w:r>
            <w:r>
              <w:rPr>
                <w:rFonts w:ascii="仿宋_GB2312" w:hAnsi="仿宋_GB2312" w:cs="仿宋_GB2312" w:eastAsia="仿宋_GB2312"/>
                <w:sz w:val="24"/>
              </w:rPr>
              <w:t>16</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材料采用</w:t>
            </w:r>
            <w:r>
              <w:rPr>
                <w:rFonts w:ascii="仿宋_GB2312" w:hAnsi="仿宋_GB2312" w:cs="仿宋_GB2312" w:eastAsia="仿宋_GB2312"/>
                <w:sz w:val="24"/>
              </w:rPr>
              <w:t>E</w:t>
            </w:r>
            <w:r>
              <w:rPr>
                <w:rFonts w:ascii="仿宋_GB2312" w:hAnsi="仿宋_GB2312" w:cs="仿宋_GB2312" w:eastAsia="仿宋_GB2312"/>
                <w:sz w:val="24"/>
                <w:vertAlign w:val="subscript"/>
              </w:rPr>
              <w:t>0</w:t>
            </w:r>
            <w:r>
              <w:rPr>
                <w:rFonts w:ascii="仿宋_GB2312" w:hAnsi="仿宋_GB2312" w:cs="仿宋_GB2312" w:eastAsia="仿宋_GB2312"/>
                <w:sz w:val="24"/>
              </w:rPr>
              <w:t>级双饰面刨花板，封边采用厚度</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PVC封边条，激光或PUR封边工艺；桌架采用壁厚</w:t>
            </w:r>
            <w:r>
              <w:rPr>
                <w:rFonts w:ascii="仿宋_GB2312" w:hAnsi="仿宋_GB2312" w:cs="仿宋_GB2312" w:eastAsia="仿宋_GB2312"/>
                <w:sz w:val="24"/>
              </w:rPr>
              <w:t>≥</w:t>
            </w:r>
            <w:r>
              <w:rPr>
                <w:rFonts w:ascii="仿宋_GB2312" w:hAnsi="仿宋_GB2312" w:cs="仿宋_GB2312" w:eastAsia="仿宋_GB2312"/>
                <w:sz w:val="24"/>
              </w:rPr>
              <w:t>1.5</w:t>
            </w:r>
            <w:r>
              <w:rPr>
                <w:rFonts w:ascii="仿宋_GB2312" w:hAnsi="仿宋_GB2312" w:cs="仿宋_GB2312" w:eastAsia="仿宋_GB2312"/>
                <w:sz w:val="24"/>
              </w:rPr>
              <w:t>mm</w:t>
            </w:r>
            <w:r>
              <w:rPr>
                <w:rFonts w:ascii="仿宋_GB2312" w:hAnsi="仿宋_GB2312" w:cs="仿宋_GB2312" w:eastAsia="仿宋_GB2312"/>
                <w:sz w:val="24"/>
              </w:rPr>
              <w:t>钢制型材，钢制工件表面除油、磷化处理后喷塑，四脚有耐磨防滑脚垫，厚度</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2、方凳，钢木结构，规格尺寸W350</w:t>
            </w:r>
            <w:r>
              <w:rPr>
                <w:rFonts w:ascii="仿宋_GB2312" w:hAnsi="仿宋_GB2312" w:cs="仿宋_GB2312" w:eastAsia="仿宋_GB2312"/>
                <w:sz w:val="24"/>
              </w:rPr>
              <w:t>*</w:t>
            </w:r>
            <w:r>
              <w:rPr>
                <w:rFonts w:ascii="仿宋_GB2312" w:hAnsi="仿宋_GB2312" w:cs="仿宋_GB2312" w:eastAsia="仿宋_GB2312"/>
                <w:sz w:val="24"/>
              </w:rPr>
              <w:t>D250</w:t>
            </w:r>
            <w:r>
              <w:rPr>
                <w:rFonts w:ascii="仿宋_GB2312" w:hAnsi="仿宋_GB2312" w:cs="仿宋_GB2312" w:eastAsia="仿宋_GB2312"/>
                <w:sz w:val="24"/>
              </w:rPr>
              <w:t>*</w:t>
            </w:r>
            <w:r>
              <w:rPr>
                <w:rFonts w:ascii="仿宋_GB2312" w:hAnsi="仿宋_GB2312" w:cs="仿宋_GB2312" w:eastAsia="仿宋_GB2312"/>
                <w:sz w:val="24"/>
              </w:rPr>
              <w:t>H450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凳面采用厚度</w:t>
            </w:r>
            <w:r>
              <w:rPr>
                <w:rFonts w:ascii="仿宋_GB2312" w:hAnsi="仿宋_GB2312" w:cs="仿宋_GB2312" w:eastAsia="仿宋_GB2312"/>
                <w:sz w:val="24"/>
              </w:rPr>
              <w:t>≥</w:t>
            </w:r>
            <w:r>
              <w:rPr>
                <w:rFonts w:ascii="仿宋_GB2312" w:hAnsi="仿宋_GB2312" w:cs="仿宋_GB2312" w:eastAsia="仿宋_GB2312"/>
                <w:sz w:val="24"/>
              </w:rPr>
              <w:t>25</w:t>
            </w:r>
            <w:r>
              <w:rPr>
                <w:rFonts w:ascii="仿宋_GB2312" w:hAnsi="仿宋_GB2312" w:cs="仿宋_GB2312" w:eastAsia="仿宋_GB2312"/>
                <w:sz w:val="24"/>
              </w:rPr>
              <w:t>mm</w:t>
            </w:r>
            <w:r>
              <w:rPr>
                <w:rFonts w:ascii="仿宋_GB2312" w:hAnsi="仿宋_GB2312" w:cs="仿宋_GB2312" w:eastAsia="仿宋_GB2312"/>
                <w:sz w:val="24"/>
              </w:rPr>
              <w:t>E</w:t>
            </w:r>
            <w:r>
              <w:rPr>
                <w:rFonts w:ascii="仿宋_GB2312" w:hAnsi="仿宋_GB2312" w:cs="仿宋_GB2312" w:eastAsia="仿宋_GB2312"/>
                <w:sz w:val="24"/>
                <w:vertAlign w:val="subscript"/>
              </w:rPr>
              <w:t>0</w:t>
            </w:r>
            <w:r>
              <w:rPr>
                <w:rFonts w:ascii="仿宋_GB2312" w:hAnsi="仿宋_GB2312" w:cs="仿宋_GB2312" w:eastAsia="仿宋_GB2312"/>
                <w:sz w:val="24"/>
              </w:rPr>
              <w:t>级双饰面刨花板，封边采用厚度</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PVC封边条，激光或PUR封边工艺；凳架采用壁厚</w:t>
            </w:r>
            <w:r>
              <w:rPr>
                <w:rFonts w:ascii="仿宋_GB2312" w:hAnsi="仿宋_GB2312" w:cs="仿宋_GB2312" w:eastAsia="仿宋_GB2312"/>
                <w:sz w:val="24"/>
              </w:rPr>
              <w:t>≥</w:t>
            </w:r>
            <w:r>
              <w:rPr>
                <w:rFonts w:ascii="仿宋_GB2312" w:hAnsi="仿宋_GB2312" w:cs="仿宋_GB2312" w:eastAsia="仿宋_GB2312"/>
                <w:sz w:val="24"/>
              </w:rPr>
              <w:t>1.5钢制型材焊接而成，钢制工件表面除油、磷化处理后喷塑，四脚有耐磨防滑脚垫，厚度</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3、优质品牌防锈</w:t>
            </w:r>
            <w:r>
              <w:rPr>
                <w:rFonts w:ascii="仿宋_GB2312" w:hAnsi="仿宋_GB2312" w:cs="仿宋_GB2312" w:eastAsia="仿宋_GB2312"/>
                <w:sz w:val="24"/>
              </w:rPr>
              <w:t>五金件</w:t>
            </w:r>
            <w:r>
              <w:rPr>
                <w:rFonts w:ascii="仿宋_GB2312" w:hAnsi="仿宋_GB2312" w:cs="仿宋_GB2312" w:eastAsia="仿宋_GB2312"/>
                <w:sz w:val="24"/>
              </w:rPr>
              <w:t>，</w:t>
            </w:r>
            <w:r>
              <w:rPr>
                <w:rFonts w:ascii="仿宋_GB2312" w:hAnsi="仿宋_GB2312" w:cs="仿宋_GB2312" w:eastAsia="仿宋_GB2312"/>
                <w:sz w:val="24"/>
              </w:rPr>
              <w:t>桌面配</w:t>
            </w:r>
            <w:r>
              <w:rPr>
                <w:rFonts w:ascii="仿宋_GB2312" w:hAnsi="仿宋_GB2312" w:cs="仿宋_GB2312" w:eastAsia="仿宋_GB2312"/>
                <w:sz w:val="24"/>
              </w:rPr>
              <w:t>35</w:t>
            </w:r>
            <w:r>
              <w:rPr>
                <w:rFonts w:ascii="仿宋_GB2312" w:hAnsi="仿宋_GB2312" w:cs="仿宋_GB2312" w:eastAsia="仿宋_GB2312"/>
                <w:sz w:val="24"/>
              </w:rPr>
              <w:t>mm</w:t>
            </w:r>
            <w:r>
              <w:rPr>
                <w:rFonts w:ascii="仿宋_GB2312" w:hAnsi="仿宋_GB2312" w:cs="仿宋_GB2312" w:eastAsia="仿宋_GB2312"/>
                <w:sz w:val="24"/>
              </w:rPr>
              <w:t>塑料穿线孔套。</w:t>
            </w:r>
          </w:p>
          <w:p>
            <w:pPr>
              <w:pStyle w:val="null3"/>
              <w:jc w:val="both"/>
            </w:pPr>
            <w:r>
              <w:rPr>
                <w:rFonts w:ascii="仿宋_GB2312" w:hAnsi="仿宋_GB2312" w:cs="仿宋_GB2312" w:eastAsia="仿宋_GB2312"/>
                <w:sz w:val="24"/>
              </w:rPr>
              <w:t>示意图</w:t>
            </w:r>
          </w:p>
          <w:p>
            <w:pPr>
              <w:pStyle w:val="null3"/>
              <w:jc w:val="both"/>
            </w:pPr>
            <w:r>
              <w:drawing>
                <wp:inline distT="0" distR="0" distB="0" distL="0">
                  <wp:extent cx="1621155" cy="1330178"/>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8"/>
                          <a:stretch>
                            <a:fillRect/>
                          </a:stretch>
                        </pic:blipFill>
                        <pic:spPr>
                          <a:xfrm>
                            <a:off x="0" y="0"/>
                            <a:ext cx="1621155" cy="1330178"/>
                          </a:xfrm>
                          <a:prstGeom prst="rect">
                            <a:avLst/>
                          </a:prstGeom>
                        </pic:spPr>
                      </pic:pic>
                    </a:graphicData>
                  </a:graphic>
                </wp:inline>
              </w:drawing>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4"/>
                <w:b/>
              </w:rPr>
              <w:t>九</w:t>
            </w:r>
            <w:r>
              <w:rPr>
                <w:rFonts w:ascii="仿宋_GB2312" w:hAnsi="仿宋_GB2312" w:cs="仿宋_GB2312" w:eastAsia="仿宋_GB2312"/>
                <w:sz w:val="24"/>
                <w:b/>
              </w:rPr>
              <w:t>、智慧黑板（</w:t>
            </w:r>
            <w:r>
              <w:rPr>
                <w:rFonts w:ascii="仿宋_GB2312" w:hAnsi="仿宋_GB2312" w:cs="仿宋_GB2312" w:eastAsia="仿宋_GB2312"/>
                <w:sz w:val="24"/>
                <w:b/>
              </w:rPr>
              <w:t>1套）</w:t>
            </w:r>
          </w:p>
          <w:p>
            <w:pPr>
              <w:pStyle w:val="null3"/>
              <w:jc w:val="left"/>
            </w:pPr>
            <w:r>
              <w:rPr>
                <w:rFonts w:ascii="仿宋_GB2312" w:hAnsi="仿宋_GB2312" w:cs="仿宋_GB2312" w:eastAsia="仿宋_GB2312"/>
                <w:sz w:val="24"/>
              </w:rPr>
              <w:t>1、整机采用全金属外壳，三拼接平面一体化设计；整体外观尺寸：宽≥4200mm，高≥1200mm。</w:t>
            </w:r>
          </w:p>
          <w:p>
            <w:pPr>
              <w:pStyle w:val="null3"/>
              <w:jc w:val="left"/>
            </w:pPr>
            <w:r>
              <w:rPr>
                <w:rFonts w:ascii="仿宋_GB2312" w:hAnsi="仿宋_GB2312" w:cs="仿宋_GB2312" w:eastAsia="仿宋_GB2312"/>
                <w:sz w:val="24"/>
              </w:rPr>
              <w:t>2、整机两侧副屏可支持以下媒介（普通粉笔、液体粉笔）进行板书书写。副屏支持磁吸附功能。</w:t>
            </w:r>
          </w:p>
          <w:p>
            <w:pPr>
              <w:pStyle w:val="null3"/>
              <w:jc w:val="left"/>
            </w:pPr>
            <w:r>
              <w:rPr>
                <w:rFonts w:ascii="仿宋_GB2312" w:hAnsi="仿宋_GB2312" w:cs="仿宋_GB2312" w:eastAsia="仿宋_GB2312"/>
                <w:sz w:val="24"/>
              </w:rPr>
              <w:t>3、智能语音助手：整机内置语音助手，通过整机麦克风及智能笔以唤醒词调起语音助手，支持语音交互的方式调节整机音量、亮度，语音操控打开系统已安装应用如：教学白板、浏览器、计算器、画板，语音搜索指定网页内容，支持选择网页中的视频进行播放或暂停。</w:t>
            </w:r>
          </w:p>
          <w:p>
            <w:pPr>
              <w:pStyle w:val="null3"/>
              <w:jc w:val="left"/>
            </w:pPr>
            <w:r>
              <w:rPr>
                <w:rFonts w:ascii="仿宋_GB2312" w:hAnsi="仿宋_GB2312" w:cs="仿宋_GB2312" w:eastAsia="仿宋_GB2312"/>
                <w:sz w:val="24"/>
              </w:rPr>
              <w:t>4、设备内置双WiFi6无线网卡，支持有线及无线网络连接，在主流系统下，可实现Wi-Fi无线上网连接、AP无线热点发射，支持蓝牙Bluetooth 5.4或以上标准。</w:t>
            </w:r>
          </w:p>
          <w:p>
            <w:pPr>
              <w:pStyle w:val="null3"/>
              <w:jc w:val="both"/>
            </w:pPr>
            <w:r>
              <w:rPr>
                <w:rFonts w:ascii="仿宋_GB2312" w:hAnsi="仿宋_GB2312" w:cs="仿宋_GB2312" w:eastAsia="仿宋_GB2312"/>
                <w:sz w:val="24"/>
              </w:rPr>
              <w:t>5、支持智能手机与整机无需在同一局域网内，可实现配对，一键投屏。</w:t>
            </w:r>
          </w:p>
          <w:p>
            <w:pPr>
              <w:pStyle w:val="null3"/>
              <w:jc w:val="left"/>
            </w:pPr>
            <w:r>
              <w:rPr>
                <w:rFonts w:ascii="仿宋_GB2312" w:hAnsi="仿宋_GB2312" w:cs="仿宋_GB2312" w:eastAsia="仿宋_GB2312"/>
                <w:sz w:val="24"/>
              </w:rPr>
              <w:t>▲6、整机采用≥</w:t>
            </w:r>
            <w:r>
              <w:rPr>
                <w:rFonts w:ascii="仿宋_GB2312" w:hAnsi="仿宋_GB2312" w:cs="仿宋_GB2312" w:eastAsia="仿宋_GB2312"/>
                <w:sz w:val="24"/>
              </w:rPr>
              <w:t>12</w:t>
            </w:r>
            <w:r>
              <w:rPr>
                <w:rFonts w:ascii="仿宋_GB2312" w:hAnsi="仿宋_GB2312" w:cs="仿宋_GB2312" w:eastAsia="仿宋_GB2312"/>
                <w:sz w:val="24"/>
              </w:rPr>
              <w:t>核国产化嵌入式芯片，整机嵌入式系统</w:t>
            </w:r>
            <w:r>
              <w:rPr>
                <w:rFonts w:ascii="仿宋_GB2312" w:hAnsi="仿宋_GB2312" w:cs="仿宋_GB2312" w:eastAsia="仿宋_GB2312"/>
                <w:sz w:val="24"/>
              </w:rPr>
              <w:t>CPU≥8核，主频≥1.6GHz，内存≥2GB，DDR最大速率≥2666MT/S，存储空间≥32GB。</w:t>
            </w:r>
          </w:p>
          <w:p>
            <w:pPr>
              <w:pStyle w:val="null3"/>
              <w:jc w:val="left"/>
            </w:pPr>
            <w:r>
              <w:rPr>
                <w:rFonts w:ascii="仿宋_GB2312" w:hAnsi="仿宋_GB2312" w:cs="仿宋_GB2312" w:eastAsia="仿宋_GB2312"/>
                <w:sz w:val="24"/>
              </w:rPr>
              <w:t>▲7、主屏屏幕≥86英寸液晶显示器；显示分辨率≥3840x2160，可视角度≥178°。</w:t>
            </w:r>
          </w:p>
          <w:p>
            <w:pPr>
              <w:pStyle w:val="null3"/>
              <w:jc w:val="left"/>
            </w:pPr>
            <w:r>
              <w:rPr>
                <w:rFonts w:ascii="仿宋_GB2312" w:hAnsi="仿宋_GB2312" w:cs="仿宋_GB2312" w:eastAsia="仿宋_GB2312"/>
                <w:sz w:val="24"/>
              </w:rPr>
              <w:t>▲8、设备书写触控延迟≤25ms，触摸响应≤4ms。</w:t>
            </w:r>
          </w:p>
          <w:p>
            <w:pPr>
              <w:pStyle w:val="null3"/>
            </w:pPr>
            <w:r>
              <w:rPr>
                <w:rFonts w:ascii="仿宋_GB2312" w:hAnsi="仿宋_GB2312" w:cs="仿宋_GB2312" w:eastAsia="仿宋_GB2312"/>
                <w:sz w:val="24"/>
              </w:rPr>
              <w:t>▲9、端口：电源开关≥1个；USB3.0接口≥3个；HDMI接口≥2个。</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4"/>
                <w:b/>
              </w:rPr>
              <w:t>十</w:t>
            </w:r>
            <w:r>
              <w:rPr>
                <w:rFonts w:ascii="仿宋_GB2312" w:hAnsi="仿宋_GB2312" w:cs="仿宋_GB2312" w:eastAsia="仿宋_GB2312"/>
                <w:sz w:val="24"/>
                <w:b/>
              </w:rPr>
              <w:t>、交换机（</w:t>
            </w:r>
            <w:r>
              <w:rPr>
                <w:rFonts w:ascii="仿宋_GB2312" w:hAnsi="仿宋_GB2312" w:cs="仿宋_GB2312" w:eastAsia="仿宋_GB2312"/>
                <w:sz w:val="24"/>
                <w:b/>
              </w:rPr>
              <w:t>3台）</w:t>
            </w:r>
          </w:p>
          <w:p>
            <w:pPr>
              <w:pStyle w:val="null3"/>
              <w:jc w:val="left"/>
            </w:pPr>
            <w:r>
              <w:rPr>
                <w:rFonts w:ascii="仿宋_GB2312" w:hAnsi="仿宋_GB2312" w:cs="仿宋_GB2312" w:eastAsia="仿宋_GB2312"/>
                <w:sz w:val="24"/>
              </w:rPr>
              <w:t>▲1、性能：交换容量≥</w:t>
            </w:r>
            <w:r>
              <w:rPr>
                <w:rFonts w:ascii="仿宋_GB2312" w:hAnsi="仿宋_GB2312" w:cs="仿宋_GB2312" w:eastAsia="仿宋_GB2312"/>
                <w:sz w:val="24"/>
              </w:rPr>
              <w:t>50</w:t>
            </w:r>
            <w:r>
              <w:rPr>
                <w:rFonts w:ascii="仿宋_GB2312" w:hAnsi="仿宋_GB2312" w:cs="仿宋_GB2312" w:eastAsia="仿宋_GB2312"/>
                <w:sz w:val="24"/>
              </w:rPr>
              <w:t>Gbps；转发性能≥</w:t>
            </w:r>
            <w:r>
              <w:rPr>
                <w:rFonts w:ascii="仿宋_GB2312" w:hAnsi="仿宋_GB2312" w:cs="仿宋_GB2312" w:eastAsia="仿宋_GB2312"/>
                <w:sz w:val="24"/>
              </w:rPr>
              <w:t>38</w:t>
            </w:r>
            <w:r>
              <w:rPr>
                <w:rFonts w:ascii="仿宋_GB2312" w:hAnsi="仿宋_GB2312" w:cs="仿宋_GB2312" w:eastAsia="仿宋_GB2312"/>
                <w:sz w:val="24"/>
              </w:rPr>
              <w:t>Mpps；</w:t>
            </w:r>
          </w:p>
          <w:p>
            <w:pPr>
              <w:pStyle w:val="null3"/>
              <w:jc w:val="left"/>
            </w:pPr>
            <w:r>
              <w:rPr>
                <w:rFonts w:ascii="仿宋_GB2312" w:hAnsi="仿宋_GB2312" w:cs="仿宋_GB2312" w:eastAsia="仿宋_GB2312"/>
                <w:sz w:val="24"/>
              </w:rPr>
              <w:t>▲2、千兆POE 电口≥24 个，千兆 SFP 光口 ≥2 个；</w:t>
            </w:r>
          </w:p>
          <w:p>
            <w:pPr>
              <w:pStyle w:val="null3"/>
            </w:pPr>
            <w:r>
              <w:rPr>
                <w:rFonts w:ascii="仿宋_GB2312" w:hAnsi="仿宋_GB2312" w:cs="仿宋_GB2312" w:eastAsia="仿宋_GB2312"/>
                <w:sz w:val="24"/>
              </w:rPr>
              <w:t>3、适配校园网络，支持远程管理。</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sz w:val="24"/>
                <w:b/>
              </w:rPr>
              <w:t>十一</w:t>
            </w:r>
            <w:r>
              <w:rPr>
                <w:rFonts w:ascii="仿宋_GB2312" w:hAnsi="仿宋_GB2312" w:cs="仿宋_GB2312" w:eastAsia="仿宋_GB2312"/>
                <w:sz w:val="24"/>
                <w:b/>
              </w:rPr>
              <w:t>、机柜（</w:t>
            </w:r>
            <w:r>
              <w:rPr>
                <w:rFonts w:ascii="仿宋_GB2312" w:hAnsi="仿宋_GB2312" w:cs="仿宋_GB2312" w:eastAsia="仿宋_GB2312"/>
                <w:sz w:val="24"/>
                <w:b/>
              </w:rPr>
              <w:t>1台）</w:t>
            </w:r>
          </w:p>
          <w:p>
            <w:pPr>
              <w:pStyle w:val="null3"/>
              <w:jc w:val="left"/>
            </w:pPr>
            <w:r>
              <w:rPr>
                <w:rFonts w:ascii="仿宋_GB2312" w:hAnsi="仿宋_GB2312" w:cs="仿宋_GB2312" w:eastAsia="仿宋_GB2312"/>
                <w:sz w:val="24"/>
              </w:rPr>
              <w:t>1、≥22U 专用服务器机柜；</w:t>
            </w:r>
          </w:p>
          <w:p>
            <w:pPr>
              <w:pStyle w:val="null3"/>
              <w:jc w:val="left"/>
            </w:pPr>
            <w:r>
              <w:rPr>
                <w:rFonts w:ascii="仿宋_GB2312" w:hAnsi="仿宋_GB2312" w:cs="仿宋_GB2312" w:eastAsia="仿宋_GB2312"/>
                <w:sz w:val="24"/>
              </w:rPr>
              <w:t>2、采用优质冷扎钢板制作，整体框架结构设计；</w:t>
            </w:r>
          </w:p>
          <w:p>
            <w:pPr>
              <w:pStyle w:val="null3"/>
            </w:pPr>
            <w:r>
              <w:rPr>
                <w:rFonts w:ascii="仿宋_GB2312" w:hAnsi="仿宋_GB2312" w:cs="仿宋_GB2312" w:eastAsia="仿宋_GB2312"/>
                <w:sz w:val="24"/>
              </w:rPr>
              <w:t>3、机柜立柱厚度≥2.0mm，其余部分钢板厚度≥1.2mm；静载500KG以上。</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jc w:val="both"/>
            </w:pPr>
            <w:r>
              <w:rPr>
                <w:rFonts w:ascii="仿宋_GB2312" w:hAnsi="仿宋_GB2312" w:cs="仿宋_GB2312" w:eastAsia="仿宋_GB2312"/>
                <w:sz w:val="24"/>
                <w:b/>
              </w:rPr>
              <w:t>十二</w:t>
            </w:r>
            <w:r>
              <w:rPr>
                <w:rFonts w:ascii="仿宋_GB2312" w:hAnsi="仿宋_GB2312" w:cs="仿宋_GB2312" w:eastAsia="仿宋_GB2312"/>
                <w:sz w:val="24"/>
                <w:b/>
              </w:rPr>
              <w:t>、实验室环境改造（</w:t>
            </w:r>
            <w:r>
              <w:rPr>
                <w:rFonts w:ascii="仿宋_GB2312" w:hAnsi="仿宋_GB2312" w:cs="仿宋_GB2312" w:eastAsia="仿宋_GB2312"/>
                <w:sz w:val="24"/>
                <w:b/>
              </w:rPr>
              <w:t>1项）</w:t>
            </w:r>
          </w:p>
          <w:p>
            <w:pPr>
              <w:pStyle w:val="null3"/>
              <w:jc w:val="left"/>
            </w:pPr>
            <w:r>
              <w:rPr>
                <w:rFonts w:ascii="仿宋_GB2312" w:hAnsi="仿宋_GB2312" w:cs="仿宋_GB2312" w:eastAsia="仿宋_GB2312"/>
                <w:sz w:val="24"/>
              </w:rPr>
              <w:t>1、地面：全钢无边防静电活动地板≥100平方米；基材：优质合金冷轧钢板，经拉伸后点焊成形，内腔填充发泡水泥填料；贴面材料：采用高耐磨三聚氰胺HPL防火板或PVC贴面，厚度≥1.2mm；表面电阻：1×10⁶ Ω ～ 1×10⁹ Ω（静电耗散型）；系统电阻：2.5×10⁴ Ω ～ 1.0×10⁹ Ω（符合GB50174规范）；防火性能：燃烧性能达到B1级或以上；接地要求：地板铺设后必须进行防静电接地处理，铺设铜箔网格或铜排，连接至等电位接地母排，接地电阻＜4Ω。</w:t>
            </w:r>
          </w:p>
          <w:p>
            <w:pPr>
              <w:pStyle w:val="null3"/>
              <w:jc w:val="left"/>
            </w:pPr>
            <w:r>
              <w:rPr>
                <w:rFonts w:ascii="仿宋_GB2312" w:hAnsi="仿宋_GB2312" w:cs="仿宋_GB2312" w:eastAsia="仿宋_GB2312"/>
                <w:sz w:val="24"/>
              </w:rPr>
              <w:t>2、顶面及墙面乳胶漆美化处理， ≥260平方米；执行标准：产品需符合GB/T 9756—2024《合成树脂乳液内墙涂料》和GB 18582—2020《建筑用墙面涂料中有害物质限量》；产品等级：不低于一等品（耐洗刷性≥1500次）；甲醛含量：≤ 50 mg/kg（或≤0.05 g/kg）；可溶性重金属含量（铅、镉、铬、汞）：符合国家标准。</w:t>
            </w:r>
          </w:p>
          <w:p>
            <w:pPr>
              <w:pStyle w:val="null3"/>
              <w:jc w:val="left"/>
            </w:pPr>
            <w:r>
              <w:rPr>
                <w:rFonts w:ascii="仿宋_GB2312" w:hAnsi="仿宋_GB2312" w:cs="仿宋_GB2312" w:eastAsia="仿宋_GB2312"/>
                <w:sz w:val="24"/>
              </w:rPr>
              <w:t>3、照明：≥10套LED灯，功率：≥ 48W/套；单套灯具光通量：≥ 4000 流明（lm）；机房地面0.8米高处照度：≥ 500 LUX（符合乙级标准）；灯珠类型：采用高光效SMD 2835或3030灯珠，光效≥100 lm/W。</w:t>
            </w:r>
          </w:p>
          <w:p>
            <w:pPr>
              <w:pStyle w:val="null3"/>
              <w:jc w:val="left"/>
            </w:pPr>
            <w:r>
              <w:rPr>
                <w:rFonts w:ascii="仿宋_GB2312" w:hAnsi="仿宋_GB2312" w:cs="仿宋_GB2312" w:eastAsia="仿宋_GB2312"/>
                <w:sz w:val="24"/>
              </w:rPr>
              <w:t>4、插座：墙面≥4个5孔普通插座（10A/220V）；台式电脑配置≥100个5孔普通插座（10A/220V）； 配置空调专用插座≥3个（25A/220V）；所有三孔插座均需布设接地线；</w:t>
            </w:r>
          </w:p>
          <w:p>
            <w:pPr>
              <w:pStyle w:val="null3"/>
              <w:jc w:val="left"/>
            </w:pPr>
            <w:r>
              <w:rPr>
                <w:rFonts w:ascii="仿宋_GB2312" w:hAnsi="仿宋_GB2312" w:cs="仿宋_GB2312" w:eastAsia="仿宋_GB2312"/>
                <w:sz w:val="24"/>
              </w:rPr>
              <w:t>5、窗帘：≥5套；尺寸：需根据实际窗户大小定制；材质：采用高密度涤纶遮光布（加厚型）或棉麻混纺遮光布；厚度：布料克重≥ 300g/㎡（加厚型），厚度≤0.8mm。</w:t>
            </w:r>
          </w:p>
          <w:p>
            <w:pPr>
              <w:pStyle w:val="null3"/>
              <w:jc w:val="left"/>
            </w:pPr>
            <w:r>
              <w:rPr>
                <w:rFonts w:ascii="仿宋_GB2312" w:hAnsi="仿宋_GB2312" w:cs="仿宋_GB2312" w:eastAsia="仿宋_GB2312"/>
                <w:sz w:val="24"/>
              </w:rPr>
              <w:t>6、强弱电改造：超六类非屏蔽网线，支持千兆传输，抗干扰，符合国家通信标准。（5箱）、BVR4/4平方（100 米 6 卷）、BVR1.5/1.5 平方（100 米 6 卷）六类水晶头（2 盒）等。</w:t>
            </w:r>
          </w:p>
          <w:p>
            <w:pPr>
              <w:pStyle w:val="null3"/>
            </w:pPr>
            <w:r>
              <w:rPr>
                <w:rFonts w:ascii="仿宋_GB2312" w:hAnsi="仿宋_GB2312" w:cs="仿宋_GB2312" w:eastAsia="仿宋_GB2312"/>
                <w:sz w:val="24"/>
              </w:rPr>
              <w:t>7、电路改造，及原有设备桌椅拆除清运等。</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90 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安康学院江南校区1号教学楼1519</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进度款，合同签订生效后，供应商完成所有设备采购及运输到位，达到付款条件起15个工作日内，支付合同总金额的60.0%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进度款，设备安装调试、环境改造完工，通过学校最终验收，达到付款条件起15个工作日内，支付合同总金额的40.0%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交付标准和方法：合同中所有采购的设备，以及相关配套软件。验收标准：设备使用单位组成验收小组，验收小组对供应商提供的货物的品牌、名称、型号、配置、规格、外观、产地、生产厂商、技术性能、数量、服务承诺及结果等，对照政府采购合同、供应商投标（响应）文件、封存样品等逐项进行现场检验、核对和验收。验收流程为两级验收：使用单位初步验收合格后向学校提交初验报告单，由学校组织验收小组进行终验。 （2）履约验收标准：严格按照政府采购合同、供应商投标（响应）文件、国家相关行业标准及本校实验室建设要求执行，确保设备正常运行、环境改造达标，满足统计学实验教学需求。 （3）履约验收其他事项：验收过程中发现的问题，供应商需在5日内完成整改，整改后重新组织验收；验收合格后，双方办理移交手续。</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货物的运输方式由乙方自行选择，但包装必须符合国家标准或行业标准，满足航空、铁路或公路运输以及货物装卸要求，保证使用人收到的是无任何损伤的货物；否则，因此造成的损失由乙方自行承担。</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为验收合格后3年（若产品制造商提供的质保期为3年以上，则按照制造商提供的质保期标准执行），在质保期内免费提供正常使用的易损件和备件；软件系统提供终身免费升级服务；所有维修服务均由中标人免费上门取、送、修。安装调试1个月内，如有质量问题，设备整机无条件退换货并提供备件以保证教学正常开展。在保修期内，任何质量问题，中标人负责免费维修。在质保期外，中标人应提供终身的维修服务，维修所需的原材料按成本价收费。</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按《民法典》等国家相关法律法规执行，或按双方约定。如有纠纷，双方友好协商解决，协商不成时应向安康市人民法院起诉。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纸质投标文件要求：（1）中标单位应在中标结果公告发布后5个工作日内提供纸质投标文件三份（正本壹份、副本贰份，分别胶装），投标文件需包含目录、无少页、缺页、连续页码（或单独使用打码器打码）。（2）递交地址：陕西省西安市曲江新区雁翔路3269号旺座曲江D座30层，联系人：高工，联系电话：18629335237。（3）中标单位应保持投标文件纸质版内容与交易系统上传电子版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法人提供经审计的2025年度财务报告（成立时间至投标文件递交截止时间不足一年的可提供成立后任意时段的资产负债表）或投标文件递交截止时间前六个月内银行出具的资信证明；其他组织和自然人提供银行出具的资信证明或财务报表。注：①提供财务报告的，内容至少包括审计报告、附注。根据《财政部关于注册会计师行业统一监管平台上线运行的通知》财办〔2022〕32号文件要求，审计报告须具有注册会计师行业统一监管平台https://acc.mof.gov.cn赋予的验证码，若审计报告未赋码视为无效。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法人提供投标文件递交截止时间前一年内至少一个月依法缴纳税收的相关凭据（时间以税款所属日期为准，凭据应有税务机关或代收机关的公章或业务专用章）；其他组织和自然人提供缴纳税收的凭据；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提供投标文件递交截止时间前一年内至少一个月已缴纳的社会保障资金的凭据（社会保障资金缴存单据或社保机构开具的社会保险参保缴费情况证明）；依法不需要缴纳社会保障资金的投标人应提供相关文件证明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提供合格的法定代表人授权书（附法定代表人、被授权人身份证复印件）或法定代表人身份证明（法定代表人直接参加的）</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①投标（响应）报价低于全部通过符合性审查供应商投标（响应）报价平均值50%的，即投标（响应）报价＜全部通过符合性审查供应商投标（响应）报价平均值×50%； ②投标（响应）报价低于通过符合性审查的次低报价供应商投标（响应）报价50%的，即投标（响应）报价＜通过符合性审查的次低报价供应商投标（响应）报价×50%； ③投标（响应）报价低于采购项目最高限价45%的，即投标（响应）报价＜采购项目最高限价×45%；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书面说明应当按照国家财务会计制度的规定要求，逐项就供应商提供的货物、服务或工程的主营业务成本、税金及附加、销售费用、管理费用、财务费用等成本构成进行说明）及必要的证明材料（类似项目类似报价合同、验收报告、发票等）。 其中，属于第③项情形，供应商已随投标（响应）文件一并提交相关书面说明及必要的证明材料的，在评审现场可不再重复提交。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投标人名称与营业执照一致（合格）投标人名称与营业执照不一致（不合格）</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投标文件按招标文件要求的数量、计量单位、报价及签字盖章</w:t>
            </w:r>
          </w:p>
        </w:tc>
        <w:tc>
          <w:tcPr>
            <w:tcW w:type="dxa" w:w="3322"/>
          </w:tcPr>
          <w:p>
            <w:pPr>
              <w:pStyle w:val="null3"/>
            </w:pPr>
            <w:r>
              <w:rPr>
                <w:rFonts w:ascii="仿宋_GB2312" w:hAnsi="仿宋_GB2312" w:cs="仿宋_GB2312" w:eastAsia="仿宋_GB2312"/>
              </w:rPr>
              <w:t>投标文件按招标文件要求的数量、计量单位、报价及签字盖章（合格）投标文件未按招标文件要求的数量、计量单位、报价及签字盖章（不合格）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投标文件的有效期达到招标文件要求</w:t>
            </w:r>
          </w:p>
        </w:tc>
        <w:tc>
          <w:tcPr>
            <w:tcW w:type="dxa" w:w="3322"/>
          </w:tcPr>
          <w:p>
            <w:pPr>
              <w:pStyle w:val="null3"/>
            </w:pPr>
            <w:r>
              <w:rPr>
                <w:rFonts w:ascii="仿宋_GB2312" w:hAnsi="仿宋_GB2312" w:cs="仿宋_GB2312" w:eastAsia="仿宋_GB2312"/>
              </w:rPr>
              <w:t>投标有效期达到招标文件要求（合格）投标有效期未达到招标文件要求（不合格）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符合法律、法规和招标文件中规定的其他实质性要求（合格）不符合法律、法规和招标文件中规定的其他实质性要求（不合格）</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产品功能性参数响应情况</w:t>
            </w:r>
          </w:p>
        </w:tc>
        <w:tc>
          <w:tcPr>
            <w:tcW w:type="dxa" w:w="2492"/>
          </w:tcPr>
          <w:p>
            <w:pPr>
              <w:pStyle w:val="null3"/>
            </w:pPr>
            <w:r>
              <w:rPr>
                <w:rFonts w:ascii="仿宋_GB2312" w:hAnsi="仿宋_GB2312" w:cs="仿宋_GB2312" w:eastAsia="仿宋_GB2312"/>
              </w:rPr>
              <w:t>投标产品（含配件）选型科学合理、技术先进，技术参数清晰明确，稳定性、安全性、兼容性好，集成效果及功能满足使用要求，具体为： 1、▲参数（11项）：完全满足得27.5分，每负偏离1项扣2.5分，扣完为止； 2、无标参数（30项）：完全满足得15分，每负偏离1项扣0.5分，扣完为止。 注：所有“▲”项参数须提供需须提供佐证材料（不限于产品彩页、官网截图、第三方检测报告等），予以证明参数的技术响应性，未提供者视为不满足，投标人自行承担因材料提供不全导致的技术参数评审风险。</w:t>
            </w:r>
          </w:p>
        </w:tc>
        <w:tc>
          <w:tcPr>
            <w:tcW w:type="dxa" w:w="831"/>
          </w:tcPr>
          <w:p>
            <w:pPr>
              <w:pStyle w:val="null3"/>
              <w:jc w:val="right"/>
            </w:pPr>
            <w:r>
              <w:rPr>
                <w:rFonts w:ascii="仿宋_GB2312" w:hAnsi="仿宋_GB2312" w:cs="仿宋_GB2312" w:eastAsia="仿宋_GB2312"/>
              </w:rPr>
              <w:t>42.5000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1、评审内容 投标人根据项目实际情况提供项目实施方案，内容包含： ①对教室现状、设计理念、建设目标、硬件配套等进行整体设计； ②设计方案图（包括但不限于施工图、布线图、效果图、设备连接图等)； ③针对本项目制定的交货、安装、调试、验收、试运行计划、交付使用等工期合理性安排； ④提供的项目技术支持、实施人员能力及安装调试所需要的专业设备； ⑤与教学数据中心、视频监控中心、按需调用和可视化展示,根据供应商方案对软硬件兼容、安全性、数据对接、技术保障等重点难点问题分析及应对技术措施。 2、评审标准： ①完整性：方案须全面，对评审内容中的各项要求有详细描述；②可实施性：切合本项目实际情况，实施步骤清晰、合理； ③针对性：方案能够紧扣项目实际情况，内容科学合理； 3、赋分标准： ①整体设计：每完全满足一项评审标准得1分，内容有缺陷扣0.5分，缺项或未提供得0分，满分3分。 ②设计方案图：每完全满足一项评审标准得1分，内容有缺陷扣0.5分，缺项或未提供得0分，满分3分。 ③工期合理性安排：每完全满足一项评审标准得1分，内容有缺陷扣0.5分，缺项或未提供得0分，满分3分。 ④专业设备：每完全满足一项评审标准得1分，内容有缺陷扣0.5分，缺项或未提供得0分，满分3分。 ⑤重点难点问题分析及应对技术措施：每完全满足一项评审标准得0.5分，内容有缺陷扣0.25分，缺项或未提供得0分，满分1.5分。</w:t>
            </w:r>
          </w:p>
        </w:tc>
        <w:tc>
          <w:tcPr>
            <w:tcW w:type="dxa" w:w="831"/>
          </w:tcPr>
          <w:p>
            <w:pPr>
              <w:pStyle w:val="null3"/>
              <w:jc w:val="right"/>
            </w:pPr>
            <w:r>
              <w:rPr>
                <w:rFonts w:ascii="仿宋_GB2312" w:hAnsi="仿宋_GB2312" w:cs="仿宋_GB2312" w:eastAsia="仿宋_GB2312"/>
              </w:rPr>
              <w:t>13.5000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售后服务及培训措施</w:t>
            </w:r>
          </w:p>
        </w:tc>
        <w:tc>
          <w:tcPr>
            <w:tcW w:type="dxa" w:w="2492"/>
          </w:tcPr>
          <w:p>
            <w:pPr>
              <w:pStyle w:val="null3"/>
            </w:pPr>
            <w:r>
              <w:rPr>
                <w:rFonts w:ascii="仿宋_GB2312" w:hAnsi="仿宋_GB2312" w:cs="仿宋_GB2312" w:eastAsia="仿宋_GB2312"/>
              </w:rPr>
              <w:t>1、评审内容 投标人根据项目实际情况提供售后服务方案及培训措施，内容包含：①售后服务内容、售后响应时限及方式（明确提供不同类型设备发生故障后的应急补救措施、维修服务响应时限、备品配件保障措施等售后服务）； ②培训措施（提供专人培训方案及培训计划，培训的具体内容及方式、培训时长和培训次数，确保使用人员能够独立熟练操作、维护和正常使用）。 2、评审标准： ①完整性：方案须全面，对评审内容中的各项要求有详细描述； ②可实施性：切合本项目实际情况，实施步骤清晰、合理； ③针对性：方案能够紧扣项目实际情况，内容科学合理； 3、赋分标准： ①售后服务内容、售后响应时限及方式：每完全满足一项评审标准得1分，内容有缺陷扣0.5分，缺项或未提供得0分，满分3分。 ②培训措施：每完全满足一项评审标准得1分，内容有缺陷扣0.5分，缺项或未提供得0分，满分3分。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售后服务及培训措施.docx</w:t>
            </w:r>
          </w:p>
        </w:tc>
      </w:tr>
      <w:tr>
        <w:tc>
          <w:tcPr>
            <w:tcW w:type="dxa" w:w="831"/>
            <w:vMerge/>
          </w:tcPr>
          <w:p/>
        </w:tc>
        <w:tc>
          <w:tcPr>
            <w:tcW w:type="dxa" w:w="1661"/>
          </w:tcPr>
          <w:p>
            <w:pPr>
              <w:pStyle w:val="null3"/>
            </w:pPr>
            <w:r>
              <w:rPr>
                <w:rFonts w:ascii="仿宋_GB2312" w:hAnsi="仿宋_GB2312" w:cs="仿宋_GB2312" w:eastAsia="仿宋_GB2312"/>
              </w:rPr>
              <w:t>产品来源渠道与质量保障</w:t>
            </w:r>
          </w:p>
        </w:tc>
        <w:tc>
          <w:tcPr>
            <w:tcW w:type="dxa" w:w="2492"/>
          </w:tcPr>
          <w:p>
            <w:pPr>
              <w:pStyle w:val="null3"/>
            </w:pPr>
            <w:r>
              <w:rPr>
                <w:rFonts w:ascii="仿宋_GB2312" w:hAnsi="仿宋_GB2312" w:cs="仿宋_GB2312" w:eastAsia="仿宋_GB2312"/>
              </w:rPr>
              <w:t>1、投标产品性能及配置清单（品牌、型号、产地等）详细，各部分功能（层次清楚、结构合理、功能直观、安全兼容、使用广泛等）满足采购要求，整体配置具有合理性、兼容性；备品配件供应有保障且产品货源渠道正规，完全满足本项目对产品的质量要求；投标产品为行业主流产品，方便操作，安全可靠，符合使用需求；提供的所有主材、辅材符合国家标准，且主要设备（包括但不限于教育教学系统、智慧黑板、交换机）提供原厂授权得4分； 2、产品性能及配置清单较详细，各部分功能较满足采购要求，整体配置较合理性；备品配件供应基本满足本项目对产品的质量要求；投标产品方便操作，安全可靠，较符合使用需求；提供的部分主材、辅材符合国家标准，部分主要设备提供原厂授权得2分； 3、产品性能及配置清单缺失、各部分功能、备品配件供应、投标产品不能完全满足本项目产品性能质量要求、未明确提供的主材、辅材是否符合国家标准、主要设备未提供原厂授权得1分； 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产品来源渠道与质量保障.docx</w:t>
            </w:r>
          </w:p>
        </w:tc>
      </w:tr>
      <w:tr>
        <w:tc>
          <w:tcPr>
            <w:tcW w:type="dxa" w:w="831"/>
            <w:vMerge/>
          </w:tcPr>
          <w:p/>
        </w:tc>
        <w:tc>
          <w:tcPr>
            <w:tcW w:type="dxa" w:w="1661"/>
          </w:tcPr>
          <w:p>
            <w:pPr>
              <w:pStyle w:val="null3"/>
            </w:pPr>
            <w:r>
              <w:rPr>
                <w:rFonts w:ascii="仿宋_GB2312" w:hAnsi="仿宋_GB2312" w:cs="仿宋_GB2312" w:eastAsia="仿宋_GB2312"/>
              </w:rPr>
              <w:t>环保与节能认证</w:t>
            </w:r>
          </w:p>
        </w:tc>
        <w:tc>
          <w:tcPr>
            <w:tcW w:type="dxa" w:w="2492"/>
          </w:tcPr>
          <w:p>
            <w:pPr>
              <w:pStyle w:val="null3"/>
            </w:pPr>
            <w:r>
              <w:rPr>
                <w:rFonts w:ascii="仿宋_GB2312" w:hAnsi="仿宋_GB2312" w:cs="仿宋_GB2312" w:eastAsia="仿宋_GB2312"/>
              </w:rPr>
              <w:t>产品中每有一项为节能产品（非强制类）的得0.5分，每有一项为环境标志产品的得0.5分，产品中每有一项产品同时为节能产品和环境标志产品的得1分；此评审项最多得1分。 注：须提供相应产品的国家确定的认证机构出具的处于有效期内的节能产品、环境标志产品认证证书。</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环保与节能认证.docx</w:t>
            </w:r>
          </w:p>
        </w:tc>
      </w:tr>
      <w:tr>
        <w:tc>
          <w:tcPr>
            <w:tcW w:type="dxa" w:w="831"/>
            <w:vMerge/>
          </w:tcPr>
          <w:p/>
        </w:tc>
        <w:tc>
          <w:tcPr>
            <w:tcW w:type="dxa" w:w="1661"/>
          </w:tcPr>
          <w:p>
            <w:pPr>
              <w:pStyle w:val="null3"/>
            </w:pPr>
            <w:r>
              <w:rPr>
                <w:rFonts w:ascii="仿宋_GB2312" w:hAnsi="仿宋_GB2312" w:cs="仿宋_GB2312" w:eastAsia="仿宋_GB2312"/>
              </w:rPr>
              <w:t>投标人业绩</w:t>
            </w:r>
          </w:p>
        </w:tc>
        <w:tc>
          <w:tcPr>
            <w:tcW w:type="dxa" w:w="2492"/>
          </w:tcPr>
          <w:p>
            <w:pPr>
              <w:pStyle w:val="null3"/>
            </w:pPr>
            <w:r>
              <w:rPr>
                <w:rFonts w:ascii="仿宋_GB2312" w:hAnsi="仿宋_GB2312" w:cs="仿宋_GB2312" w:eastAsia="仿宋_GB2312"/>
              </w:rPr>
              <w:t>提供投标人2023年7月1日至今同类项目的业绩（提供加盖投标人公章的不限于合同、照片、网页截图等业绩证明材料），每份计1分，最高得3分。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有效投标人的最低报价为基准价得30分，其他各投标人的报价得分按下列公式计算：（基准价/投标报价）×30％×100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详见附件：售后服务及培训措施.docx</w:t>
      </w:r>
    </w:p>
    <w:p>
      <w:pPr>
        <w:pStyle w:val="null3"/>
        <w:ind w:firstLine="960"/>
      </w:pPr>
      <w:r>
        <w:rPr>
          <w:rFonts w:ascii="仿宋_GB2312" w:hAnsi="仿宋_GB2312" w:cs="仿宋_GB2312" w:eastAsia="仿宋_GB2312"/>
        </w:rPr>
        <w:t>详见附件：产品来源渠道与质量保障.docx</w:t>
      </w:r>
    </w:p>
    <w:p>
      <w:pPr>
        <w:pStyle w:val="null3"/>
        <w:ind w:firstLine="960"/>
      </w:pPr>
      <w:r>
        <w:rPr>
          <w:rFonts w:ascii="仿宋_GB2312" w:hAnsi="仿宋_GB2312" w:cs="仿宋_GB2312" w:eastAsia="仿宋_GB2312"/>
        </w:rPr>
        <w:t>详见附件：环保与节能认证.docx</w:t>
      </w:r>
    </w:p>
    <w:p>
      <w:pPr>
        <w:pStyle w:val="null3"/>
        <w:ind w:firstLine="960"/>
      </w:pPr>
      <w:r>
        <w:rPr>
          <w:rFonts w:ascii="仿宋_GB2312" w:hAnsi="仿宋_GB2312" w:cs="仿宋_GB2312" w:eastAsia="仿宋_GB2312"/>
        </w:rPr>
        <w:t>详见附件：投标人业绩.docx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详见附件：安康学院采购合同.docx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 Id="rId8" Target="media/image3.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