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557F76">
      <w:pPr>
        <w:tabs>
          <w:tab w:val="left" w:pos="180"/>
        </w:tabs>
        <w:wordWrap w:val="0"/>
        <w:adjustRightInd w:val="0"/>
        <w:snapToGrid w:val="0"/>
        <w:spacing w:line="480" w:lineRule="auto"/>
        <w:rPr>
          <w:rFonts w:ascii="宋体" w:hAnsi="宋体"/>
          <w:b/>
          <w:color w:val="auto"/>
          <w:u w:val="words"/>
        </w:rPr>
      </w:pPr>
    </w:p>
    <w:p w14:paraId="3E29B0BD">
      <w:pPr>
        <w:jc w:val="center"/>
        <w:rPr>
          <w:rFonts w:ascii="宋体" w:hAnsi="宋体" w:eastAsia="宋体" w:cs="宋体"/>
          <w:b/>
          <w:bCs/>
          <w:color w:val="auto"/>
          <w:sz w:val="40"/>
          <w:szCs w:val="40"/>
        </w:rPr>
      </w:pPr>
      <w:r>
        <w:rPr>
          <w:rFonts w:hint="eastAsia" w:ascii="宋体" w:hAnsi="宋体" w:eastAsia="宋体" w:cs="宋体"/>
          <w:b/>
          <w:bCs/>
          <w:color w:val="auto"/>
          <w:sz w:val="40"/>
          <w:szCs w:val="40"/>
        </w:rPr>
        <w:t>政府采购委托检测合同</w:t>
      </w:r>
    </w:p>
    <w:p w14:paraId="362750E7">
      <w:pPr>
        <w:pStyle w:val="7"/>
        <w:widowControl/>
        <w:spacing w:beforeAutospacing="0" w:afterAutospacing="0" w:line="300" w:lineRule="auto"/>
        <w:ind w:firstLine="481" w:firstLineChars="228"/>
        <w:rPr>
          <w:rFonts w:ascii="宋体" w:hAnsi="宋体" w:eastAsia="宋体" w:cs="宋体"/>
          <w:b/>
          <w:bCs/>
          <w:color w:val="auto"/>
          <w:sz w:val="21"/>
          <w:szCs w:val="21"/>
        </w:rPr>
      </w:pPr>
    </w:p>
    <w:p w14:paraId="1AD3F6AA">
      <w:pPr>
        <w:pStyle w:val="7"/>
        <w:widowControl/>
        <w:spacing w:beforeAutospacing="0" w:afterAutospacing="0" w:line="300" w:lineRule="auto"/>
        <w:ind w:firstLine="481" w:firstLineChars="228"/>
        <w:rPr>
          <w:rFonts w:ascii="宋体" w:hAnsi="宋体" w:eastAsia="宋体" w:cs="宋体"/>
          <w:color w:val="auto"/>
          <w:sz w:val="21"/>
          <w:szCs w:val="21"/>
        </w:rPr>
      </w:pPr>
      <w:r>
        <w:rPr>
          <w:rFonts w:hint="eastAsia" w:ascii="宋体" w:hAnsi="宋体" w:eastAsia="宋体" w:cs="宋体"/>
          <w:b/>
          <w:bCs/>
          <w:color w:val="auto"/>
          <w:sz w:val="21"/>
          <w:szCs w:val="21"/>
        </w:rPr>
        <w:t>委托方（甲方）</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p>
    <w:p w14:paraId="4AA3CF84">
      <w:pPr>
        <w:pStyle w:val="7"/>
        <w:widowControl/>
        <w:spacing w:beforeAutospacing="0" w:afterAutospacing="0" w:line="300" w:lineRule="auto"/>
        <w:ind w:firstLine="481" w:firstLineChars="228"/>
        <w:rPr>
          <w:rFonts w:ascii="宋体" w:hAnsi="宋体" w:eastAsia="宋体" w:cs="宋体"/>
          <w:color w:val="auto"/>
          <w:sz w:val="21"/>
          <w:szCs w:val="21"/>
        </w:rPr>
      </w:pPr>
      <w:r>
        <w:rPr>
          <w:rFonts w:hint="eastAsia" w:ascii="宋体" w:hAnsi="宋体" w:eastAsia="宋体" w:cs="宋体"/>
          <w:b/>
          <w:bCs/>
          <w:color w:val="auto"/>
          <w:sz w:val="21"/>
          <w:szCs w:val="21"/>
        </w:rPr>
        <w:t>受托方（乙方）</w:t>
      </w:r>
      <w:r>
        <w:rPr>
          <w:rFonts w:hint="eastAsia" w:ascii="宋体" w:hAnsi="宋体" w:eastAsia="宋体" w:cs="宋体"/>
          <w:color w:val="auto"/>
          <w:sz w:val="21"/>
          <w:szCs w:val="21"/>
        </w:rPr>
        <w:t>：</w:t>
      </w:r>
      <w:r>
        <w:rPr>
          <w:rFonts w:hint="eastAsia" w:ascii="宋体" w:hAnsi="宋体" w:eastAsia="宋体" w:cs="宋体"/>
          <w:color w:val="auto"/>
          <w:sz w:val="21"/>
          <w:szCs w:val="21"/>
          <w:u w:val="single"/>
        </w:rPr>
        <w:t xml:space="preserve">                                </w:t>
      </w:r>
    </w:p>
    <w:p w14:paraId="4D9BFC4E">
      <w:pPr>
        <w:pStyle w:val="7"/>
        <w:widowControl/>
        <w:spacing w:beforeAutospacing="0" w:afterAutospacing="0" w:line="300" w:lineRule="auto"/>
        <w:ind w:firstLine="525" w:firstLineChars="250"/>
        <w:rPr>
          <w:rFonts w:ascii="宋体" w:hAnsi="宋体" w:eastAsia="宋体" w:cs="宋体"/>
          <w:color w:val="auto"/>
          <w:sz w:val="21"/>
          <w:szCs w:val="21"/>
        </w:rPr>
      </w:pPr>
    </w:p>
    <w:p w14:paraId="57F9ABC6">
      <w:pPr>
        <w:pStyle w:val="7"/>
        <w:widowControl/>
        <w:spacing w:beforeAutospacing="0" w:afterAutospacing="0" w:line="300" w:lineRule="auto"/>
        <w:ind w:firstLine="525" w:firstLineChars="250"/>
        <w:rPr>
          <w:b/>
          <w:bCs/>
          <w:color w:val="auto"/>
          <w:sz w:val="21"/>
          <w:szCs w:val="21"/>
        </w:rPr>
      </w:pPr>
      <w:r>
        <w:rPr>
          <w:rFonts w:hint="eastAsia" w:ascii="宋体" w:hAnsi="宋体" w:eastAsia="宋体" w:cs="宋体"/>
          <w:color w:val="auto"/>
          <w:sz w:val="21"/>
          <w:szCs w:val="21"/>
        </w:rPr>
        <w:t>依照《中华人民共和国民法典》及相关法律、法规的规定，遵循平等、公平、诚实信用的原则，甲乙双方经协商，就甲方委托乙方提供食品安全检测服务、乙方按甲方委托的项目需求和服务等要求完成食品安全检</w:t>
      </w:r>
      <w:bookmarkStart w:id="0" w:name="_GoBack"/>
      <w:bookmarkEnd w:id="0"/>
      <w:r>
        <w:rPr>
          <w:rFonts w:hint="eastAsia" w:ascii="宋体" w:hAnsi="宋体" w:eastAsia="宋体" w:cs="宋体"/>
          <w:color w:val="auto"/>
          <w:sz w:val="21"/>
          <w:szCs w:val="21"/>
        </w:rPr>
        <w:t>测工作，双方订立本合同：</w:t>
      </w:r>
    </w:p>
    <w:p w14:paraId="2C11A289">
      <w:pPr>
        <w:rPr>
          <w:b/>
          <w:bCs/>
          <w:color w:val="auto"/>
          <w:sz w:val="21"/>
          <w:szCs w:val="21"/>
        </w:rPr>
      </w:pPr>
      <w:r>
        <w:rPr>
          <w:rFonts w:hint="eastAsia"/>
          <w:b/>
          <w:bCs/>
          <w:color w:val="auto"/>
          <w:sz w:val="21"/>
          <w:szCs w:val="21"/>
        </w:rPr>
        <w:t xml:space="preserve">   第一条 项目任务</w:t>
      </w:r>
    </w:p>
    <w:p w14:paraId="7297BC45">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1、完成2026年度辖区内</w:t>
      </w:r>
      <w:r>
        <w:rPr>
          <w:rFonts w:hint="eastAsia" w:ascii="新宋体" w:hAnsi="新宋体" w:eastAsia="新宋体" w:cs="新宋体"/>
          <w:color w:val="auto"/>
          <w:sz w:val="21"/>
          <w:szCs w:val="21"/>
        </w:rPr>
        <w:t>食品及</w:t>
      </w:r>
      <w:r>
        <w:rPr>
          <w:rFonts w:hint="eastAsia" w:ascii="新宋体" w:hAnsi="新宋体" w:eastAsia="新宋体" w:cs="新宋体"/>
          <w:color w:val="auto"/>
          <w:sz w:val="21"/>
          <w:szCs w:val="21"/>
        </w:rPr>
        <w:t>食用农产品监督抽检工作，详见《2026年食品安全抽检计划表》,完成食品安全抽检信息系统抽检结果信息录入工作。</w:t>
      </w:r>
    </w:p>
    <w:p w14:paraId="086A923E">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2、期限：本次食品样品检测工作从自合同签订之日起至2026年12月31日前，乙方在签收样品当日起20个工作日内，须向甲方提交该批次样品检测报告。对特殊涉案样品的检验，3个日历天内出结果，7个日历天内出报告。如遇不可抗拒的自然因素，须及时告知甲方，并协商顺延工期事宜（按照甲方的监督抽检计划进行工作）。</w:t>
      </w:r>
    </w:p>
    <w:p w14:paraId="46ECC19A">
      <w:pPr>
        <w:ind w:firstLine="422" w:firstLineChars="200"/>
        <w:rPr>
          <w:b/>
          <w:bCs/>
          <w:color w:val="auto"/>
          <w:sz w:val="21"/>
          <w:szCs w:val="21"/>
        </w:rPr>
      </w:pPr>
      <w:r>
        <w:rPr>
          <w:rFonts w:hint="eastAsia"/>
          <w:b/>
          <w:bCs/>
          <w:color w:val="auto"/>
          <w:sz w:val="21"/>
          <w:szCs w:val="21"/>
        </w:rPr>
        <w:t>第二条  质量技术要求</w:t>
      </w:r>
    </w:p>
    <w:p w14:paraId="1848DE38">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1、乙方不得将检验任务外包或分包给其他检测机构检验。</w:t>
      </w:r>
    </w:p>
    <w:p w14:paraId="3B7919DB">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2、乙方要提高抽样靶向性，严格按照相关国家标准要求进行检测，并实施必要的质量控制措施，使全年问题食品发现率不低于全市问题食品平均发现率。</w:t>
      </w:r>
    </w:p>
    <w:p w14:paraId="773C1493">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3、乙方在甲方委托计划的基础上，可以有针对性地增加检验项目，提高问题食品发现率。</w:t>
      </w:r>
      <w:r>
        <w:rPr>
          <w:rFonts w:hint="eastAsia" w:ascii="新宋体" w:hAnsi="新宋体" w:eastAsia="新宋体" w:cs="新宋体"/>
          <w:color w:val="auto"/>
          <w:sz w:val="21"/>
          <w:szCs w:val="21"/>
        </w:rPr>
        <w:br w:type="textWrapping"/>
      </w:r>
      <w:r>
        <w:rPr>
          <w:rFonts w:hint="eastAsia" w:ascii="新宋体" w:hAnsi="新宋体" w:eastAsia="新宋体" w:cs="新宋体"/>
          <w:color w:val="auto"/>
          <w:sz w:val="21"/>
          <w:szCs w:val="21"/>
        </w:rPr>
        <w:t xml:space="preserve">    4、甲方有权利随时对乙方检验过程进行监督检查，若甲方对乙方检验人员或工作程序等有疑议，可向乙方提出申诉，并由乙方向甲方出具书面答复。</w:t>
      </w:r>
      <w:r>
        <w:rPr>
          <w:rFonts w:hint="eastAsia" w:ascii="新宋体" w:hAnsi="新宋体" w:eastAsia="新宋体" w:cs="新宋体"/>
          <w:color w:val="auto"/>
          <w:sz w:val="21"/>
          <w:szCs w:val="21"/>
        </w:rPr>
        <w:br w:type="textWrapping"/>
      </w:r>
      <w:r>
        <w:rPr>
          <w:rFonts w:hint="eastAsia" w:ascii="新宋体" w:hAnsi="新宋体" w:eastAsia="新宋体" w:cs="新宋体"/>
          <w:color w:val="auto"/>
          <w:sz w:val="21"/>
          <w:szCs w:val="21"/>
        </w:rPr>
        <w:t xml:space="preserve">    5、成果要求：乙方完成检测任务后，应提交样品检验报告，只可向委托方即报告检验结果，未经甲方同意乙方不得私自向社会或被检单位透漏监督抽检相关信息。</w:t>
      </w:r>
    </w:p>
    <w:p w14:paraId="12E9FBD7">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6、乙方抽样工作要留有足够照片资料，在抽检工作完成后随同检验报告一同提供甲方；乙方应将备份合格样品合理利用，并将备份样品处置和利用情况告知甲方。</w:t>
      </w:r>
    </w:p>
    <w:p w14:paraId="0E5BABE2">
      <w:pPr>
        <w:ind w:firstLine="422" w:firstLineChars="200"/>
        <w:rPr>
          <w:b/>
          <w:bCs/>
          <w:color w:val="auto"/>
          <w:sz w:val="21"/>
          <w:szCs w:val="21"/>
        </w:rPr>
      </w:pPr>
      <w:r>
        <w:rPr>
          <w:rFonts w:hint="eastAsia"/>
          <w:b/>
          <w:bCs/>
          <w:color w:val="auto"/>
          <w:sz w:val="21"/>
          <w:szCs w:val="21"/>
        </w:rPr>
        <w:t>第三条  合同费用及付款方式</w:t>
      </w:r>
    </w:p>
    <w:p w14:paraId="3589A3EC">
      <w:pPr>
        <w:ind w:firstLine="420" w:firstLineChars="200"/>
        <w:jc w:val="left"/>
        <w:rPr>
          <w:rFonts w:ascii="新宋体" w:hAnsi="新宋体" w:eastAsia="新宋体" w:cs="新宋体"/>
          <w:b/>
          <w:bCs/>
          <w:color w:val="auto"/>
          <w:sz w:val="21"/>
          <w:szCs w:val="21"/>
        </w:rPr>
      </w:pPr>
      <w:r>
        <w:rPr>
          <w:rFonts w:hint="eastAsia" w:ascii="新宋体" w:hAnsi="新宋体" w:eastAsia="新宋体" w:cs="新宋体"/>
          <w:color w:val="auto"/>
          <w:sz w:val="21"/>
          <w:szCs w:val="21"/>
        </w:rPr>
        <w:t>1、检验品种、项目及费用：</w:t>
      </w:r>
    </w:p>
    <w:p w14:paraId="399A5352">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 xml:space="preserve">①乙方应严格按照采购时时确定的食用农产品、食品品种、检验项目、数量进行抽检，按要求完成甲方承检任务后，由甲方支付乙方检验费共计人民币 </w:t>
      </w:r>
      <w:r>
        <w:rPr>
          <w:rFonts w:hint="eastAsia" w:ascii="新宋体" w:hAnsi="新宋体" w:eastAsia="新宋体" w:cs="新宋体"/>
          <w:color w:val="auto"/>
          <w:sz w:val="21"/>
          <w:szCs w:val="21"/>
          <w:u w:val="single"/>
        </w:rPr>
        <w:t xml:space="preserve">      </w:t>
      </w:r>
      <w:r>
        <w:rPr>
          <w:rFonts w:hint="eastAsia" w:ascii="新宋体" w:hAnsi="新宋体" w:eastAsia="新宋体" w:cs="新宋体"/>
          <w:color w:val="auto"/>
          <w:sz w:val="21"/>
          <w:szCs w:val="21"/>
        </w:rPr>
        <w:t>万元，具体检验品种和项目见《2026年食品安全抽检计划表》。</w:t>
      </w:r>
    </w:p>
    <w:p w14:paraId="24334D03">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②乙方为提高问题食品发现率，有针对性地增加检验项目，对合同外检出问题食品的检验项目，按市场价格计算费用，在合同总额的基础上予以追加或另付费用。</w:t>
      </w:r>
    </w:p>
    <w:p w14:paraId="72A74137">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2、付款方式：</w:t>
      </w:r>
    </w:p>
    <w:p w14:paraId="20394F9F">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 xml:space="preserve">①乙方在按照合同约定完成任务，开具正式发票，达到付款条件起30个工作日内，支付合同总金额的100.0%。 </w:t>
      </w:r>
    </w:p>
    <w:p w14:paraId="47CACFF2">
      <w:pPr>
        <w:ind w:firstLine="420" w:firstLineChars="200"/>
        <w:jc w:val="left"/>
        <w:rPr>
          <w:rFonts w:ascii="新宋体" w:hAnsi="新宋体" w:eastAsia="新宋体" w:cs="新宋体"/>
          <w:b/>
          <w:color w:val="auto"/>
          <w:sz w:val="21"/>
          <w:szCs w:val="21"/>
        </w:rPr>
      </w:pPr>
      <w:r>
        <w:rPr>
          <w:rFonts w:hint="eastAsia" w:ascii="新宋体" w:hAnsi="新宋体" w:eastAsia="新宋体" w:cs="新宋体"/>
          <w:color w:val="auto"/>
          <w:sz w:val="21"/>
          <w:szCs w:val="21"/>
        </w:rPr>
        <w:t>②以银行转账方式支付。</w:t>
      </w:r>
    </w:p>
    <w:p w14:paraId="198E2CF5">
      <w:pPr>
        <w:ind w:firstLine="422" w:firstLineChars="200"/>
        <w:rPr>
          <w:b/>
          <w:bCs/>
          <w:color w:val="auto"/>
          <w:sz w:val="21"/>
          <w:szCs w:val="21"/>
        </w:rPr>
      </w:pPr>
      <w:r>
        <w:rPr>
          <w:rFonts w:hint="eastAsia"/>
          <w:b/>
          <w:bCs/>
          <w:color w:val="auto"/>
          <w:sz w:val="21"/>
          <w:szCs w:val="21"/>
        </w:rPr>
        <w:t>第四条  双方责任</w:t>
      </w:r>
    </w:p>
    <w:p w14:paraId="2320D659">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1、甲方需监督配合乙方按国家标准要求和2026年食品/农产品监督抽检计划相关要求抽取样品。</w:t>
      </w:r>
    </w:p>
    <w:p w14:paraId="042DACD5">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2、甲方组织人员对乙方抽检过程进行抽查，委托任务完成后要进行验收，乙方要积极配合。</w:t>
      </w:r>
    </w:p>
    <w:p w14:paraId="281C797F">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3、乙方应按照国家规定的监督抽检要求，做好抽取样品、运输样品、检验样品、出具报告、信息录入等环节工作；最后向甲方提供质量分析报告。</w:t>
      </w:r>
    </w:p>
    <w:p w14:paraId="4591543A">
      <w:pPr>
        <w:ind w:firstLine="422" w:firstLineChars="200"/>
        <w:rPr>
          <w:b/>
          <w:bCs/>
          <w:color w:val="auto"/>
          <w:sz w:val="21"/>
          <w:szCs w:val="21"/>
        </w:rPr>
      </w:pPr>
      <w:r>
        <w:rPr>
          <w:rFonts w:hint="eastAsia"/>
          <w:b/>
          <w:bCs/>
          <w:color w:val="auto"/>
          <w:sz w:val="21"/>
          <w:szCs w:val="21"/>
        </w:rPr>
        <w:t>第五条  违约责任</w:t>
      </w:r>
    </w:p>
    <w:p w14:paraId="4B1A727F">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1、合同生效后，因甲方原因而终止合同，甲方应向乙方支付已按甲方要求完成工作量的费用。</w:t>
      </w:r>
    </w:p>
    <w:p w14:paraId="5245358D">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2、合同生效后，因乙方原因而终止合同，甲方不向乙方支付已完成合同费用。</w:t>
      </w:r>
    </w:p>
    <w:p w14:paraId="182E4F9C">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3、由于乙方在监督抽检过程中工作不规范引起纠纷，应由乙方负责，所产生费用，由乙方自行承担；由于乙方检验报告质量不符合要求，应自行采取有效措施，积极主动地弥补过失，保证工作质量能够满足甲方要求，所引起的纠纷应由乙方负责，所产生费用由甲方在其检验费中按量扣除。</w:t>
      </w:r>
    </w:p>
    <w:p w14:paraId="5345C895">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4、甲方对乙方的抽检过程随时进行抽查和考核，发现乙方有弄虚作假其他不实行为和考核不合格，甲方有权终止合同，并要求乙方承担甲方相应的损失。</w:t>
      </w:r>
    </w:p>
    <w:p w14:paraId="43EF80A2">
      <w:pPr>
        <w:ind w:firstLine="422" w:firstLineChars="200"/>
        <w:rPr>
          <w:b/>
          <w:bCs/>
          <w:color w:val="auto"/>
          <w:sz w:val="21"/>
          <w:szCs w:val="21"/>
        </w:rPr>
      </w:pPr>
      <w:r>
        <w:rPr>
          <w:rFonts w:hint="eastAsia"/>
          <w:b/>
          <w:bCs/>
          <w:color w:val="auto"/>
          <w:sz w:val="21"/>
          <w:szCs w:val="21"/>
        </w:rPr>
        <w:t>第六条  未尽事宜与争议</w:t>
      </w:r>
    </w:p>
    <w:p w14:paraId="386D83D5">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1、对本合同未尽事宜，本着以项目利益为重的原则，友好协商解决，由双方当事人及时协商签订补充协议。</w:t>
      </w:r>
    </w:p>
    <w:p w14:paraId="4C655A48">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2、本合同执行过程中若发生分歧或争议，按合同约定及《中华人民共和国合同法》有关规定通过协商及时解决；如果协商不成时，通过法律途径解决。</w:t>
      </w:r>
    </w:p>
    <w:p w14:paraId="33A4F80E">
      <w:pPr>
        <w:ind w:firstLine="422" w:firstLineChars="200"/>
        <w:rPr>
          <w:b/>
          <w:bCs/>
          <w:color w:val="auto"/>
          <w:sz w:val="21"/>
          <w:szCs w:val="21"/>
        </w:rPr>
      </w:pPr>
      <w:r>
        <w:rPr>
          <w:rFonts w:hint="eastAsia"/>
          <w:b/>
          <w:bCs/>
          <w:color w:val="auto"/>
          <w:sz w:val="21"/>
          <w:szCs w:val="21"/>
        </w:rPr>
        <w:t>第七条  其它</w:t>
      </w:r>
    </w:p>
    <w:p w14:paraId="57C7BB4D">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1、本合同自双方签字、盖章之日起生效，履行完合同规定后，即时终止。</w:t>
      </w:r>
    </w:p>
    <w:p w14:paraId="6FFE83E9">
      <w:pPr>
        <w:ind w:firstLine="420" w:firstLineChars="200"/>
        <w:jc w:val="left"/>
        <w:rPr>
          <w:rFonts w:ascii="新宋体" w:hAnsi="新宋体" w:eastAsia="新宋体" w:cs="新宋体"/>
          <w:color w:val="auto"/>
          <w:sz w:val="21"/>
          <w:szCs w:val="21"/>
        </w:rPr>
      </w:pPr>
      <w:r>
        <w:rPr>
          <w:rFonts w:hint="eastAsia" w:ascii="新宋体" w:hAnsi="新宋体" w:eastAsia="新宋体" w:cs="新宋体"/>
          <w:color w:val="auto"/>
          <w:sz w:val="21"/>
          <w:szCs w:val="21"/>
        </w:rPr>
        <w:t>2、本合同书一式肆份。双方各执贰份，具有同等法律效力。</w:t>
      </w:r>
    </w:p>
    <w:p w14:paraId="3376ED13">
      <w:pPr>
        <w:spacing w:line="300" w:lineRule="auto"/>
        <w:jc w:val="left"/>
        <w:rPr>
          <w:rFonts w:ascii="宋体" w:hAnsi="宋体" w:eastAsia="宋体" w:cs="宋体"/>
          <w:color w:val="auto"/>
          <w:kern w:val="0"/>
          <w:szCs w:val="21"/>
        </w:rPr>
      </w:pPr>
    </w:p>
    <w:p w14:paraId="3549926A">
      <w:pPr>
        <w:widowControl/>
        <w:wordWrap w:val="0"/>
        <w:ind w:left="5662" w:hanging="5662"/>
        <w:rPr>
          <w:rFonts w:ascii="宋体" w:hAnsi="宋体" w:eastAsia="宋体" w:cs="宋体"/>
          <w:b/>
          <w:bCs/>
          <w:color w:val="auto"/>
          <w:kern w:val="0"/>
          <w:sz w:val="21"/>
          <w:szCs w:val="21"/>
        </w:rPr>
      </w:pPr>
      <w:r>
        <w:rPr>
          <w:rFonts w:hint="eastAsia" w:ascii="宋体" w:hAnsi="宋体" w:eastAsia="宋体" w:cs="宋体"/>
          <w:b/>
          <w:bCs/>
          <w:color w:val="auto"/>
          <w:kern w:val="0"/>
          <w:sz w:val="21"/>
          <w:szCs w:val="21"/>
        </w:rPr>
        <w:t>（以下无正文，接签署部分）</w:t>
      </w:r>
    </w:p>
    <w:tbl>
      <w:tblPr>
        <w:tblStyle w:val="8"/>
        <w:tblpPr w:leftFromText="180" w:rightFromText="180" w:vertAnchor="text" w:horzAnchor="page" w:tblpXSpec="center" w:tblpY="525"/>
        <w:tblOverlap w:val="never"/>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46"/>
        <w:gridCol w:w="4174"/>
      </w:tblGrid>
      <w:tr w14:paraId="17E79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3DAAD805">
            <w:pPr>
              <w:rPr>
                <w:rFonts w:ascii="宋体" w:hAnsi="宋体" w:eastAsia="宋体" w:cs="宋体"/>
                <w:color w:val="auto"/>
                <w:sz w:val="21"/>
                <w:szCs w:val="21"/>
              </w:rPr>
            </w:pPr>
            <w:r>
              <w:rPr>
                <w:rFonts w:hint="eastAsia" w:ascii="宋体" w:hAnsi="宋体" w:eastAsia="宋体" w:cs="宋体"/>
                <w:b/>
                <w:bCs/>
                <w:color w:val="auto"/>
                <w:kern w:val="0"/>
                <w:sz w:val="21"/>
                <w:szCs w:val="21"/>
              </w:rPr>
              <w:br w:type="page"/>
            </w:r>
            <w:r>
              <w:rPr>
                <w:rFonts w:hint="eastAsia" w:ascii="宋体" w:hAnsi="宋体" w:eastAsia="宋体" w:cs="宋体"/>
                <w:color w:val="auto"/>
                <w:sz w:val="21"/>
                <w:szCs w:val="21"/>
              </w:rPr>
              <w:t>甲方（委托方）：</w:t>
            </w:r>
          </w:p>
        </w:tc>
        <w:tc>
          <w:tcPr>
            <w:tcW w:w="2449" w:type="pct"/>
            <w:noWrap/>
            <w:vAlign w:val="center"/>
          </w:tcPr>
          <w:p w14:paraId="155B8934">
            <w:pPr>
              <w:spacing w:line="348" w:lineRule="auto"/>
              <w:rPr>
                <w:rFonts w:ascii="宋体" w:hAnsi="宋体" w:eastAsia="宋体" w:cs="宋体"/>
                <w:color w:val="auto"/>
                <w:sz w:val="21"/>
                <w:szCs w:val="21"/>
              </w:rPr>
            </w:pPr>
            <w:r>
              <w:rPr>
                <w:rFonts w:hint="eastAsia" w:ascii="宋体" w:hAnsi="宋体" w:eastAsia="宋体" w:cs="宋体"/>
                <w:color w:val="auto"/>
                <w:sz w:val="21"/>
                <w:szCs w:val="21"/>
              </w:rPr>
              <w:t>乙方（受托方）：</w:t>
            </w:r>
          </w:p>
        </w:tc>
      </w:tr>
      <w:tr w14:paraId="10B5F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0121DA25">
            <w:pPr>
              <w:spacing w:line="348" w:lineRule="auto"/>
              <w:rPr>
                <w:rFonts w:ascii="宋体" w:hAnsi="宋体" w:eastAsia="宋体" w:cs="宋体"/>
                <w:color w:val="auto"/>
                <w:sz w:val="21"/>
                <w:szCs w:val="21"/>
              </w:rPr>
            </w:pPr>
            <w:r>
              <w:rPr>
                <w:rFonts w:hint="eastAsia" w:ascii="宋体" w:hAnsi="宋体" w:eastAsia="宋体" w:cs="宋体"/>
                <w:color w:val="auto"/>
                <w:sz w:val="21"/>
                <w:szCs w:val="21"/>
              </w:rPr>
              <w:t>地　址：</w:t>
            </w:r>
          </w:p>
        </w:tc>
        <w:tc>
          <w:tcPr>
            <w:tcW w:w="2449" w:type="pct"/>
            <w:noWrap/>
            <w:vAlign w:val="center"/>
          </w:tcPr>
          <w:p w14:paraId="2590B372">
            <w:pPr>
              <w:spacing w:line="348" w:lineRule="auto"/>
              <w:rPr>
                <w:rFonts w:ascii="宋体" w:hAnsi="宋体" w:eastAsia="宋体" w:cs="宋体"/>
                <w:color w:val="auto"/>
                <w:sz w:val="21"/>
                <w:szCs w:val="21"/>
              </w:rPr>
            </w:pPr>
            <w:r>
              <w:rPr>
                <w:rFonts w:hint="eastAsia" w:ascii="宋体" w:hAnsi="宋体" w:eastAsia="宋体" w:cs="宋体"/>
                <w:color w:val="auto"/>
                <w:sz w:val="21"/>
                <w:szCs w:val="21"/>
              </w:rPr>
              <w:t>地　址：</w:t>
            </w:r>
          </w:p>
        </w:tc>
      </w:tr>
      <w:tr w14:paraId="3932A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2C7084BC">
            <w:pPr>
              <w:spacing w:line="348" w:lineRule="auto"/>
              <w:rPr>
                <w:rFonts w:ascii="宋体" w:hAnsi="宋体" w:eastAsia="宋体" w:cs="宋体"/>
                <w:color w:val="auto"/>
                <w:sz w:val="21"/>
                <w:szCs w:val="21"/>
              </w:rPr>
            </w:pPr>
            <w:r>
              <w:rPr>
                <w:rFonts w:hint="eastAsia" w:ascii="宋体" w:hAnsi="宋体" w:eastAsia="宋体" w:cs="宋体"/>
                <w:color w:val="auto"/>
                <w:sz w:val="21"/>
                <w:szCs w:val="21"/>
              </w:rPr>
              <w:t>代理人：　</w:t>
            </w:r>
          </w:p>
        </w:tc>
        <w:tc>
          <w:tcPr>
            <w:tcW w:w="2449" w:type="pct"/>
            <w:noWrap/>
            <w:vAlign w:val="center"/>
          </w:tcPr>
          <w:p w14:paraId="2B967028">
            <w:pPr>
              <w:tabs>
                <w:tab w:val="left" w:pos="5355"/>
              </w:tabs>
              <w:spacing w:line="500" w:lineRule="exact"/>
              <w:rPr>
                <w:rFonts w:ascii="宋体" w:hAnsi="宋体" w:eastAsia="宋体" w:cs="宋体"/>
                <w:color w:val="auto"/>
                <w:sz w:val="21"/>
                <w:szCs w:val="21"/>
              </w:rPr>
            </w:pPr>
            <w:r>
              <w:rPr>
                <w:rFonts w:hint="eastAsia" w:ascii="宋体" w:hAnsi="宋体" w:eastAsia="宋体" w:cs="宋体"/>
                <w:color w:val="auto"/>
                <w:sz w:val="21"/>
                <w:szCs w:val="21"/>
              </w:rPr>
              <w:t>代理人</w:t>
            </w:r>
          </w:p>
        </w:tc>
      </w:tr>
      <w:tr w14:paraId="7D981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51B6AEB0">
            <w:pPr>
              <w:spacing w:line="348" w:lineRule="auto"/>
              <w:rPr>
                <w:rFonts w:ascii="宋体" w:hAnsi="宋体" w:eastAsia="宋体" w:cs="宋体"/>
                <w:color w:val="auto"/>
                <w:sz w:val="21"/>
                <w:szCs w:val="21"/>
              </w:rPr>
            </w:pPr>
            <w:r>
              <w:rPr>
                <w:rFonts w:hint="eastAsia" w:ascii="宋体" w:hAnsi="宋体" w:eastAsia="宋体" w:cs="宋体"/>
                <w:color w:val="auto"/>
                <w:sz w:val="21"/>
                <w:szCs w:val="21"/>
              </w:rPr>
              <w:t>联系电话：</w:t>
            </w:r>
          </w:p>
        </w:tc>
        <w:tc>
          <w:tcPr>
            <w:tcW w:w="2449" w:type="pct"/>
            <w:noWrap/>
            <w:vAlign w:val="center"/>
          </w:tcPr>
          <w:p w14:paraId="1412A24B">
            <w:pPr>
              <w:spacing w:line="348" w:lineRule="auto"/>
              <w:rPr>
                <w:rFonts w:ascii="宋体" w:hAnsi="宋体" w:eastAsia="宋体" w:cs="宋体"/>
                <w:color w:val="auto"/>
                <w:sz w:val="21"/>
                <w:szCs w:val="21"/>
              </w:rPr>
            </w:pPr>
            <w:r>
              <w:rPr>
                <w:rFonts w:hint="eastAsia" w:ascii="宋体" w:hAnsi="宋体" w:eastAsia="宋体" w:cs="宋体"/>
                <w:color w:val="auto"/>
                <w:sz w:val="21"/>
                <w:szCs w:val="21"/>
              </w:rPr>
              <w:t>联系电话：</w:t>
            </w:r>
          </w:p>
        </w:tc>
      </w:tr>
      <w:tr w14:paraId="3531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3CE63EF9">
            <w:pPr>
              <w:spacing w:line="348" w:lineRule="auto"/>
              <w:rPr>
                <w:rFonts w:ascii="宋体" w:hAnsi="宋体" w:eastAsia="宋体" w:cs="宋体"/>
                <w:color w:val="auto"/>
                <w:sz w:val="21"/>
                <w:szCs w:val="21"/>
              </w:rPr>
            </w:pPr>
            <w:r>
              <w:rPr>
                <w:rFonts w:hint="eastAsia" w:ascii="宋体" w:hAnsi="宋体" w:eastAsia="宋体" w:cs="宋体"/>
                <w:color w:val="auto"/>
                <w:sz w:val="21"/>
                <w:szCs w:val="21"/>
              </w:rPr>
              <w:t>开户行：</w:t>
            </w:r>
          </w:p>
        </w:tc>
        <w:tc>
          <w:tcPr>
            <w:tcW w:w="2449" w:type="pct"/>
            <w:noWrap/>
            <w:vAlign w:val="center"/>
          </w:tcPr>
          <w:p w14:paraId="49BB6107">
            <w:pPr>
              <w:tabs>
                <w:tab w:val="left" w:pos="5355"/>
              </w:tabs>
              <w:spacing w:line="500" w:lineRule="exact"/>
              <w:rPr>
                <w:rFonts w:ascii="宋体" w:hAnsi="宋体" w:eastAsia="宋体" w:cs="宋体"/>
                <w:color w:val="auto"/>
                <w:sz w:val="21"/>
                <w:szCs w:val="21"/>
              </w:rPr>
            </w:pPr>
            <w:r>
              <w:rPr>
                <w:rFonts w:hint="eastAsia" w:ascii="宋体" w:hAnsi="宋体" w:eastAsia="宋体" w:cs="宋体"/>
                <w:color w:val="auto"/>
                <w:sz w:val="21"/>
                <w:szCs w:val="21"/>
              </w:rPr>
              <w:t>开户行：</w:t>
            </w:r>
          </w:p>
        </w:tc>
      </w:tr>
      <w:tr w14:paraId="265B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39DD4613">
            <w:pPr>
              <w:spacing w:line="348" w:lineRule="auto"/>
              <w:rPr>
                <w:rFonts w:ascii="宋体" w:hAnsi="宋体" w:eastAsia="宋体" w:cs="宋体"/>
                <w:color w:val="auto"/>
                <w:sz w:val="21"/>
                <w:szCs w:val="21"/>
              </w:rPr>
            </w:pPr>
            <w:r>
              <w:rPr>
                <w:rFonts w:hint="eastAsia" w:ascii="宋体" w:hAnsi="宋体" w:eastAsia="宋体" w:cs="宋体"/>
                <w:color w:val="auto"/>
                <w:sz w:val="21"/>
                <w:szCs w:val="21"/>
              </w:rPr>
              <w:t>账号：</w:t>
            </w:r>
          </w:p>
        </w:tc>
        <w:tc>
          <w:tcPr>
            <w:tcW w:w="2449" w:type="pct"/>
            <w:noWrap/>
            <w:vAlign w:val="center"/>
          </w:tcPr>
          <w:p w14:paraId="068F5F2A">
            <w:pPr>
              <w:tabs>
                <w:tab w:val="left" w:pos="5355"/>
              </w:tabs>
              <w:spacing w:line="500" w:lineRule="exact"/>
              <w:rPr>
                <w:rFonts w:ascii="宋体" w:hAnsi="宋体" w:eastAsia="宋体" w:cs="宋体"/>
                <w:color w:val="auto"/>
                <w:sz w:val="21"/>
                <w:szCs w:val="21"/>
              </w:rPr>
            </w:pPr>
            <w:r>
              <w:rPr>
                <w:rFonts w:hint="eastAsia" w:ascii="宋体" w:hAnsi="宋体" w:eastAsia="宋体" w:cs="宋体"/>
                <w:color w:val="auto"/>
                <w:sz w:val="21"/>
                <w:szCs w:val="21"/>
              </w:rPr>
              <w:t>账号：</w:t>
            </w:r>
          </w:p>
        </w:tc>
      </w:tr>
      <w:tr w14:paraId="0616A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550" w:type="pct"/>
            <w:noWrap/>
            <w:vAlign w:val="center"/>
          </w:tcPr>
          <w:p w14:paraId="5A89388C">
            <w:pPr>
              <w:spacing w:line="348" w:lineRule="auto"/>
              <w:rPr>
                <w:rFonts w:ascii="宋体" w:hAnsi="宋体" w:eastAsia="宋体" w:cs="宋体"/>
                <w:color w:val="auto"/>
                <w:sz w:val="21"/>
                <w:szCs w:val="21"/>
              </w:rPr>
            </w:pPr>
            <w:r>
              <w:rPr>
                <w:rFonts w:hint="eastAsia" w:ascii="宋体" w:hAnsi="宋体" w:eastAsia="宋体" w:cs="宋体"/>
                <w:color w:val="auto"/>
                <w:sz w:val="21"/>
                <w:szCs w:val="21"/>
              </w:rPr>
              <w:t>日期： 年  月   日</w:t>
            </w:r>
          </w:p>
        </w:tc>
        <w:tc>
          <w:tcPr>
            <w:tcW w:w="2449" w:type="pct"/>
            <w:noWrap/>
            <w:vAlign w:val="center"/>
          </w:tcPr>
          <w:p w14:paraId="532F079A">
            <w:pPr>
              <w:spacing w:line="348" w:lineRule="auto"/>
              <w:rPr>
                <w:rFonts w:ascii="宋体" w:hAnsi="宋体" w:eastAsia="宋体" w:cs="宋体"/>
                <w:color w:val="auto"/>
                <w:sz w:val="21"/>
                <w:szCs w:val="21"/>
              </w:rPr>
            </w:pPr>
            <w:r>
              <w:rPr>
                <w:rFonts w:hint="eastAsia" w:ascii="宋体" w:hAnsi="宋体" w:eastAsia="宋体" w:cs="宋体"/>
                <w:color w:val="auto"/>
                <w:sz w:val="21"/>
                <w:szCs w:val="21"/>
              </w:rPr>
              <w:t>日期：  年  月  日</w:t>
            </w:r>
          </w:p>
        </w:tc>
      </w:tr>
    </w:tbl>
    <w:p w14:paraId="0ED04B8F">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新宋体">
    <w:panose1 w:val="02010609030101010101"/>
    <w:charset w:val="86"/>
    <w:family w:val="modern"/>
    <w:pitch w:val="default"/>
    <w:sig w:usb0="00000203" w:usb1="288F0000" w:usb2="0000000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䀃|ᤀࢊÅ标题 3!␅؁Ĥ搒Ũ♀嘂졄堀D夀D帀좄/࠵䈁Ī䩃䡋䩏䩐䩑䩞䩡ࡨ瀀h琀ैĥāŨāāऀĀÈÈ＀＀＀＀＀＀＀＀＀śdЉЉЁ＀＀＀＀_x000a__x000a_/_x000a_&amp;Ì呄jæ瑈Ë苮/뫲뵵B쀰´䳥^☀å὾­Ìæ呄j鎤㊚鎤㊚ǣ总ǣ总ǣ总ǣ总ǣ总ǣ总ǣ"/>
  </w:docVars>
  <w:rsids>
    <w:rsidRoot w:val="71D55449"/>
    <w:rsid w:val="00024961"/>
    <w:rsid w:val="00C5088A"/>
    <w:rsid w:val="00D21657"/>
    <w:rsid w:val="0B4B77D5"/>
    <w:rsid w:val="10C83D1A"/>
    <w:rsid w:val="140D5ACB"/>
    <w:rsid w:val="2887358B"/>
    <w:rsid w:val="2F2B2F03"/>
    <w:rsid w:val="3B7844CB"/>
    <w:rsid w:val="4ACF1226"/>
    <w:rsid w:val="5AD74577"/>
    <w:rsid w:val="646B1ECF"/>
    <w:rsid w:val="646F1658"/>
    <w:rsid w:val="68E338C4"/>
    <w:rsid w:val="6C823EF2"/>
    <w:rsid w:val="71D55449"/>
    <w:rsid w:val="721A6835"/>
    <w:rsid w:val="7769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heme="minorHAnsi" w:hAnsiTheme="minorHAnsi" w:eastAsiaTheme="minorEastAsia" w:cstheme="minorBidi"/>
      <w:kern w:val="2"/>
      <w:sz w:val="24"/>
      <w:szCs w:val="24"/>
      <w:lang w:val="en-US" w:eastAsia="zh-CN" w:bidi="ar-SA"/>
    </w:rPr>
  </w:style>
  <w:style w:type="paragraph" w:styleId="3">
    <w:name w:val="heading 3"/>
    <w:basedOn w:val="1"/>
    <w:next w:val="1"/>
    <w:semiHidden/>
    <w:unhideWhenUsed/>
    <w:qFormat/>
    <w:uiPriority w:val="0"/>
    <w:pPr>
      <w:keepNext/>
      <w:keepLines/>
      <w:ind w:left="200" w:leftChars="200"/>
      <w:outlineLvl w:val="2"/>
    </w:pPr>
    <w:rPr>
      <w:rFonts w:ascii="Arial" w:hAnsi="Arial" w:eastAsia="Arial" w:cs="Arial"/>
      <w:b/>
      <w:snapToGrid w:val="0"/>
      <w:color w:val="000000"/>
      <w:kern w:val="0"/>
      <w:sz w:val="28"/>
      <w:szCs w:val="20"/>
      <w:lang w:eastAsia="en-US"/>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正文文字"/>
    <w:next w:val="1"/>
    <w:qFormat/>
    <w:uiPriority w:val="0"/>
    <w:pPr>
      <w:adjustRightInd w:val="0"/>
      <w:snapToGrid w:val="0"/>
      <w:spacing w:after="120" w:line="600" w:lineRule="exact"/>
    </w:pPr>
    <w:rPr>
      <w:rFonts w:ascii="Tahoma" w:hAnsi="Tahoma" w:eastAsia="微软雅黑" w:cs="Arial"/>
      <w:sz w:val="22"/>
      <w:szCs w:val="22"/>
      <w:lang w:val="en-US" w:eastAsia="zh-CN" w:bidi="ar-SA"/>
    </w:rPr>
  </w:style>
  <w:style w:type="paragraph" w:styleId="4">
    <w:name w:val="Body Text"/>
    <w:basedOn w:val="1"/>
    <w:next w:val="1"/>
    <w:qFormat/>
    <w:uiPriority w:val="0"/>
    <w:rPr>
      <w:rFonts w:ascii="宋体" w:hAnsi="宋体" w:eastAsia="宋体" w:cs="Times New Roman"/>
      <w:bCs/>
      <w:szCs w:val="20"/>
    </w:rPr>
  </w:style>
  <w:style w:type="paragraph" w:styleId="5">
    <w:name w:val="footer"/>
    <w:basedOn w:val="1"/>
    <w:link w:val="11"/>
    <w:uiPriority w:val="0"/>
    <w:pPr>
      <w:tabs>
        <w:tab w:val="center" w:pos="4153"/>
        <w:tab w:val="right" w:pos="8306"/>
      </w:tabs>
      <w:snapToGrid w:val="0"/>
      <w:spacing w:line="240" w:lineRule="auto"/>
      <w:jc w:val="left"/>
    </w:pPr>
    <w:rPr>
      <w:sz w:val="18"/>
      <w:szCs w:val="18"/>
    </w:rPr>
  </w:style>
  <w:style w:type="paragraph" w:styleId="6">
    <w:name w:val="header"/>
    <w:basedOn w:val="1"/>
    <w:link w:val="10"/>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character" w:customStyle="1" w:styleId="10">
    <w:name w:val="页眉 Char"/>
    <w:basedOn w:val="9"/>
    <w:link w:val="6"/>
    <w:uiPriority w:val="0"/>
    <w:rPr>
      <w:kern w:val="2"/>
      <w:sz w:val="18"/>
      <w:szCs w:val="18"/>
    </w:rPr>
  </w:style>
  <w:style w:type="character" w:customStyle="1" w:styleId="11">
    <w:name w:val="页脚 Char"/>
    <w:basedOn w:val="9"/>
    <w:link w:val="5"/>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1655</Words>
  <Characters>1679</Characters>
  <Lines>13</Lines>
  <Paragraphs>3</Paragraphs>
  <TotalTime>3</TotalTime>
  <ScaleCrop>false</ScaleCrop>
  <LinksUpToDate>false</LinksUpToDate>
  <CharactersWithSpaces>1790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2026-06-11T06:44:00Z</dcterms:created>
  <dc:creator>朱娟</dc:creator>
  <cp:lastModifiedBy>朱娟</cp:lastModifiedBy>
  <dcterms:modified xsi:type="dcterms:W3CDTF">2026-06-11T07:53:06Z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D08F07E15C42486B9415FD7894320A1B_13</vt:lpwstr>
  </property>
  <property fmtid="{D5CDD505-2E9C-101B-9397-08002B2CF9AE}" pid="4" name="KSOTemplateDocerSaveRecord">
    <vt:lpwstr>eyJoZGlkIjoiNmQ5YTlhOTI1MTIxMWQzZmNmMTc3YTIwMzNkYjU1MDciLCJ1c2VySWQiOiIyMDIwODMyODIifQ==</vt:lpwstr>
  </property>
</Properties>
</file>