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版本号：SXZCZB2026-ZCCS-0814.1B120260821001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阎良区精神障碍社区康复服务项目(二次)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SXZCZB2026-ZCCS-0814.1B1</w:t>
      </w:r>
      <w:r>
        <w:br/>
      </w:r>
      <w:r>
        <w:br/>
      </w:r>
      <w:r>
        <w:br/>
      </w:r>
    </w:p>
    <w:p>
      <w:pPr>
        <w:pStyle w:val="null3"/>
        <w:jc w:val="center"/>
        <w:outlineLvl w:val="2"/>
      </w:pPr>
      <w:r>
        <w:rPr>
          <w:rFonts w:ascii="仿宋_GB2312" w:hAnsi="仿宋_GB2312" w:cs="仿宋_GB2312" w:eastAsia="仿宋_GB2312"/>
          <w:sz w:val="28"/>
          <w:b/>
        </w:rPr>
        <w:t>西安市阎良区民政局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西安市阎良区民政局</w:t>
      </w:r>
      <w:r>
        <w:rPr>
          <w:rFonts w:ascii="仿宋_GB2312" w:hAnsi="仿宋_GB2312" w:cs="仿宋_GB2312" w:eastAsia="仿宋_GB2312"/>
        </w:rPr>
        <w:t>委托，拟对</w:t>
      </w:r>
      <w:r>
        <w:rPr>
          <w:rFonts w:ascii="仿宋_GB2312" w:hAnsi="仿宋_GB2312" w:cs="仿宋_GB2312" w:eastAsia="仿宋_GB2312"/>
        </w:rPr>
        <w:t>阎良区精神障碍社区康复服务项目(二次)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阎良区精神障碍社区康复服务项目(二次)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精神障碍社区康复服务项目旨在建立完善阎良区精神障碍社区康复服务体系，项目服务对象为阎良区户籍，病情稳定且无肇事肇祸倾向，经精神卫生专业医疗机构出院评估可进行社区康复且有康复意愿的居家精神障碍患者，优先照顾低保、低收入家庭及特困供养对象中特殊困难精神障碍患者康复需求。全年登记建档人数不少于300人，提供康复服务率不少于登记建档患者的60%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2、法定代表人授权书：法定代表人直接参加的，须提供法定代表人身份证明；法定代表人授权代表参加的，须提供法定代表人授权委托书；</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6、供应商信⽤记录书⾯声明函：供应商信⽤记录书⾯声明函：提供《供应商信⽤记录书⾯声明函》供应商未被列⼊“信⽤中国”⽹站记录的“失信被执⾏⼈”或 “重⼤税收违法案件当事⼈”名单；不处于“中国政府采购⽹”记录的“政府采购严重违法失信⾏为信息记录名单”中的禁⽌参加政府采购活动期间；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西安市阎良区文化西路1号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029-86875109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孙洋、康乐、常瑛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西安市阎良区民政局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联系人：孙洋、康乐、常瑛</w:t>
      </w:r>
    </w:p>
    <w:p>
      <w:pPr>
        <w:pStyle w:val="null3"/>
      </w:pPr>
      <w:r>
        <w:rPr>
          <w:rFonts w:ascii="仿宋_GB2312" w:hAnsi="仿宋_GB2312" w:cs="仿宋_GB2312" w:eastAsia="仿宋_GB2312"/>
        </w:rPr>
        <w:t>联系电话：13636736761</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阎良区精神障碍社区康复服务项目旨在建立完善阎良区精神障碍社区康复服务体系，项目服务对象为阎良区户籍，病情稳定且无肇事肇祸倾向，经精神卫生专业医疗机构出院评估可进行社区康复且有康复意愿的居家精神障碍患者，优先照顾低保、低收入家庭及特困供养对象中特殊困难精神障碍患者康复需求。全年登记建档人数不少于300人，提供康复服务率不少于登记建档患者的60%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阎良区精神障碍社区康复服务项目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标的名称：阎良区精神障碍社区康复服务项目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ind w:firstLine="480"/>
              <w:jc w:val="left"/>
            </w:pPr>
            <w:r>
              <w:rPr>
                <w:rFonts w:ascii="仿宋_GB2312" w:hAnsi="仿宋_GB2312" w:cs="仿宋_GB2312" w:eastAsia="仿宋_GB2312"/>
                <w:sz w:val="21"/>
              </w:rPr>
              <w:t>阎良区精神障碍社区康复服务项目旨在建立完善阎良区精神障碍社区康复服务体系，项目服务对象为阎良区户籍，病情稳定且无肇事肇祸倾向，经精神卫生专业医疗机构出院评估可进行社区康复且有康复意愿的居家精神障碍患者，优先照顾低保、低收入家庭及特困供养对象中特殊困难精神障碍患者康复需求。全年登记建档人数不少于300人，提供康复服务率不少于登记建档患者的60%。</w:t>
            </w:r>
          </w:p>
          <w:p>
            <w:pPr>
              <w:pStyle w:val="null3"/>
              <w:numPr>
                <w:ilvl w:val="0"/>
                <w:numId w:val="1"/>
              </w:numPr>
              <w:spacing w:before="105" w:after="105"/>
              <w:jc w:val="left"/>
            </w:pPr>
            <w:r>
              <w:rPr>
                <w:rFonts w:ascii="仿宋_GB2312" w:hAnsi="仿宋_GB2312" w:cs="仿宋_GB2312" w:eastAsia="仿宋_GB2312"/>
                <w:sz w:val="21"/>
                <w:b/>
              </w:rPr>
              <w:t>服务内容</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color w:val="000000"/>
              </w:rPr>
              <w:t>登记建档</w:t>
            </w:r>
            <w:r>
              <w:rPr>
                <w:rFonts w:ascii="仿宋_GB2312" w:hAnsi="仿宋_GB2312" w:cs="仿宋_GB2312" w:eastAsia="仿宋_GB2312"/>
                <w:sz w:val="21"/>
                <w:color w:val="000000"/>
              </w:rPr>
              <w:t>及基线评估</w:t>
            </w:r>
            <w:r>
              <w:rPr>
                <w:rFonts w:ascii="仿宋_GB2312" w:hAnsi="仿宋_GB2312" w:cs="仿宋_GB2312" w:eastAsia="仿宋_GB2312"/>
                <w:sz w:val="21"/>
                <w:color w:val="000000"/>
              </w:rPr>
              <w:t>。</w:t>
            </w:r>
            <w:r>
              <w:rPr>
                <w:rFonts w:ascii="仿宋_GB2312" w:hAnsi="仿宋_GB2312" w:cs="仿宋_GB2312" w:eastAsia="仿宋_GB2312"/>
                <w:sz w:val="21"/>
                <w:color w:val="000000"/>
              </w:rPr>
              <w:t>全年</w:t>
            </w:r>
            <w:r>
              <w:rPr>
                <w:rFonts w:ascii="仿宋_GB2312" w:hAnsi="仿宋_GB2312" w:cs="仿宋_GB2312" w:eastAsia="仿宋_GB2312"/>
                <w:sz w:val="21"/>
                <w:color w:val="000000"/>
              </w:rPr>
              <w:t>精神障碍社区康复患者登记建档人数至少</w:t>
            </w:r>
            <w:r>
              <w:rPr>
                <w:rFonts w:ascii="仿宋_GB2312" w:hAnsi="仿宋_GB2312" w:cs="仿宋_GB2312" w:eastAsia="仿宋_GB2312"/>
                <w:sz w:val="21"/>
                <w:color w:val="000000"/>
              </w:rPr>
              <w:t>3</w:t>
            </w:r>
            <w:r>
              <w:rPr>
                <w:rFonts w:ascii="仿宋_GB2312" w:hAnsi="仿宋_GB2312" w:cs="仿宋_GB2312" w:eastAsia="仿宋_GB2312"/>
                <w:sz w:val="21"/>
                <w:color w:val="000000"/>
              </w:rPr>
              <w:t>00 人以上。</w:t>
            </w:r>
            <w:r>
              <w:rPr>
                <w:rFonts w:ascii="仿宋_GB2312" w:hAnsi="仿宋_GB2312" w:cs="仿宋_GB2312" w:eastAsia="仿宋_GB2312"/>
                <w:sz w:val="21"/>
                <w:color w:val="000000"/>
              </w:rPr>
              <w:t>在</w:t>
            </w:r>
            <w:r>
              <w:rPr>
                <w:rFonts w:ascii="仿宋_GB2312" w:hAnsi="仿宋_GB2312" w:cs="仿宋_GB2312" w:eastAsia="仿宋_GB2312"/>
                <w:sz w:val="21"/>
                <w:color w:val="000000"/>
              </w:rPr>
              <w:t>详细了解患者精神和身体健康状况、家庭结构、 成长过程等</w:t>
            </w:r>
            <w:r>
              <w:rPr>
                <w:rFonts w:ascii="仿宋_GB2312" w:hAnsi="仿宋_GB2312" w:cs="仿宋_GB2312" w:eastAsia="仿宋_GB2312"/>
                <w:sz w:val="21"/>
                <w:color w:val="000000"/>
              </w:rPr>
              <w:t>情况的基础上，</w:t>
            </w:r>
            <w:r>
              <w:rPr>
                <w:rFonts w:ascii="仿宋_GB2312" w:hAnsi="仿宋_GB2312" w:cs="仿宋_GB2312" w:eastAsia="仿宋_GB2312"/>
                <w:sz w:val="21"/>
                <w:color w:val="000000"/>
              </w:rPr>
              <w:t>对患者进行规范登记建档，填写</w:t>
            </w:r>
            <w:r>
              <w:rPr>
                <w:rFonts w:ascii="仿宋_GB2312" w:hAnsi="仿宋_GB2312" w:cs="仿宋_GB2312" w:eastAsia="仿宋_GB2312"/>
                <w:sz w:val="21"/>
                <w:color w:val="000000"/>
              </w:rPr>
              <w:t>《</w:t>
            </w:r>
            <w:r>
              <w:rPr>
                <w:rFonts w:ascii="仿宋_GB2312" w:hAnsi="仿宋_GB2312" w:cs="仿宋_GB2312" w:eastAsia="仿宋_GB2312"/>
                <w:sz w:val="21"/>
                <w:color w:val="000000"/>
              </w:rPr>
              <w:t>基本情况登记表</w:t>
            </w:r>
            <w:r>
              <w:rPr>
                <w:rFonts w:ascii="仿宋_GB2312" w:hAnsi="仿宋_GB2312" w:cs="仿宋_GB2312" w:eastAsia="仿宋_GB2312"/>
                <w:sz w:val="21"/>
                <w:color w:val="000000"/>
              </w:rPr>
              <w:t>》</w:t>
            </w:r>
            <w:r>
              <w:rPr>
                <w:rFonts w:ascii="仿宋_GB2312" w:hAnsi="仿宋_GB2312" w:cs="仿宋_GB2312" w:eastAsia="仿宋_GB2312"/>
                <w:sz w:val="21"/>
                <w:color w:val="000000"/>
              </w:rPr>
              <w:t>并签订服务协议。收集患者资料并填写</w:t>
            </w:r>
            <w:r>
              <w:rPr>
                <w:rFonts w:ascii="仿宋_GB2312" w:hAnsi="仿宋_GB2312" w:cs="仿宋_GB2312" w:eastAsia="仿宋_GB2312"/>
                <w:sz w:val="21"/>
                <w:color w:val="000000"/>
              </w:rPr>
              <w:t>《心理社会功能评估表》</w:t>
            </w:r>
            <w:r>
              <w:rPr>
                <w:rFonts w:ascii="仿宋_GB2312" w:hAnsi="仿宋_GB2312" w:cs="仿宋_GB2312" w:eastAsia="仿宋_GB2312"/>
                <w:sz w:val="21"/>
                <w:color w:val="000000"/>
              </w:rPr>
              <w:t>、</w:t>
            </w:r>
            <w:r>
              <w:rPr>
                <w:rFonts w:ascii="仿宋_GB2312" w:hAnsi="仿宋_GB2312" w:cs="仿宋_GB2312" w:eastAsia="仿宋_GB2312"/>
                <w:sz w:val="21"/>
                <w:color w:val="000000"/>
              </w:rPr>
              <w:t>《精神状况综合评估表》</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1"/>
                <w:color w:val="000000"/>
              </w:rPr>
              <w:t>（二）提供</w:t>
            </w:r>
            <w:r>
              <w:rPr>
                <w:rFonts w:ascii="仿宋_GB2312" w:hAnsi="仿宋_GB2312" w:cs="仿宋_GB2312" w:eastAsia="仿宋_GB2312"/>
                <w:sz w:val="21"/>
                <w:color w:val="000000"/>
              </w:rPr>
              <w:t>康复</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为60%以上的登记建档患者提供康复服务，定期开展过程评估。</w:t>
            </w:r>
            <w:r>
              <w:rPr>
                <w:rFonts w:ascii="仿宋_GB2312" w:hAnsi="仿宋_GB2312" w:cs="仿宋_GB2312" w:eastAsia="仿宋_GB2312"/>
                <w:sz w:val="21"/>
                <w:color w:val="000000"/>
              </w:rPr>
              <w:t>康复</w:t>
            </w:r>
            <w:r>
              <w:rPr>
                <w:rFonts w:ascii="仿宋_GB2312" w:hAnsi="仿宋_GB2312" w:cs="仿宋_GB2312" w:eastAsia="仿宋_GB2312"/>
                <w:sz w:val="21"/>
                <w:color w:val="000000"/>
              </w:rPr>
              <w:t>服务内容</w:t>
            </w:r>
            <w:r>
              <w:rPr>
                <w:rFonts w:ascii="仿宋_GB2312" w:hAnsi="仿宋_GB2312" w:cs="仿宋_GB2312" w:eastAsia="仿宋_GB2312"/>
                <w:sz w:val="21"/>
                <w:color w:val="000000"/>
              </w:rPr>
              <w:t>包括服药训练、 预防复发训练、躯体管理训练、生活技能训练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社交技能训练、职业康复训练、心理康复、同伴支持、家庭支持等</w:t>
            </w:r>
            <w:r>
              <w:rPr>
                <w:rFonts w:ascii="仿宋_GB2312" w:hAnsi="仿宋_GB2312" w:cs="仿宋_GB2312" w:eastAsia="仿宋_GB2312"/>
                <w:sz w:val="21"/>
                <w:color w:val="000000"/>
              </w:rPr>
              <w:t>；</w:t>
            </w:r>
            <w:r>
              <w:rPr>
                <w:rFonts w:ascii="仿宋_GB2312" w:hAnsi="仿宋_GB2312" w:cs="仿宋_GB2312" w:eastAsia="仿宋_GB2312"/>
                <w:sz w:val="21"/>
                <w:color w:val="000000"/>
              </w:rPr>
              <w:t>可采取入户服务、集中训练、讲座授课、小组活动、一对一指导、场景模拟、交流互助等方式进行；训练前需对患者进行专业评估，确保患者适合该项服务，同时进行环境安全评估，至少配备2名工作人员。具体指标见下表</w:t>
            </w:r>
            <w:r>
              <w:rPr>
                <w:rFonts w:ascii="仿宋_GB2312" w:hAnsi="仿宋_GB2312" w:cs="仿宋_GB2312" w:eastAsia="仿宋_GB2312"/>
                <w:sz w:val="21"/>
                <w:color w:val="000000"/>
              </w:rPr>
              <w:t>。</w:t>
            </w:r>
          </w:p>
          <w:tbl>
            <w:tblPr>
              <w:tblBorders>
                <w:top w:val="none" w:color="000000" w:sz="4"/>
                <w:left w:val="none" w:color="000000" w:sz="4"/>
                <w:bottom w:val="none" w:color="000000" w:sz="4"/>
                <w:right w:val="none" w:color="000000" w:sz="4"/>
                <w:insideH w:val="none"/>
                <w:insideV w:val="none"/>
              </w:tblBorders>
            </w:tblPr>
            <w:tblGrid>
              <w:gridCol w:w="155"/>
              <w:gridCol w:w="387"/>
              <w:gridCol w:w="803"/>
              <w:gridCol w:w="711"/>
              <w:gridCol w:w="496"/>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服务类别</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服务次数</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参考时长</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基础服务</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对意愿患者进行“登记建档”及“基线评估”；对服务患者每季度开展“过程评估”。</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登记建档及基线评估≥300人次；过程评估≥540人次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1.5小时/次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康复训练</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对患者开展服药训练、躯体管理训练、生活技能训练、社交技能训练、同伴支持、职业康复训练、心理治疗等</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服药训练、躯体训练、生活及社交技能训练、同伴支持≥4320人次；职业康复训练≥60人次；心理治疗≥360人次。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训练活动1小时/次；职业康复6小时/次；心理治疗1小时/次。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培训授课</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对患者开展药物知识培训、社交理论培训、工作基本技能培训；对患者家属开展预防复发培训、指导用药培训、家庭支持等</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培训场次≥24次；每场培训人数≥20人。</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2小时/场次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入户服务</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入户为患者开展家庭指导训练、政策链接，深入掌握患者家庭情况，开展情感链接、困难帮扶。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入户≥540人次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2小时/户/次</w:t>
                  </w:r>
                </w:p>
              </w:tc>
            </w:tr>
          </w:tbl>
          <w:p>
            <w:pPr>
              <w:pStyle w:val="null3"/>
              <w:ind w:firstLine="480"/>
              <w:jc w:val="both"/>
            </w:pPr>
            <w:r>
              <w:rPr>
                <w:rFonts w:ascii="仿宋_GB2312" w:hAnsi="仿宋_GB2312" w:cs="仿宋_GB2312" w:eastAsia="仿宋_GB2312"/>
                <w:sz w:val="21"/>
                <w:color w:val="000000"/>
              </w:rPr>
              <w:t xml:space="preserve">（三）培训与宣传。组织精神障碍社区康复服务人员培训， 每年至少 </w:t>
            </w:r>
            <w:r>
              <w:rPr>
                <w:rFonts w:ascii="仿宋_GB2312" w:hAnsi="仿宋_GB2312" w:cs="仿宋_GB2312" w:eastAsia="仿宋_GB2312"/>
                <w:sz w:val="21"/>
                <w:color w:val="000000"/>
              </w:rPr>
              <w:t>2</w:t>
            </w:r>
            <w:r>
              <w:rPr>
                <w:rFonts w:ascii="仿宋_GB2312" w:hAnsi="仿宋_GB2312" w:cs="仿宋_GB2312" w:eastAsia="仿宋_GB2312"/>
                <w:sz w:val="21"/>
                <w:color w:val="000000"/>
              </w:rPr>
              <w:t>次；开展各种形式的宣传，引导社区居民接纳精神障碍患者，为精神障碍患者提供</w:t>
            </w:r>
            <w:r>
              <w:rPr>
                <w:rFonts w:ascii="仿宋_GB2312" w:hAnsi="仿宋_GB2312" w:cs="仿宋_GB2312" w:eastAsia="仿宋_GB2312"/>
                <w:sz w:val="21"/>
                <w:color w:val="000000"/>
              </w:rPr>
              <w:t>良好的</w:t>
            </w:r>
            <w:r>
              <w:rPr>
                <w:rFonts w:ascii="仿宋_GB2312" w:hAnsi="仿宋_GB2312" w:cs="仿宋_GB2312" w:eastAsia="仿宋_GB2312"/>
                <w:sz w:val="21"/>
                <w:color w:val="000000"/>
              </w:rPr>
              <w:t>社区融入</w:t>
            </w:r>
            <w:r>
              <w:rPr>
                <w:rFonts w:ascii="仿宋_GB2312" w:hAnsi="仿宋_GB2312" w:cs="仿宋_GB2312" w:eastAsia="仿宋_GB2312"/>
                <w:sz w:val="21"/>
                <w:color w:val="000000"/>
              </w:rPr>
              <w:t>环境</w:t>
            </w:r>
            <w:r>
              <w:rPr>
                <w:rFonts w:ascii="仿宋_GB2312" w:hAnsi="仿宋_GB2312" w:cs="仿宋_GB2312" w:eastAsia="仿宋_GB2312"/>
                <w:sz w:val="21"/>
                <w:color w:val="000000"/>
              </w:rPr>
              <w:t>。</w:t>
            </w:r>
          </w:p>
          <w:p>
            <w:pPr>
              <w:pStyle w:val="null3"/>
              <w:jc w:val="both"/>
              <w:outlineLvl w:val="0"/>
            </w:pPr>
            <w:r>
              <w:rPr>
                <w:rFonts w:ascii="仿宋_GB2312" w:hAnsi="仿宋_GB2312" w:cs="仿宋_GB2312" w:eastAsia="仿宋_GB2312"/>
                <w:sz w:val="21"/>
                <w:b/>
              </w:rPr>
              <w:t>三、服务要求</w:t>
            </w:r>
          </w:p>
          <w:p>
            <w:pPr>
              <w:pStyle w:val="null3"/>
              <w:ind w:firstLine="480"/>
              <w:jc w:val="both"/>
            </w:pPr>
            <w:r>
              <w:rPr>
                <w:rFonts w:ascii="仿宋_GB2312" w:hAnsi="仿宋_GB2312" w:cs="仿宋_GB2312" w:eastAsia="仿宋_GB2312"/>
                <w:sz w:val="21"/>
              </w:rPr>
              <w:t xml:space="preserve"> 1.项目筹备工作</w:t>
            </w:r>
          </w:p>
          <w:p>
            <w:pPr>
              <w:pStyle w:val="null3"/>
              <w:ind w:firstLine="480"/>
              <w:jc w:val="both"/>
            </w:pPr>
            <w:r>
              <w:rPr>
                <w:rFonts w:ascii="仿宋_GB2312" w:hAnsi="仿宋_GB2312" w:cs="仿宋_GB2312" w:eastAsia="仿宋_GB2312"/>
                <w:sz w:val="21"/>
              </w:rPr>
              <w:t>（1）确定服务场地</w:t>
            </w:r>
          </w:p>
          <w:p>
            <w:pPr>
              <w:pStyle w:val="null3"/>
              <w:ind w:firstLine="480"/>
              <w:jc w:val="both"/>
            </w:pPr>
            <w:r>
              <w:rPr>
                <w:rFonts w:ascii="仿宋_GB2312" w:hAnsi="仿宋_GB2312" w:cs="仿宋_GB2312" w:eastAsia="仿宋_GB2312"/>
                <w:sz w:val="21"/>
              </w:rPr>
              <w:t>按照《民政部 国家卫生健康委员会 中国残联关于印发&lt;精神障碍社区康复服务工作规范&gt;的通知》(民发〔2020〕147号)规定，服务场地内应配置必要的精神障碍康复设施设备，服务场地符合消防等规范要求，按照福彩金有关使用，使用规范标志、文字、标牌对福彩公益金进行宣传。</w:t>
            </w:r>
          </w:p>
          <w:p>
            <w:pPr>
              <w:pStyle w:val="null3"/>
              <w:ind w:firstLine="480"/>
              <w:jc w:val="both"/>
            </w:pPr>
            <w:r>
              <w:rPr>
                <w:rFonts w:ascii="仿宋_GB2312" w:hAnsi="仿宋_GB2312" w:cs="仿宋_GB2312" w:eastAsia="仿宋_GB2312"/>
                <w:sz w:val="21"/>
              </w:rPr>
              <w:t>（2）开展项目需求调研</w:t>
            </w:r>
          </w:p>
          <w:p>
            <w:pPr>
              <w:pStyle w:val="null3"/>
              <w:ind w:firstLine="480"/>
              <w:jc w:val="both"/>
            </w:pPr>
            <w:r>
              <w:rPr>
                <w:rFonts w:ascii="仿宋_GB2312" w:hAnsi="仿宋_GB2312" w:cs="仿宋_GB2312" w:eastAsia="仿宋_GB2312"/>
                <w:sz w:val="21"/>
              </w:rPr>
              <w:t>服务机构围绕精神障碍患者的不同需求开展工作调研，全面掌握本区服务对象基本情况，摸清精神障碍患者底数及需求，掌握辖内康复资源底数，确定符合服务机构实际的服务内容、实施方式、覆盖人群等购买服务要素。</w:t>
            </w:r>
          </w:p>
          <w:p>
            <w:pPr>
              <w:pStyle w:val="null3"/>
              <w:ind w:firstLine="480"/>
              <w:jc w:val="both"/>
            </w:pPr>
            <w:r>
              <w:rPr>
                <w:rFonts w:ascii="仿宋_GB2312" w:hAnsi="仿宋_GB2312" w:cs="仿宋_GB2312" w:eastAsia="仿宋_GB2312"/>
                <w:sz w:val="21"/>
              </w:rPr>
              <w:t>2.推进项目实施</w:t>
            </w:r>
          </w:p>
          <w:p>
            <w:pPr>
              <w:pStyle w:val="null3"/>
              <w:ind w:firstLine="480"/>
              <w:jc w:val="both"/>
            </w:pPr>
            <w:r>
              <w:rPr>
                <w:rFonts w:ascii="仿宋_GB2312" w:hAnsi="仿宋_GB2312" w:cs="仿宋_GB2312" w:eastAsia="仿宋_GB2312"/>
                <w:sz w:val="21"/>
              </w:rPr>
              <w:t>（1）开展服务对象评估</w:t>
            </w:r>
          </w:p>
          <w:p>
            <w:pPr>
              <w:pStyle w:val="null3"/>
              <w:ind w:firstLine="480"/>
              <w:jc w:val="both"/>
            </w:pPr>
            <w:r>
              <w:rPr>
                <w:rFonts w:ascii="仿宋_GB2312" w:hAnsi="仿宋_GB2312" w:cs="仿宋_GB2312" w:eastAsia="仿宋_GB2312"/>
                <w:sz w:val="21"/>
              </w:rPr>
              <w:t>①基线评估</w:t>
            </w:r>
          </w:p>
          <w:p>
            <w:pPr>
              <w:pStyle w:val="null3"/>
              <w:ind w:firstLine="480"/>
              <w:jc w:val="both"/>
            </w:pPr>
            <w:r>
              <w:rPr>
                <w:rFonts w:ascii="仿宋_GB2312" w:hAnsi="仿宋_GB2312" w:cs="仿宋_GB2312" w:eastAsia="仿宋_GB2312"/>
                <w:sz w:val="21"/>
              </w:rPr>
              <w:t>服务机构应派专业工作人员对刚参加服务的患者，服务团队与其及监护人进行面谈，详细了解患者当前的精神和身体健康状况、家庭结构、居住环境、成长过程、兴趣爱好等情况，收集资料并填写心理社交功能评估表、精神状况综合评估表。在1个月内，根据评估结果制订个性化康复计划，并开始提供针对性康复服务。</w:t>
            </w:r>
          </w:p>
          <w:p>
            <w:pPr>
              <w:pStyle w:val="null3"/>
              <w:ind w:firstLine="480"/>
              <w:jc w:val="both"/>
            </w:pPr>
            <w:r>
              <w:rPr>
                <w:rFonts w:ascii="仿宋_GB2312" w:hAnsi="仿宋_GB2312" w:cs="仿宋_GB2312" w:eastAsia="仿宋_GB2312"/>
                <w:sz w:val="21"/>
              </w:rPr>
              <w:t>②过程评估</w:t>
            </w:r>
          </w:p>
          <w:p>
            <w:pPr>
              <w:pStyle w:val="null3"/>
              <w:ind w:firstLine="480"/>
              <w:jc w:val="both"/>
            </w:pPr>
            <w:r>
              <w:rPr>
                <w:rFonts w:ascii="仿宋_GB2312" w:hAnsi="仿宋_GB2312" w:cs="仿宋_GB2312" w:eastAsia="仿宋_GB2312"/>
                <w:sz w:val="21"/>
              </w:rPr>
              <w:t>每3个月，服务团队对患者进行阶段性评估，回顾总结前阶段康复情况。填写心理社交功能评估表、精神状况综合评估表、社会适应能力评估表、社会功能缺陷筛选量表(SDSS)。根据评估情况，对康复训练效果达到预期目标的患者提出新的康复目标，制定新的康复措施和计划；对康复训练效果不理想者，修正原康复计划、调整康复目标和康复措施。</w:t>
            </w:r>
          </w:p>
          <w:p>
            <w:pPr>
              <w:pStyle w:val="null3"/>
              <w:ind w:firstLine="480"/>
              <w:jc w:val="both"/>
            </w:pPr>
            <w:r>
              <w:rPr>
                <w:rFonts w:ascii="仿宋_GB2312" w:hAnsi="仿宋_GB2312" w:cs="仿宋_GB2312" w:eastAsia="仿宋_GB2312"/>
                <w:sz w:val="21"/>
              </w:rPr>
              <w:t>（2）提供社区康复服务</w:t>
            </w:r>
          </w:p>
          <w:p>
            <w:pPr>
              <w:pStyle w:val="null3"/>
              <w:ind w:firstLine="480"/>
              <w:jc w:val="both"/>
            </w:pPr>
            <w:r>
              <w:rPr>
                <w:rFonts w:ascii="仿宋_GB2312" w:hAnsi="仿宋_GB2312" w:cs="仿宋_GB2312" w:eastAsia="仿宋_GB2312"/>
                <w:sz w:val="21"/>
              </w:rPr>
              <w:t>针对评估后筛选出的精神障碍患者的个性化需求，有针对性的设计分类服务体系和康复清单，做到一人一档，签订康复协议，为精神障碍患者量身定制服务方案，方案要满足患者回归社区需求。社区康复服务内容主要包括生活技能训练、社交能力训练、职业康复训练、心理康复、同伴支持、家庭支持等。患者接受训练前均需由专业人员进行评估，确保患者适合该项康复服务。开展康复训练前进行环境安全评估，至少配备2名工作人员为宜。训练中坚持正性强化、优势视角原则，激发精神障碍患者康复训练动机。</w:t>
            </w:r>
          </w:p>
          <w:p>
            <w:pPr>
              <w:pStyle w:val="null3"/>
              <w:ind w:firstLine="480"/>
              <w:jc w:val="both"/>
            </w:pPr>
            <w:r>
              <w:rPr>
                <w:rFonts w:ascii="仿宋_GB2312" w:hAnsi="仿宋_GB2312" w:cs="仿宋_GB2312" w:eastAsia="仿宋_GB2312"/>
                <w:sz w:val="21"/>
              </w:rPr>
              <w:t>（3）项目服务实施方式</w:t>
            </w:r>
          </w:p>
          <w:p>
            <w:pPr>
              <w:pStyle w:val="null3"/>
              <w:ind w:firstLine="480"/>
              <w:jc w:val="both"/>
            </w:pPr>
            <w:r>
              <w:rPr>
                <w:rFonts w:ascii="仿宋_GB2312" w:hAnsi="仿宋_GB2312" w:cs="仿宋_GB2312" w:eastAsia="仿宋_GB2312"/>
                <w:sz w:val="21"/>
              </w:rPr>
              <w:t>服务承接机构按照灵活多样、便民惠民、注重实效的原则，根据服务对象特点及主要实施场景，确定康复服务的实施方式。通过组织集体活动、集中培训、个案追踪也可以采用上门访问、电话访问等形式，在区民政局认可的服务地点或服务机构内接受定点服务，或接受居家康复服务。</w:t>
            </w:r>
          </w:p>
          <w:p>
            <w:pPr>
              <w:pStyle w:val="null3"/>
              <w:ind w:firstLine="480"/>
              <w:jc w:val="both"/>
            </w:pPr>
            <w:r>
              <w:rPr>
                <w:rFonts w:ascii="仿宋_GB2312" w:hAnsi="仿宋_GB2312" w:cs="仿宋_GB2312" w:eastAsia="仿宋_GB2312"/>
                <w:sz w:val="21"/>
              </w:rPr>
              <w:t>（4）开展患者个案康复计划</w:t>
            </w:r>
          </w:p>
          <w:p>
            <w:pPr>
              <w:pStyle w:val="null3"/>
              <w:ind w:firstLine="480"/>
              <w:jc w:val="both"/>
            </w:pPr>
            <w:r>
              <w:rPr>
                <w:rFonts w:ascii="仿宋_GB2312" w:hAnsi="仿宋_GB2312" w:cs="仿宋_GB2312" w:eastAsia="仿宋_GB2312"/>
                <w:sz w:val="21"/>
              </w:rPr>
              <w:t>针对社区精神障碍患者的个性化需求，进一步提高社区康复服务的精准化和专业化程度。形式以个案、小组为主，内容涉及医疗、情绪、社交等，运用专业技巧帮助患者解决生活困扰，提高生活质量和生活满意度，用“专业化服务能力指数”换取服务对象的“幸福指数”。服务机构每年至少开展个体康复计划5人，定期调整修正康复计划和措施，确保个案康复取得实质成效。</w:t>
            </w:r>
          </w:p>
          <w:p>
            <w:pPr>
              <w:pStyle w:val="null3"/>
              <w:ind w:firstLine="480"/>
              <w:jc w:val="both"/>
            </w:pPr>
            <w:r>
              <w:rPr>
                <w:rFonts w:ascii="仿宋_GB2312" w:hAnsi="仿宋_GB2312" w:cs="仿宋_GB2312" w:eastAsia="仿宋_GB2312"/>
                <w:sz w:val="21"/>
              </w:rPr>
              <w:t>（5）开展服务培训</w:t>
            </w:r>
          </w:p>
          <w:p>
            <w:pPr>
              <w:pStyle w:val="null3"/>
              <w:ind w:firstLine="480"/>
              <w:jc w:val="both"/>
            </w:pPr>
            <w:r>
              <w:rPr>
                <w:rFonts w:ascii="仿宋_GB2312" w:hAnsi="仿宋_GB2312" w:cs="仿宋_GB2312" w:eastAsia="仿宋_GB2312"/>
                <w:sz w:val="21"/>
              </w:rPr>
              <w:t>服务承接机构的工作人员每年至少开展2次培训，使其了解开展精神康复工作的知识和技术，包括本土经验与模式，特别重视与社区康复精神障碍患者实际生活相关的政策与办理途径。新上岗的康复服务机构工作人员，在上岗前应接受相关业务的培训或具备相应的工作技能。</w:t>
            </w:r>
          </w:p>
          <w:p>
            <w:pPr>
              <w:pStyle w:val="null3"/>
              <w:ind w:firstLine="480"/>
              <w:jc w:val="both"/>
            </w:pPr>
            <w:r>
              <w:rPr>
                <w:rFonts w:ascii="仿宋_GB2312" w:hAnsi="仿宋_GB2312" w:cs="仿宋_GB2312" w:eastAsia="仿宋_GB2312"/>
                <w:sz w:val="21"/>
              </w:rPr>
              <w:t>3.项目验收</w:t>
            </w:r>
          </w:p>
          <w:p>
            <w:pPr>
              <w:pStyle w:val="null3"/>
            </w:pPr>
            <w:r>
              <w:rPr>
                <w:rFonts w:ascii="仿宋_GB2312" w:hAnsi="仿宋_GB2312" w:cs="仿宋_GB2312" w:eastAsia="仿宋_GB2312"/>
                <w:sz w:val="21"/>
              </w:rPr>
              <w:t xml:space="preserve">  2027年1月下旬，区民政局将委托评估机构对服务机构承接的服务项目进行中期评估，对承接机构履行合同情况、精神障碍患者或家属满意度测评、开展服务质量效益进行绩效评价，及时收集掌握服务对象的意见和建议，根据评价结果支付资金。2027年7月，区民政局将组织评估，并将相关情况进行通报。服务项目承接机构应将工作的基本情况、主要做法、测评结果及成效、存在的问题及建议形成汇报材料每半年反馈至区民政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进度款，乙方完成服务量化指标的50%，经甲方或甲方委托的第三方机构评估后，达到付款条件起10个工作日内，支付合同总金额的30.0%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进度款，乙方完成全部服务量化指标，经甲方或甲方委托的第三方机构验收合格后，达到付款条件起10个工作日内，支付合同总金额的20.0%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代理服务费账户： 采购代理机构开户名称: 陕西至诚项目管理集团有限公司； 开户行名称：中国建设银行股份有限公司 西安高新技术产业开发区支行； 账号：61050192090000002152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法定代表人直接参加的，须提供法定代表人身份证明；法定代表人授权代表参加的，须提供法定代表人授权委托书；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供应商信⽤记录书⾯声明函：提供《供应商信⽤记录书⾯声明函》供应商未被列⼊“信⽤中国”⽹站记录的“失信被执⾏⼈”或 “重⼤税收违法案件当事⼈”名单；不处于“中国政府采购⽹”记录的“政府采购严重违法失信⾏为信息记录名单”中的禁⽌参加政府采购活动期间；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报价表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服务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针对本项目提出适用于本项目的方案，方案包括：①实施目标；②服务内容；③服务的保障措施；④重难点分析方案。 二、评审标准 1、完整性：方案必须全面，对评审内容中的各项要求有详细描述； 2、可实施性：切合本项目实际情况，提出步骤清晰、合理的方案； 3、针对性：方案能够紧扣项目实际情况，内容科学合理。 三、赋分标准（满分12分） ①实施目标：每完全满足一个评审标准得1分，满分3分； ②服务内容：每完全满足一个评审标准得1分，满分3分； ③服务的保障措施：每完全满足一个评审标准得1分，满分3分； ④重难点分析方案：每完全满足一个评审标准得1分，满分3分。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团队建设方案</w:t>
            </w:r>
          </w:p>
        </w:tc>
        <w:tc>
          <w:tcPr>
            <w:tcW w:type="dxa" w:w="2492"/>
          </w:tcPr>
          <w:p>
            <w:pPr>
              <w:pStyle w:val="null3"/>
            </w:pPr>
            <w:r>
              <w:rPr>
                <w:rFonts w:ascii="仿宋_GB2312" w:hAnsi="仿宋_GB2312" w:cs="仿宋_GB2312" w:eastAsia="仿宋_GB2312"/>
              </w:rPr>
              <w:t>一、评审内容 根据本项目提供团队建设方案，方案内容包括：①团队组织管理②专业服务团队人员的职能分工；③人员培训及考核制度。 二、评审标准 1、完整性：方案必须全面，对评审内容中的各项要求有详细描述； 2、可实施性：切合本项目实际情况，提出步骤清晰、合理的方案； 3、针对性：方案能够紧扣项目实际情况，人员分工及职责等内容科学合理。 三、赋分标准（满分9分） ①团队组织管理：每完全满足一个评审标准得1分，满分3分； ②专业服务团队人员的职能分工:每完全满足一个评审标准得1分，满分3分； ③人员培训及考核制度：每完全满足一个评审标准得1分，满分3分。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质量与进度控制</w:t>
            </w:r>
          </w:p>
        </w:tc>
        <w:tc>
          <w:tcPr>
            <w:tcW w:type="dxa" w:w="2492"/>
          </w:tcPr>
          <w:p>
            <w:pPr>
              <w:pStyle w:val="null3"/>
            </w:pPr>
            <w:r>
              <w:rPr>
                <w:rFonts w:ascii="仿宋_GB2312" w:hAnsi="仿宋_GB2312" w:cs="仿宋_GB2312" w:eastAsia="仿宋_GB2312"/>
              </w:rPr>
              <w:t>一、评审内容 针对本项目提出适用于本项目的方案，包括：①质量管理体系；②质量保证措施；③进度计划保障措施。 二、评审标准 1、完整性：方案必须全面，对评审内容中的各项要求有详细描述； 2、可实施性：切合本项目实际情况，提出步骤清晰、合理的方案； 3、针对性：方案能够紧扣项目实际情况，内容科学合理。 三、赋分标准（满分9分） ①质量管理体系：每完全满足一个评审标准得1分，满分3分； ②质量保证措施：每完全满足一个评审标准得1分，满分3分； ③进度计划保障措施：每完全满足一个评审标准得1分，满分3分。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针对采购需求提出适用于本项目的应急处理方案，方案包括：①应急方案②应急预案③处理措施 二、评审标准 1、完整性：方案必须全面，对评审内容中的各项要求有详细描述； 2、可实施性：切合本项目实际情况，提出步骤清晰、合理的方案； 3、针对性：方案能够紧扣项目实际情况，内容科学合理。 三、赋分标准（满分9分） ①应急方案：每完全满足一个评审标准得1分，满分3分； ②应急预案：每完全满足一个评审标准得1分，满分3分； ③处理措施：每完全满足一个评审标准得1分，满分3分。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针对本项⽬，每提供⼀条有利于项⽬实施的合理化建议得3分，满分9分。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团队人员每提供1人得2分，满分10分。（以上人员需提供身份证、毕业证、职业资格证书等证明资料）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针对本项目提出科学、合理、可行的保密措施，保证采购人的涉密信息不被泄漏，每提供一条得2分，满分6分。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对突发安全事件应急响应时效作出实质性承诺，每提供1条得2分，满分6分；未提供不得分。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提供2023年1月1日至今类似本项目业绩证明，每提供一份得2.5分，最高得10分。（业绩证明材料以合同复印件或中标通知书加盖公章为准）。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详见附件：3类似项目业绩.docx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