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86889">
      <w:pPr>
        <w:spacing w:line="240" w:lineRule="auto"/>
        <w:jc w:val="center"/>
        <w:rPr>
          <w:color w:val="auto"/>
          <w:sz w:val="52"/>
          <w:szCs w:val="52"/>
        </w:rPr>
      </w:pPr>
    </w:p>
    <w:p w14:paraId="61A41C96">
      <w:pPr>
        <w:pStyle w:val="6"/>
      </w:pPr>
    </w:p>
    <w:p w14:paraId="58303888">
      <w:pPr>
        <w:spacing w:line="240" w:lineRule="auto"/>
        <w:jc w:val="center"/>
        <w:rPr>
          <w:color w:val="auto"/>
          <w:sz w:val="52"/>
          <w:szCs w:val="52"/>
        </w:rPr>
      </w:pPr>
      <w:r>
        <w:rPr>
          <w:rFonts w:hint="eastAsia"/>
          <w:color w:val="auto"/>
          <w:sz w:val="52"/>
          <w:szCs w:val="52"/>
          <w:lang w:val="en-US" w:eastAsia="zh-CN"/>
        </w:rPr>
        <w:t>延安市公共资源交易中心           （延安市市直单位政府采购中心）</w:t>
      </w: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0D21ABD">
      <w:pPr>
        <w:spacing w:line="240" w:lineRule="auto"/>
        <w:jc w:val="center"/>
        <w:rPr>
          <w:color w:val="auto"/>
          <w:sz w:val="36"/>
          <w:szCs w:val="36"/>
        </w:rPr>
      </w:pPr>
    </w:p>
    <w:p w14:paraId="2E03C3D7">
      <w:pPr>
        <w:pStyle w:val="26"/>
        <w:ind w:left="0" w:leftChars="0" w:firstLine="0" w:firstLineChars="0"/>
        <w:rPr>
          <w:color w:val="auto"/>
          <w:sz w:val="36"/>
          <w:szCs w:val="36"/>
        </w:rPr>
      </w:pPr>
    </w:p>
    <w:p w14:paraId="243AF6E0">
      <w:pPr>
        <w:pStyle w:val="26"/>
        <w:spacing w:line="240" w:lineRule="auto"/>
        <w:ind w:right="424" w:rightChars="150" w:firstLine="727"/>
        <w:rPr>
          <w:color w:val="auto"/>
          <w:sz w:val="36"/>
          <w:szCs w:val="36"/>
        </w:rPr>
      </w:pPr>
    </w:p>
    <w:p w14:paraId="084349F6">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延安凤凰山革命旧址管理处（中国人民抗日军政大学纪念馆）物业服务</w:t>
      </w:r>
    </w:p>
    <w:p w14:paraId="79D043DC">
      <w:pPr>
        <w:spacing w:line="240" w:lineRule="auto"/>
        <w:ind w:left="2539" w:leftChars="256" w:right="707" w:rightChars="250" w:hanging="1815" w:hangingChars="500"/>
        <w:rPr>
          <w:rFonts w:hint="default" w:eastAsia="华文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lang w:val="en-US" w:eastAsia="zh-CN"/>
        </w:rPr>
        <w:t>YAZCJC2026-13</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延安凤凰山革命旧址管理处</w:t>
      </w:r>
    </w:p>
    <w:p w14:paraId="1A110A10">
      <w:pPr>
        <w:spacing w:line="240" w:lineRule="auto"/>
        <w:ind w:left="3628" w:leftChars="256" w:right="707" w:rightChars="250" w:hanging="2904" w:hangingChars="8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延安市公共资源交易中心  </w:t>
      </w:r>
    </w:p>
    <w:p w14:paraId="72B45EA1">
      <w:pPr>
        <w:spacing w:line="240" w:lineRule="auto"/>
        <w:ind w:left="3624" w:leftChars="896" w:right="707" w:rightChars="250" w:hanging="1089" w:hangingChars="300"/>
        <w:rPr>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7D97440B">
      <w:pPr>
        <w:spacing w:line="240" w:lineRule="auto"/>
        <w:rPr>
          <w:color w:val="auto"/>
          <w:sz w:val="36"/>
          <w:szCs w:val="36"/>
          <w:highlight w:val="none"/>
        </w:rPr>
      </w:pPr>
    </w:p>
    <w:p w14:paraId="5A361C19">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7</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28</w:t>
      </w:r>
      <w:r>
        <w:rPr>
          <w:rFonts w:hint="eastAsia" w:ascii="仿宋" w:hAnsi="仿宋" w:eastAsia="仿宋" w:cs="仿宋"/>
          <w:b/>
          <w:bCs/>
          <w:color w:val="auto"/>
          <w:sz w:val="36"/>
          <w:szCs w:val="36"/>
          <w:highlight w:val="none"/>
        </w:rPr>
        <w:t>日</w:t>
      </w:r>
      <w:bookmarkStart w:id="0" w:name="_Toc30102_WPSOffice_Level1"/>
      <w:bookmarkStart w:id="1" w:name="_Toc10222_WPSOffice_Level1"/>
      <w:bookmarkStart w:id="2" w:name="_Toc30340_WPSOffice_Level1"/>
    </w:p>
    <w:p w14:paraId="45C132CE">
      <w:pPr>
        <w:pStyle w:val="14"/>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NumType w:start="1"/>
          <w:cols w:space="720" w:num="1"/>
          <w:docGrid w:type="linesAndChars" w:linePitch="381" w:charSpace="704"/>
        </w:sectPr>
      </w:pPr>
    </w:p>
    <w:p w14:paraId="08A4F9D5">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4"/>
        <w:tabs>
          <w:tab w:val="right" w:leader="dot" w:pos="9072"/>
        </w:tabs>
        <w:spacing w:line="500" w:lineRule="exact"/>
        <w:ind w:firstLine="566" w:firstLineChars="200"/>
        <w:rPr>
          <w:rFonts w:hint="eastAsia" w:ascii="黑体" w:hAnsi="黑体" w:eastAsia="黑体" w:cs="黑体"/>
          <w:color w:val="auto"/>
        </w:rPr>
      </w:pPr>
    </w:p>
    <w:p w14:paraId="1FA3D71D">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第一章  磋商邀请函</w:t>
      </w:r>
      <w:r>
        <w:rPr>
          <w:rFonts w:hint="eastAsia" w:ascii="黑体" w:hAnsi="黑体" w:eastAsia="黑体" w:cs="黑体"/>
          <w:color w:val="auto"/>
        </w:rPr>
        <w:tab/>
      </w:r>
      <w:r>
        <w:rPr>
          <w:rFonts w:hint="eastAsia" w:ascii="黑体" w:hAnsi="黑体" w:eastAsia="黑体" w:cs="黑体"/>
          <w:color w:val="auto"/>
          <w:lang w:val="en-US" w:eastAsia="zh-CN"/>
        </w:rPr>
        <w:t>1</w:t>
      </w:r>
    </w:p>
    <w:p w14:paraId="2756F9C8">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第二章  供应商须知</w:t>
      </w:r>
      <w:r>
        <w:rPr>
          <w:rFonts w:hint="eastAsia" w:ascii="黑体" w:hAnsi="黑体" w:eastAsia="黑体" w:cs="黑体"/>
          <w:color w:val="auto"/>
        </w:rPr>
        <w:tab/>
      </w:r>
      <w:r>
        <w:rPr>
          <w:rFonts w:hint="eastAsia" w:ascii="黑体" w:hAnsi="黑体" w:eastAsia="黑体" w:cs="黑体"/>
          <w:color w:val="auto"/>
          <w:lang w:val="en-US" w:eastAsia="zh-CN"/>
        </w:rPr>
        <w:t>6</w:t>
      </w:r>
    </w:p>
    <w:p w14:paraId="41224AC9">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一、定义</w:t>
      </w:r>
      <w:r>
        <w:rPr>
          <w:rFonts w:hint="eastAsia" w:ascii="黑体" w:hAnsi="黑体" w:eastAsia="黑体" w:cs="黑体"/>
          <w:color w:val="auto"/>
        </w:rPr>
        <w:tab/>
      </w:r>
      <w:r>
        <w:rPr>
          <w:rFonts w:hint="eastAsia" w:ascii="黑体" w:hAnsi="黑体" w:eastAsia="黑体" w:cs="黑体"/>
          <w:color w:val="auto"/>
          <w:lang w:val="en-US" w:eastAsia="zh-CN"/>
        </w:rPr>
        <w:t>6</w:t>
      </w:r>
    </w:p>
    <w:p w14:paraId="4B69BF30">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二、供应商注意事项</w:t>
      </w:r>
      <w:r>
        <w:rPr>
          <w:rFonts w:hint="eastAsia" w:ascii="黑体" w:hAnsi="黑体" w:eastAsia="黑体" w:cs="黑体"/>
          <w:color w:val="auto"/>
        </w:rPr>
        <w:tab/>
      </w:r>
      <w:r>
        <w:rPr>
          <w:rFonts w:hint="eastAsia" w:ascii="黑体" w:hAnsi="黑体" w:eastAsia="黑体" w:cs="黑体"/>
          <w:color w:val="auto"/>
          <w:lang w:val="en-US" w:eastAsia="zh-CN"/>
        </w:rPr>
        <w:t>6</w:t>
      </w:r>
    </w:p>
    <w:p w14:paraId="673444E3">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三、电子磋商文件</w:t>
      </w:r>
      <w:r>
        <w:rPr>
          <w:rFonts w:hint="eastAsia" w:ascii="黑体" w:hAnsi="黑体" w:eastAsia="黑体" w:cs="黑体"/>
          <w:color w:val="auto"/>
        </w:rPr>
        <w:tab/>
      </w:r>
      <w:r>
        <w:rPr>
          <w:rFonts w:hint="eastAsia" w:ascii="黑体" w:hAnsi="黑体" w:eastAsia="黑体" w:cs="黑体"/>
          <w:color w:val="auto"/>
          <w:lang w:val="en-US" w:eastAsia="zh-CN"/>
        </w:rPr>
        <w:t>13</w:t>
      </w:r>
    </w:p>
    <w:p w14:paraId="6E79551A">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四、磋商报价</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5</w:t>
      </w:r>
    </w:p>
    <w:p w14:paraId="1A026BC5">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五、电子响应文件</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6</w:t>
      </w:r>
    </w:p>
    <w:p w14:paraId="15BD52A3">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六、开启电子响应文件</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7</w:t>
      </w:r>
    </w:p>
    <w:p w14:paraId="2436DAF9">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七、组织评审</w:t>
      </w:r>
      <w:r>
        <w:rPr>
          <w:rFonts w:hint="eastAsia" w:ascii="黑体" w:hAnsi="黑体" w:eastAsia="黑体" w:cs="黑体"/>
          <w:color w:val="auto"/>
        </w:rPr>
        <w:tab/>
      </w:r>
      <w:r>
        <w:rPr>
          <w:rFonts w:hint="eastAsia" w:ascii="黑体" w:hAnsi="黑体" w:eastAsia="黑体" w:cs="黑体"/>
          <w:color w:val="auto"/>
          <w:lang w:val="en-US" w:eastAsia="zh-CN"/>
        </w:rPr>
        <w:t>19</w:t>
      </w:r>
    </w:p>
    <w:p w14:paraId="6AFA3470">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八、成交</w:t>
      </w:r>
      <w:r>
        <w:rPr>
          <w:rFonts w:hint="eastAsia" w:ascii="黑体" w:hAnsi="黑体" w:eastAsia="黑体" w:cs="黑体"/>
          <w:color w:val="auto"/>
        </w:rPr>
        <w:tab/>
      </w:r>
      <w:r>
        <w:rPr>
          <w:rFonts w:hint="eastAsia" w:ascii="黑体" w:hAnsi="黑体" w:eastAsia="黑体" w:cs="黑体"/>
          <w:color w:val="auto"/>
          <w:lang w:val="en-US" w:eastAsia="zh-CN"/>
        </w:rPr>
        <w:t>35</w:t>
      </w:r>
    </w:p>
    <w:p w14:paraId="559664C9">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九、签订政府采购合同</w:t>
      </w:r>
      <w:r>
        <w:rPr>
          <w:rFonts w:hint="eastAsia" w:ascii="黑体" w:hAnsi="黑体" w:eastAsia="黑体" w:cs="黑体"/>
          <w:color w:val="auto"/>
        </w:rPr>
        <w:tab/>
      </w:r>
      <w:r>
        <w:rPr>
          <w:rFonts w:hint="eastAsia" w:ascii="黑体" w:hAnsi="黑体" w:eastAsia="黑体" w:cs="黑体"/>
          <w:color w:val="auto"/>
          <w:lang w:val="en-US" w:eastAsia="zh-CN"/>
        </w:rPr>
        <w:t>36</w:t>
      </w:r>
    </w:p>
    <w:p w14:paraId="4A81D74A">
      <w:pPr>
        <w:pStyle w:val="14"/>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十、其他</w:t>
      </w:r>
      <w:r>
        <w:rPr>
          <w:rFonts w:hint="eastAsia" w:ascii="黑体" w:hAnsi="黑体" w:eastAsia="黑体" w:cs="黑体"/>
          <w:color w:val="auto"/>
        </w:rPr>
        <w:tab/>
      </w:r>
      <w:r>
        <w:rPr>
          <w:rFonts w:hint="eastAsia" w:ascii="黑体" w:hAnsi="黑体" w:eastAsia="黑体" w:cs="黑体"/>
          <w:color w:val="auto"/>
          <w:lang w:val="en-US" w:eastAsia="zh-CN"/>
        </w:rPr>
        <w:t>37</w:t>
      </w:r>
    </w:p>
    <w:p w14:paraId="05A173AD">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r>
        <w:rPr>
          <w:rFonts w:hint="eastAsia" w:ascii="黑体" w:hAnsi="黑体" w:eastAsia="黑体" w:cs="黑体"/>
          <w:color w:val="auto"/>
        </w:rPr>
        <w:tab/>
      </w:r>
      <w:r>
        <w:rPr>
          <w:rFonts w:hint="eastAsia" w:ascii="黑体" w:hAnsi="黑体" w:eastAsia="黑体" w:cs="黑体"/>
          <w:color w:val="auto"/>
          <w:lang w:val="en-US" w:eastAsia="zh-CN"/>
        </w:rPr>
        <w:t>38</w:t>
      </w:r>
    </w:p>
    <w:p w14:paraId="115BF6CD">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第四章  合同草案条款</w:t>
      </w:r>
      <w:r>
        <w:rPr>
          <w:rFonts w:hint="eastAsia" w:ascii="黑体" w:hAnsi="黑体" w:eastAsia="黑体" w:cs="黑体"/>
          <w:color w:val="auto"/>
        </w:rPr>
        <w:tab/>
      </w:r>
      <w:r>
        <w:rPr>
          <w:rFonts w:hint="eastAsia" w:ascii="黑体" w:hAnsi="黑体" w:eastAsia="黑体" w:cs="黑体"/>
          <w:color w:val="auto"/>
          <w:lang w:val="en-US" w:eastAsia="zh-CN"/>
        </w:rPr>
        <w:t>39</w:t>
      </w:r>
    </w:p>
    <w:p w14:paraId="26C1DEB1">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r>
        <w:rPr>
          <w:rFonts w:hint="eastAsia" w:ascii="黑体" w:hAnsi="黑体" w:eastAsia="黑体" w:cs="黑体"/>
          <w:color w:val="auto"/>
        </w:rPr>
        <w:tab/>
      </w:r>
      <w:r>
        <w:rPr>
          <w:rFonts w:hint="eastAsia" w:ascii="黑体" w:hAnsi="黑体" w:eastAsia="黑体" w:cs="黑体"/>
          <w:color w:val="auto"/>
          <w:lang w:val="en-US" w:eastAsia="zh-CN"/>
        </w:rPr>
        <w:t>46</w:t>
      </w:r>
    </w:p>
    <w:p w14:paraId="5D22D407">
      <w:pPr>
        <w:pStyle w:val="14"/>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第一部分  资格证明文件</w:t>
      </w:r>
      <w:r>
        <w:rPr>
          <w:rFonts w:hint="eastAsia" w:ascii="黑体" w:hAnsi="黑体" w:eastAsia="黑体" w:cs="黑体"/>
          <w:color w:val="auto"/>
        </w:rPr>
        <w:tab/>
      </w:r>
      <w:r>
        <w:rPr>
          <w:rFonts w:hint="eastAsia" w:ascii="黑体" w:hAnsi="黑体" w:eastAsia="黑体" w:cs="黑体"/>
          <w:color w:val="auto"/>
          <w:lang w:val="en-US" w:eastAsia="zh-CN"/>
        </w:rPr>
        <w:t>49</w:t>
      </w:r>
    </w:p>
    <w:p w14:paraId="6EDF0147">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r>
        <w:rPr>
          <w:rFonts w:hint="eastAsia" w:ascii="黑体" w:hAnsi="黑体" w:eastAsia="黑体" w:cs="黑体"/>
          <w:color w:val="auto"/>
        </w:rPr>
        <w:tab/>
      </w:r>
      <w:r>
        <w:rPr>
          <w:rFonts w:hint="eastAsia" w:ascii="黑体" w:hAnsi="黑体" w:eastAsia="黑体" w:cs="黑体"/>
          <w:color w:val="auto"/>
          <w:lang w:val="en-US" w:eastAsia="zh-CN"/>
        </w:rPr>
        <w:t>58</w:t>
      </w:r>
    </w:p>
    <w:p w14:paraId="1855B683">
      <w:pPr>
        <w:pStyle w:val="15"/>
        <w:tabs>
          <w:tab w:val="right" w:leader="dot" w:pos="9072"/>
        </w:tabs>
        <w:spacing w:line="500" w:lineRule="exact"/>
        <w:ind w:left="0" w:leftChars="0" w:firstLine="566" w:firstLineChars="200"/>
        <w:rPr>
          <w:rFonts w:hint="default" w:ascii="黑体" w:hAnsi="黑体" w:eastAsia="黑体"/>
          <w:color w:val="auto"/>
          <w:szCs w:val="32"/>
          <w:lang w:val="en-US" w:eastAsia="zh-CN"/>
        </w:rPr>
      </w:pPr>
      <w:r>
        <w:rPr>
          <w:rFonts w:hint="eastAsia" w:ascii="黑体" w:hAnsi="黑体" w:eastAsia="黑体" w:cs="黑体"/>
          <w:color w:val="auto"/>
        </w:rPr>
        <w:t>第三部分  响应方案</w:t>
      </w:r>
      <w:r>
        <w:rPr>
          <w:rFonts w:hint="eastAsia" w:ascii="黑体" w:hAnsi="黑体" w:eastAsia="黑体" w:cs="黑体"/>
          <w:color w:val="auto"/>
        </w:rPr>
        <w:tab/>
      </w:r>
      <w:r>
        <w:rPr>
          <w:rFonts w:hint="eastAsia" w:ascii="黑体" w:hAnsi="黑体" w:eastAsia="黑体" w:cs="黑体"/>
          <w:color w:val="auto"/>
          <w:lang w:val="en-US" w:eastAsia="zh-CN"/>
        </w:rPr>
        <w:t>72</w:t>
      </w:r>
    </w:p>
    <w:p w14:paraId="48053CFE">
      <w:pPr>
        <w:tabs>
          <w:tab w:val="center" w:pos="60"/>
        </w:tabs>
        <w:rPr>
          <w:rFonts w:hint="eastAsia" w:eastAsia="华文仿宋"/>
          <w:color w:val="auto"/>
          <w:lang w:eastAsia="zh-CN"/>
        </w:rPr>
      </w:pPr>
      <w:r>
        <w:rPr>
          <w:rFonts w:hint="eastAsia"/>
          <w:color w:val="auto"/>
          <w:lang w:eastAsia="zh-CN"/>
        </w:rPr>
        <w:tab/>
      </w:r>
    </w:p>
    <w:p w14:paraId="69FD7D26">
      <w:pPr>
        <w:outlineLvl w:val="9"/>
        <w:rPr>
          <w:rFonts w:hint="eastAsia" w:ascii="黑体" w:hAnsi="黑体" w:eastAsia="黑体"/>
          <w:b w:val="0"/>
          <w:color w:val="auto"/>
          <w:szCs w:val="32"/>
          <w:lang w:eastAsia="zh-CN"/>
        </w:rPr>
        <w:sectPr>
          <w:footerReference r:id="rId7"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2F621B0B">
      <w:pPr>
        <w:pStyle w:val="3"/>
        <w:spacing w:line="500" w:lineRule="exact"/>
        <w:rPr>
          <w:rFonts w:ascii="黑体" w:hAnsi="黑体"/>
          <w:b w:val="0"/>
          <w:color w:val="auto"/>
          <w:szCs w:val="32"/>
        </w:rPr>
      </w:pPr>
      <w:bookmarkStart w:id="3" w:name="_Toc24418"/>
      <w:bookmarkStart w:id="4" w:name="_Toc21489"/>
      <w:bookmarkStart w:id="5" w:name="_Toc26235"/>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27"/>
        <w:spacing w:line="500" w:lineRule="exact"/>
        <w:ind w:firstLine="567"/>
        <w:rPr>
          <w:rFonts w:ascii="华文仿宋" w:hAnsi="华文仿宋" w:cs="华文仿宋"/>
          <w:color w:val="auto"/>
          <w:highlight w:val="none"/>
        </w:rPr>
      </w:pPr>
      <w:bookmarkStart w:id="6" w:name="_Toc8775_WPSOffice_Level2"/>
      <w:bookmarkStart w:id="7" w:name="_Toc6471"/>
      <w:bookmarkStart w:id="8" w:name="_Toc22804_WPSOffice_Level2"/>
      <w:bookmarkStart w:id="9" w:name="_Toc15046_WPSOffice_Level2"/>
      <w:r>
        <w:rPr>
          <w:rFonts w:hint="eastAsia" w:ascii="华文仿宋" w:hAnsi="华文仿宋" w:cs="华文仿宋"/>
          <w:b/>
          <w:bCs/>
          <w:color w:val="auto"/>
          <w:lang w:eastAsia="zh-CN"/>
        </w:rPr>
        <w:t>延安凤凰山革命旧址管理处（中国人民抗日军政大学纪念馆）物业服务</w:t>
      </w:r>
      <w:r>
        <w:rPr>
          <w:rFonts w:hint="eastAsia" w:ascii="华文仿宋" w:hAnsi="华文仿宋" w:cs="华文仿宋"/>
          <w:color w:val="auto"/>
        </w:rPr>
        <w:t>潜在的供</w:t>
      </w:r>
      <w:r>
        <w:rPr>
          <w:rFonts w:hint="eastAsia" w:ascii="华文仿宋" w:hAnsi="华文仿宋" w:cs="华文仿宋"/>
          <w:color w:val="auto"/>
          <w:highlight w:val="none"/>
        </w:rPr>
        <w:t>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8-12  09：00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2"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619_WPSOffice_Level2"/>
      <w:bookmarkStart w:id="11" w:name="_Toc181_WPSOffice_Level2"/>
      <w:bookmarkStart w:id="12" w:name="_Toc7698"/>
      <w:bookmarkStart w:id="13" w:name="_Toc28286_WPSOffice_Level2"/>
      <w:r>
        <w:rPr>
          <w:rFonts w:hint="eastAsia"/>
          <w:b w:val="0"/>
          <w:bCs w:val="0"/>
          <w:color w:val="auto"/>
          <w:lang w:eastAsia="zh-CN"/>
        </w:rPr>
        <w:t>延安凤凰山革命旧址管理处（中国人民抗日军政大学纪念馆）物业服务</w:t>
      </w:r>
    </w:p>
    <w:p w14:paraId="4D09738F">
      <w:pPr>
        <w:numPr>
          <w:ilvl w:val="0"/>
          <w:numId w:val="0"/>
        </w:numPr>
        <w:spacing w:line="500" w:lineRule="exact"/>
        <w:ind w:firstLine="562" w:firstLineChars="200"/>
        <w:rPr>
          <w:rFonts w:hint="default" w:eastAsia="华文仿宋"/>
          <w:b/>
          <w:bCs/>
          <w:color w:val="auto"/>
          <w:lang w:val="en-US" w:eastAsia="zh-CN"/>
        </w:rPr>
      </w:pPr>
      <w:r>
        <w:rPr>
          <w:rFonts w:hint="eastAsia"/>
          <w:b/>
          <w:bCs/>
          <w:color w:val="auto"/>
        </w:rPr>
        <w:t>二、项目编号：</w:t>
      </w:r>
      <w:bookmarkEnd w:id="10"/>
      <w:bookmarkEnd w:id="11"/>
      <w:bookmarkEnd w:id="12"/>
      <w:bookmarkEnd w:id="13"/>
      <w:bookmarkStart w:id="14" w:name="_Toc7884"/>
      <w:bookmarkStart w:id="15" w:name="_Toc8221_WPSOffice_Level2"/>
      <w:bookmarkStart w:id="16" w:name="_Toc22627_WPSOffice_Level2"/>
      <w:bookmarkStart w:id="17" w:name="_Toc23148_WPSOffice_Level2"/>
      <w:r>
        <w:rPr>
          <w:rFonts w:hint="eastAsia" w:ascii="仿宋" w:hAnsi="仿宋" w:eastAsia="仿宋" w:cs="仿宋"/>
          <w:color w:val="auto"/>
          <w:highlight w:val="none"/>
          <w:lang w:eastAsia="zh-CN"/>
        </w:rPr>
        <w:t>YAZCJC2026-13</w:t>
      </w:r>
    </w:p>
    <w:bookmarkEnd w:id="14"/>
    <w:bookmarkEnd w:id="15"/>
    <w:bookmarkEnd w:id="16"/>
    <w:bookmarkEnd w:id="17"/>
    <w:p w14:paraId="727570DE">
      <w:pPr>
        <w:spacing w:line="500" w:lineRule="exact"/>
        <w:ind w:firstLine="562" w:firstLineChars="200"/>
        <w:rPr>
          <w:rFonts w:hint="eastAsia" w:ascii="华文仿宋" w:hAnsi="华文仿宋" w:eastAsia="华文仿宋" w:cs="华文仿宋"/>
          <w:color w:val="auto"/>
          <w:lang w:eastAsia="zh-CN"/>
        </w:rPr>
      </w:pPr>
      <w:bookmarkStart w:id="18" w:name="_Toc29947_WPSOffice_Level2"/>
      <w:bookmarkStart w:id="19" w:name="_Toc31311_WPSOffice_Level2"/>
      <w:bookmarkStart w:id="20" w:name="_Toc27211"/>
      <w:bookmarkStart w:id="21" w:name="_Toc30103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延安凤凰山革命旧址管理处</w:t>
      </w:r>
    </w:p>
    <w:p w14:paraId="227B7528">
      <w:pPr>
        <w:pStyle w:val="28"/>
        <w:spacing w:line="500" w:lineRule="exact"/>
        <w:rPr>
          <w:rFonts w:hint="default" w:ascii="华文仿宋" w:hAnsi="华文仿宋" w:eastAsia="华文仿宋" w:cs="华文仿宋"/>
          <w:color w:val="auto"/>
          <w:lang w:val="en-US" w:eastAsia="zh-CN"/>
        </w:rPr>
      </w:pPr>
      <w:r>
        <w:rPr>
          <w:rFonts w:hint="eastAsia" w:ascii="华文仿宋" w:hAnsi="华文仿宋" w:cs="华文仿宋"/>
          <w:color w:val="auto"/>
        </w:rPr>
        <w:t>地  址：延安市</w:t>
      </w:r>
      <w:r>
        <w:rPr>
          <w:rFonts w:hint="eastAsia" w:ascii="华文仿宋" w:hAnsi="华文仿宋" w:cs="华文仿宋"/>
          <w:color w:val="auto"/>
          <w:lang w:val="en-US" w:eastAsia="zh-CN"/>
        </w:rPr>
        <w:t>宝塔区北关凤凰山旧址</w:t>
      </w:r>
    </w:p>
    <w:p w14:paraId="6AB7DB54">
      <w:pPr>
        <w:pStyle w:val="28"/>
        <w:spacing w:line="500" w:lineRule="exact"/>
        <w:rPr>
          <w:rFonts w:hint="default" w:ascii="华文仿宋" w:hAnsi="华文仿宋" w:eastAsia="华文仿宋" w:cs="华文仿宋"/>
          <w:color w:val="auto"/>
          <w:lang w:val="en-US" w:eastAsia="zh-CN"/>
        </w:rPr>
      </w:pPr>
      <w:r>
        <w:rPr>
          <w:rFonts w:ascii="华文仿宋" w:hAnsi="华文仿宋" w:cs="华文仿宋"/>
          <w:color w:val="auto"/>
        </w:rPr>
        <w:t>联系人：</w:t>
      </w:r>
      <w:r>
        <w:rPr>
          <w:rFonts w:hint="eastAsia" w:ascii="华文仿宋" w:hAnsi="华文仿宋" w:cs="华文仿宋"/>
          <w:color w:val="auto"/>
          <w:lang w:val="en-US" w:eastAsia="zh-CN"/>
        </w:rPr>
        <w:t>贺女生</w:t>
      </w:r>
      <w:bookmarkStart w:id="307" w:name="_GoBack"/>
      <w:bookmarkEnd w:id="307"/>
    </w:p>
    <w:p w14:paraId="62845866">
      <w:pPr>
        <w:spacing w:line="500" w:lineRule="exact"/>
        <w:ind w:firstLine="1120" w:firstLineChars="400"/>
        <w:rPr>
          <w:rFonts w:hint="default" w:eastAsia="仿宋"/>
          <w:lang w:val="en-US" w:eastAsia="zh-CN"/>
        </w:rPr>
      </w:pPr>
      <w:r>
        <w:rPr>
          <w:rFonts w:hint="eastAsia" w:ascii="华文仿宋" w:hAnsi="华文仿宋" w:cs="华文仿宋"/>
          <w:color w:val="auto"/>
        </w:rPr>
        <w:t>联系方式</w:t>
      </w:r>
      <w:r>
        <w:rPr>
          <w:rFonts w:hint="eastAsia" w:ascii="仿宋" w:hAnsi="仿宋" w:eastAsia="仿宋" w:cs="仿宋"/>
          <w:color w:val="auto"/>
        </w:rPr>
        <w:t>：1</w:t>
      </w:r>
      <w:r>
        <w:rPr>
          <w:rFonts w:hint="eastAsia" w:ascii="仿宋" w:hAnsi="仿宋" w:eastAsia="仿宋" w:cs="仿宋"/>
          <w:color w:val="auto"/>
          <w:lang w:val="en-US" w:eastAsia="zh-CN"/>
        </w:rPr>
        <w:t>3309111540</w:t>
      </w:r>
    </w:p>
    <w:p w14:paraId="18D31A56">
      <w:pPr>
        <w:tabs>
          <w:tab w:val="left" w:pos="1620"/>
        </w:tabs>
        <w:snapToGrid w:val="0"/>
        <w:spacing w:line="500" w:lineRule="exact"/>
        <w:ind w:firstLine="562"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20"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20" w:firstLineChars="400"/>
        <w:rPr>
          <w:rFonts w:hint="eastAsia"/>
          <w:b w:val="0"/>
          <w:bCs w:val="0"/>
          <w:color w:val="auto"/>
        </w:rPr>
      </w:pPr>
      <w:r>
        <w:rPr>
          <w:rFonts w:hint="eastAsia"/>
          <w:b w:val="0"/>
          <w:bCs w:val="0"/>
          <w:color w:val="auto"/>
        </w:rPr>
        <w:t xml:space="preserve">磋商文件联系人：刘先生    </w:t>
      </w:r>
      <w:r>
        <w:rPr>
          <w:rFonts w:hint="eastAsia"/>
          <w:b w:val="0"/>
          <w:bCs w:val="0"/>
          <w:color w:val="auto"/>
          <w:lang w:val="en-US" w:eastAsia="zh-CN"/>
        </w:rPr>
        <w:t>赵先生</w:t>
      </w:r>
      <w:r>
        <w:rPr>
          <w:rFonts w:hint="eastAsia"/>
          <w:b w:val="0"/>
          <w:bCs w:val="0"/>
          <w:color w:val="auto"/>
        </w:rPr>
        <w:t xml:space="preserve">  </w:t>
      </w:r>
    </w:p>
    <w:p w14:paraId="3DB10CF9">
      <w:pPr>
        <w:spacing w:line="500" w:lineRule="exact"/>
        <w:ind w:firstLine="1120"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0911-7092224    0911-7092253</w:t>
      </w:r>
    </w:p>
    <w:p w14:paraId="4886E520">
      <w:pPr>
        <w:numPr>
          <w:ilvl w:val="0"/>
          <w:numId w:val="0"/>
        </w:numPr>
        <w:tabs>
          <w:tab w:val="left" w:pos="1620"/>
        </w:tabs>
        <w:snapToGrid w:val="0"/>
        <w:spacing w:line="500" w:lineRule="exact"/>
        <w:ind w:firstLine="562"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0"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延安凤凰山革命旧址管理处（中国人民抗日军政大学纪念馆）物业服务</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2" w:firstLineChars="200"/>
        <w:rPr>
          <w:rFonts w:hint="default" w:ascii="华文仿宋" w:hAnsi="华文仿宋" w:eastAsia="华文仿宋" w:cs="华文仿宋"/>
          <w:color w:val="auto"/>
          <w:highlight w:val="yellow"/>
          <w:lang w:val="en-US" w:eastAsia="zh-CN"/>
        </w:rPr>
      </w:pPr>
      <w:bookmarkStart w:id="22" w:name="_Toc6459_WPSOffice_Level2"/>
      <w:bookmarkStart w:id="23" w:name="_Toc25753"/>
      <w:bookmarkStart w:id="24" w:name="_Toc14570_WPSOffice_Level2"/>
      <w:bookmarkStart w:id="25" w:name="_Toc9917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2" w:firstLineChars="200"/>
        <w:rPr>
          <w:rFonts w:hint="eastAsia" w:ascii="仿宋" w:hAnsi="仿宋" w:eastAsia="华文仿宋" w:cs="仿宋"/>
          <w:b/>
          <w:color w:val="auto"/>
          <w:lang w:eastAsia="zh-CN"/>
        </w:rPr>
      </w:pPr>
      <w:r>
        <w:rPr>
          <w:rFonts w:hint="eastAsia" w:ascii="华文仿宋" w:hAnsi="华文仿宋" w:cs="华文仿宋"/>
          <w:b/>
          <w:color w:val="auto"/>
        </w:rPr>
        <w:t>七、采购预算：</w:t>
      </w:r>
      <w:r>
        <w:rPr>
          <w:rFonts w:hint="eastAsia" w:ascii="华文仿宋" w:hAnsi="华文仿宋" w:cs="华文仿宋"/>
          <w:b/>
          <w:bCs w:val="0"/>
          <w:color w:val="auto"/>
          <w:lang w:val="en-US" w:eastAsia="zh-CN"/>
        </w:rPr>
        <w:t>773936.8</w:t>
      </w:r>
      <w:r>
        <w:rPr>
          <w:rFonts w:hint="eastAsia" w:ascii="华文仿宋" w:hAnsi="华文仿宋" w:cs="华文仿宋"/>
          <w:b/>
          <w:bCs w:val="0"/>
          <w:color w:val="auto"/>
        </w:rPr>
        <w:t>元</w:t>
      </w:r>
      <w:r>
        <w:rPr>
          <w:rFonts w:hint="eastAsia" w:ascii="华文仿宋" w:hAnsi="华文仿宋" w:cs="华文仿宋"/>
          <w:b/>
          <w:bCs w:val="0"/>
          <w:color w:val="auto"/>
          <w:lang w:eastAsia="zh-CN"/>
        </w:rPr>
        <w:t>（</w:t>
      </w:r>
      <w:r>
        <w:rPr>
          <w:rFonts w:hint="eastAsia" w:ascii="华文仿宋" w:hAnsi="华文仿宋" w:cs="华文仿宋"/>
          <w:b/>
          <w:bCs w:val="0"/>
          <w:color w:val="auto"/>
          <w:lang w:val="en-US" w:eastAsia="zh-CN"/>
        </w:rPr>
        <w:t>大写：柒拾柒万叁仟玖佰叁拾陆元捌角</w:t>
      </w:r>
      <w:r>
        <w:rPr>
          <w:rFonts w:hint="eastAsia" w:ascii="华文仿宋" w:hAnsi="华文仿宋" w:cs="华文仿宋"/>
          <w:b/>
          <w:bCs w:val="0"/>
          <w:color w:val="auto"/>
          <w:lang w:eastAsia="zh-CN"/>
        </w:rPr>
        <w:t>）</w:t>
      </w:r>
    </w:p>
    <w:p w14:paraId="41109504">
      <w:pPr>
        <w:pStyle w:val="10"/>
        <w:spacing w:line="500" w:lineRule="exact"/>
        <w:ind w:firstLine="562"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物业管理</w:t>
      </w:r>
    </w:p>
    <w:p w14:paraId="694C3E41">
      <w:pPr>
        <w:spacing w:line="500" w:lineRule="exact"/>
        <w:ind w:firstLine="562"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2"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0"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3947265E">
      <w:pPr>
        <w:spacing w:line="500" w:lineRule="exact"/>
        <w:ind w:firstLine="560"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48538929">
      <w:pPr>
        <w:spacing w:line="500" w:lineRule="exact"/>
        <w:ind w:firstLine="560" w:firstLineChars="200"/>
        <w:rPr>
          <w:rFonts w:ascii="华文仿宋" w:hAnsi="华文仿宋" w:cs="华文仿宋"/>
          <w:color w:val="auto"/>
        </w:rPr>
      </w:pPr>
      <w:r>
        <w:rPr>
          <w:rFonts w:hint="eastAsia" w:ascii="华文仿宋" w:hAnsi="华文仿宋" w:cs="华文仿宋"/>
          <w:color w:val="auto"/>
          <w:lang w:val="en-US" w:eastAsia="zh-CN"/>
        </w:rPr>
        <w:t>2.供应商</w:t>
      </w:r>
      <w:r>
        <w:rPr>
          <w:rFonts w:hint="eastAsia" w:ascii="华文仿宋" w:hAnsi="华文仿宋" w:cs="华文仿宋"/>
          <w:color w:val="auto"/>
        </w:rPr>
        <w:t>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w:t>
      </w:r>
      <w:r>
        <w:rPr>
          <w:rFonts w:hint="eastAsia" w:ascii="华文仿宋" w:hAnsi="华文仿宋" w:cs="华文仿宋"/>
          <w:color w:val="auto"/>
          <w:lang w:eastAsia="zh-CN"/>
        </w:rPr>
        <w:t>（</w:t>
      </w:r>
      <w:r>
        <w:rPr>
          <w:rFonts w:hint="eastAsia" w:ascii="华文仿宋" w:hAnsi="华文仿宋" w:cs="华文仿宋"/>
          <w:color w:val="auto"/>
        </w:rPr>
        <w:t>无需另行提供证明文件）。</w:t>
      </w:r>
    </w:p>
    <w:p w14:paraId="1E030985">
      <w:pPr>
        <w:spacing w:line="500" w:lineRule="exact"/>
        <w:ind w:firstLine="560"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462BF6F1">
      <w:pPr>
        <w:spacing w:line="500" w:lineRule="exact"/>
        <w:ind w:firstLine="560"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0FE126B2">
      <w:pPr>
        <w:widowControl w:val="0"/>
        <w:spacing w:line="500" w:lineRule="exact"/>
        <w:ind w:firstLine="560"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0"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7D3F661E">
      <w:pPr>
        <w:spacing w:line="500" w:lineRule="exact"/>
        <w:ind w:firstLine="560"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widowControl w:val="0"/>
        <w:numPr>
          <w:ilvl w:val="0"/>
          <w:numId w:val="3"/>
        </w:numPr>
        <w:spacing w:line="500" w:lineRule="exact"/>
        <w:ind w:firstLine="562" w:firstLineChars="200"/>
        <w:jc w:val="left"/>
        <w:rPr>
          <w:rFonts w:hint="eastAsia" w:ascii="华文仿宋" w:hAnsi="华文仿宋" w:cs="华文仿宋"/>
          <w:color w:val="auto"/>
        </w:rPr>
      </w:pP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2" w:firstLineChars="200"/>
        <w:rPr>
          <w:rFonts w:ascii="宋体" w:hAnsi="宋体" w:eastAsia="宋体" w:cs="宋体"/>
          <w:b/>
          <w:bCs/>
          <w:color w:val="auto"/>
          <w:sz w:val="21"/>
          <w:szCs w:val="21"/>
        </w:rPr>
      </w:pPr>
      <w:bookmarkStart w:id="26" w:name="_Toc8666"/>
      <w:bookmarkStart w:id="27" w:name="_Toc31685_WPSOffice_Level2"/>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2"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2"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2" w:firstLineChars="200"/>
        <w:rPr>
          <w:rFonts w:hint="eastAsia" w:ascii="华文仿宋" w:hAnsi="华文仿宋" w:cs="华文仿宋"/>
          <w:b/>
          <w:bCs/>
          <w:color w:val="auto"/>
          <w:highlight w:val="none"/>
        </w:rPr>
      </w:pPr>
      <w:bookmarkStart w:id="30" w:name="_Toc20141_WPSOffice_Level2"/>
      <w:bookmarkStart w:id="31" w:name="_Toc30400_WPSOffice_Level2"/>
      <w:bookmarkStart w:id="32" w:name="_Toc21125"/>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2"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2"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0"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0"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0"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2"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0" w:firstLineChars="200"/>
        <w:jc w:val="left"/>
        <w:rPr>
          <w:rFonts w:hint="eastAsia" w:ascii="仿宋" w:hAnsi="仿宋" w:eastAsia="仿宋" w:cs="仿宋"/>
          <w:bCs/>
          <w:color w:val="auto"/>
        </w:rPr>
      </w:pPr>
      <w:bookmarkStart w:id="33" w:name="_Toc26982_WPSOffice_Level2"/>
      <w:bookmarkStart w:id="34" w:name="_Toc27420_WPSOffice_Level2"/>
      <w:bookmarkStart w:id="35" w:name="_Toc26863_WPSOffice_Level2"/>
      <w:bookmarkStart w:id="36" w:name="_Toc20847"/>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0"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0" w:firstLineChars="200"/>
        <w:jc w:val="left"/>
        <w:rPr>
          <w:rFonts w:ascii="仿宋" w:hAnsi="仿宋" w:eastAsia="仿宋" w:cs="仿宋"/>
          <w:bCs/>
          <w:color w:val="auto"/>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CA锁）办理流程可参照https://www.snca.com.cn/notice/show/533.html，现场办理地址：延安市新区为民服务中心南区东楼</w:t>
      </w:r>
      <w:r>
        <w:rPr>
          <w:rFonts w:hint="eastAsia" w:ascii="仿宋" w:hAnsi="仿宋" w:eastAsia="仿宋" w:cs="仿宋"/>
          <w:bCs/>
          <w:color w:val="auto"/>
          <w:lang w:eastAsia="zh-CN"/>
        </w:rPr>
        <w:t>（</w:t>
      </w:r>
      <w:r>
        <w:rPr>
          <w:rFonts w:hint="eastAsia" w:ascii="仿宋" w:hAnsi="仿宋" w:eastAsia="仿宋" w:cs="仿宋"/>
          <w:bCs/>
          <w:color w:val="auto"/>
        </w:rPr>
        <w:t>7号楼）A2楼，咨询电话：0911-2162266。</w:t>
      </w:r>
    </w:p>
    <w:p w14:paraId="1225FC02">
      <w:pPr>
        <w:spacing w:line="500" w:lineRule="exact"/>
        <w:ind w:firstLine="562"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7月28日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2"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0"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2"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2"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0"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2"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12</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09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38"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2"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开标5室</w:t>
      </w:r>
    </w:p>
    <w:p w14:paraId="5571E26C">
      <w:pPr>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hint="default"/>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2"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lang w:eastAsia="zh-CN"/>
        </w:rPr>
        <w:t>051258188039</w:t>
      </w:r>
      <w:r>
        <w:rPr>
          <w:rFonts w:hint="eastAsia" w:ascii="华文仿宋" w:hAnsi="华文仿宋" w:cs="华文仿宋"/>
          <w:b/>
          <w:bCs/>
          <w:sz w:val="28"/>
          <w:szCs w:val="28"/>
          <w:highlight w:val="none"/>
        </w:rPr>
        <w:t>。</w:t>
      </w:r>
    </w:p>
    <w:p w14:paraId="09D12969">
      <w:pPr>
        <w:spacing w:line="500" w:lineRule="exact"/>
        <w:ind w:firstLine="562"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2" w:firstLineChars="200"/>
        <w:rPr>
          <w:b/>
          <w:bCs/>
          <w:color w:val="000000"/>
        </w:rPr>
      </w:pPr>
      <w:bookmarkStart w:id="37" w:name="_Toc20005"/>
      <w:bookmarkStart w:id="38" w:name="_Toc17917"/>
      <w:bookmarkStart w:id="39" w:name="_Toc14110_WPSOffice_Level2"/>
      <w:bookmarkStart w:id="40" w:name="_Toc22849_WPSOffice_Level2"/>
      <w:bookmarkStart w:id="41" w:name="_Toc10758_WPSOffice_Level2"/>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3322F479">
      <w:pPr>
        <w:spacing w:line="500" w:lineRule="exact"/>
        <w:ind w:firstLine="562" w:firstLineChars="200"/>
        <w:rPr>
          <w:rFonts w:hint="eastAsia" w:ascii="宋体" w:hAnsi="宋体" w:eastAsia="宋体" w:cs="宋体"/>
          <w:b/>
          <w:bCs/>
          <w:color w:val="000000"/>
        </w:rPr>
      </w:pPr>
    </w:p>
    <w:p w14:paraId="57F8537F">
      <w:pPr>
        <w:spacing w:line="500" w:lineRule="exact"/>
        <w:ind w:firstLine="562" w:firstLineChars="200"/>
        <w:rPr>
          <w:rFonts w:hint="eastAsia" w:ascii="宋体" w:hAnsi="宋体" w:eastAsia="宋体" w:cs="宋体"/>
          <w:b/>
          <w:bCs/>
          <w:color w:val="000000"/>
        </w:rPr>
      </w:pPr>
    </w:p>
    <w:p w14:paraId="75D31023">
      <w:pPr>
        <w:spacing w:line="500" w:lineRule="exact"/>
        <w:ind w:firstLine="562" w:firstLineChars="200"/>
        <w:rPr>
          <w:rFonts w:hint="eastAsia" w:ascii="宋体" w:hAnsi="宋体" w:eastAsia="宋体" w:cs="宋体"/>
          <w:b/>
          <w:bCs/>
          <w:color w:val="000000"/>
        </w:rPr>
      </w:pPr>
    </w:p>
    <w:p w14:paraId="7A133A1E">
      <w:pPr>
        <w:spacing w:line="500" w:lineRule="exact"/>
        <w:ind w:firstLine="562"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2" w:firstLineChars="200"/>
        <w:rPr>
          <w:rFonts w:ascii="宋体" w:hAnsi="宋体" w:eastAsia="宋体" w:cs="宋体"/>
          <w:b/>
          <w:bCs/>
          <w:color w:val="auto"/>
          <w:sz w:val="21"/>
          <w:szCs w:val="21"/>
          <w:highlight w:val="none"/>
        </w:rPr>
      </w:pPr>
      <w:bookmarkStart w:id="42" w:name="_Toc7814"/>
      <w:bookmarkStart w:id="43" w:name="_Toc495014953"/>
      <w:bookmarkStart w:id="44" w:name="_Toc4326"/>
      <w:bookmarkStart w:id="45" w:name="_Toc445306492"/>
      <w:bookmarkStart w:id="46" w:name="_Toc495012820"/>
      <w:bookmarkStart w:id="47" w:name="_Toc15046_WPSOffice_Level1"/>
      <w:bookmarkStart w:id="48" w:name="_Toc495014610"/>
      <w:bookmarkStart w:id="49" w:name="_Toc22804_WPSOffice_Level1"/>
      <w:bookmarkStart w:id="50" w:name="_Toc495014919"/>
      <w:bookmarkStart w:id="51" w:name="_Toc495012770"/>
      <w:bookmarkStart w:id="52" w:name="_Toc495014648"/>
      <w:bookmarkStart w:id="53" w:name="_Toc495014584"/>
      <w:bookmarkStart w:id="54" w:name="_Toc19337_WPSOffice_Level1"/>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2"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2"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3"/>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4"/>
        <w:ind w:firstLine="567"/>
        <w:rPr>
          <w:color w:val="000000"/>
          <w:sz w:val="28"/>
          <w:szCs w:val="28"/>
        </w:rPr>
      </w:pPr>
      <w:bookmarkStart w:id="56" w:name="_Toc11989"/>
      <w:bookmarkStart w:id="57" w:name="_Toc12337"/>
      <w:bookmarkStart w:id="58" w:name="_Toc24451_WPSOffice_Level2"/>
      <w:bookmarkStart w:id="59" w:name="_Toc18466_WPSOffice_Level2"/>
      <w:bookmarkStart w:id="60" w:name="_Toc16238"/>
      <w:bookmarkStart w:id="61" w:name="_Toc3858_WPSOffice_Level2"/>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600"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延安凤凰山革命旧址管理处</w:t>
      </w:r>
    </w:p>
    <w:p w14:paraId="01424C05">
      <w:pPr>
        <w:spacing w:line="500" w:lineRule="exact"/>
        <w:ind w:firstLine="600"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0"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延安市公共资源交易中心（延安市市直单位政府采购中心）（以下简称：中心）</w:t>
      </w:r>
    </w:p>
    <w:p w14:paraId="07B822FE">
      <w:pPr>
        <w:spacing w:line="500" w:lineRule="exact"/>
        <w:ind w:firstLine="600"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4"/>
        <w:ind w:firstLine="567"/>
        <w:rPr>
          <w:rFonts w:ascii="华文仿宋" w:hAnsi="华文仿宋" w:cs="华文仿宋"/>
          <w:color w:val="000000"/>
          <w:sz w:val="28"/>
          <w:szCs w:val="28"/>
        </w:rPr>
      </w:pPr>
      <w:bookmarkStart w:id="64" w:name="_Toc20906_WPSOffice_Level2"/>
      <w:bookmarkStart w:id="65" w:name="_Toc4606"/>
      <w:bookmarkStart w:id="66" w:name="_Toc9291"/>
      <w:bookmarkStart w:id="67" w:name="_Toc1878"/>
      <w:bookmarkStart w:id="68" w:name="_Toc27278_WPSOffice_Level2"/>
      <w:bookmarkStart w:id="69" w:name="_Toc11745_WPSOffice_Level2"/>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2" w:firstLineChars="200"/>
        <w:rPr>
          <w:b/>
          <w:bCs/>
          <w:color w:val="000000"/>
        </w:rPr>
      </w:pPr>
      <w:bookmarkStart w:id="70" w:name="_Toc21291"/>
      <w:bookmarkStart w:id="71" w:name="_Toc26982_WPSOffice_Level3"/>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0D0CC5B5">
      <w:pPr>
        <w:spacing w:line="500" w:lineRule="exact"/>
        <w:ind w:firstLine="560"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2"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8"/>
        <w:spacing w:line="500" w:lineRule="exact"/>
        <w:ind w:firstLine="560"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口头提问可口头答复），现场不能做出解答的，应在三个工作日内书面答复，并交由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0"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2"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0"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或采购人将在收到书面质疑后7个工作日内做出答复，并以书面形式通知质疑人和其他有关供应商。</w:t>
      </w:r>
    </w:p>
    <w:p w14:paraId="316E48CF">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2"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0"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0"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延安市公共资源交易中心（延安市市直单位政府采购中心）</w:t>
      </w:r>
    </w:p>
    <w:p w14:paraId="5CA11703">
      <w:pPr>
        <w:spacing w:line="500" w:lineRule="exact"/>
        <w:ind w:firstLine="560"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0"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0"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2"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4"/>
          <w:rFonts w:hint="eastAsia" w:ascii="华文仿宋" w:hAnsi="华文仿宋" w:cs="华文仿宋"/>
          <w:color w:val="000000"/>
          <w:sz w:val="28"/>
        </w:rPr>
        <w:t>信用中国</w:t>
      </w:r>
      <w:r>
        <w:rPr>
          <w:rStyle w:val="24"/>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4"/>
          <w:rFonts w:hint="eastAsia" w:ascii="华文仿宋" w:hAnsi="华文仿宋" w:cs="华文仿宋"/>
          <w:color w:val="000000"/>
          <w:sz w:val="28"/>
        </w:rPr>
        <w:t>中国政府采购网</w:t>
      </w:r>
      <w:r>
        <w:rPr>
          <w:rStyle w:val="24"/>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2"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10"/>
        <w:spacing w:line="500" w:lineRule="exact"/>
        <w:ind w:firstLine="560"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w:t>
      </w:r>
      <w:r>
        <w:rPr>
          <w:rFonts w:hint="eastAsia" w:ascii="仿宋" w:hAnsi="仿宋" w:eastAsia="仿宋" w:cs="仿宋"/>
          <w:color w:val="000000"/>
          <w:lang w:eastAsia="zh-CN"/>
        </w:rPr>
        <w:t>中小</w:t>
      </w:r>
      <w:r>
        <w:rPr>
          <w:rFonts w:hint="eastAsia" w:ascii="仿宋" w:hAnsi="仿宋" w:eastAsia="仿宋" w:cs="仿宋"/>
          <w:color w:val="000000"/>
        </w:rPr>
        <w:t>企业的价格扣除优惠，由财库〔2020〕46号文件规定的6%—10%提高至10%—20%。大中型企业与</w:t>
      </w:r>
      <w:r>
        <w:rPr>
          <w:rFonts w:hint="eastAsia" w:ascii="仿宋" w:hAnsi="仿宋" w:eastAsia="仿宋" w:cs="仿宋"/>
          <w:color w:val="000000"/>
          <w:lang w:eastAsia="zh-CN"/>
        </w:rPr>
        <w:t>中小</w:t>
      </w:r>
      <w:r>
        <w:rPr>
          <w:rFonts w:hint="eastAsia" w:ascii="仿宋" w:hAnsi="仿宋" w:eastAsia="仿宋" w:cs="仿宋"/>
          <w:color w:val="000000"/>
        </w:rPr>
        <w:t>企业组成联合体或者大中型企业向</w:t>
      </w:r>
      <w:r>
        <w:rPr>
          <w:rFonts w:hint="eastAsia" w:ascii="仿宋" w:hAnsi="仿宋" w:eastAsia="仿宋" w:cs="仿宋"/>
          <w:color w:val="000000"/>
          <w:lang w:eastAsia="zh-CN"/>
        </w:rPr>
        <w:t>中小</w:t>
      </w:r>
      <w:r>
        <w:rPr>
          <w:rFonts w:hint="eastAsia" w:ascii="仿宋" w:hAnsi="仿宋" w:eastAsia="仿宋" w:cs="仿宋"/>
          <w:color w:val="000000"/>
        </w:rPr>
        <w:t>企业分包的，评审优惠幅度由2%—3%提高至4%—6%。政府采购工程的价格评审优惠按照财库〔2020〕46号文件的规定执行。</w:t>
      </w:r>
    </w:p>
    <w:p w14:paraId="6764A380">
      <w:pPr>
        <w:spacing w:line="500" w:lineRule="exact"/>
        <w:ind w:firstLine="562"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10"/>
        <w:spacing w:line="500" w:lineRule="exact"/>
        <w:ind w:firstLine="566"/>
        <w:rPr>
          <w:color w:val="000000"/>
          <w:sz w:val="28"/>
          <w:szCs w:val="28"/>
        </w:rPr>
      </w:pPr>
      <w:r>
        <w:rPr>
          <w:rFonts w:hint="eastAsia" w:ascii="华文仿宋" w:hAnsi="华文仿宋" w:cs="华文仿宋"/>
          <w:color w:val="000000"/>
          <w:sz w:val="28"/>
          <w:szCs w:val="28"/>
        </w:rPr>
        <w:t>备注：</w:t>
      </w:r>
      <w:r>
        <w:rPr>
          <w:rFonts w:hint="eastAsia" w:ascii="华文仿宋" w:hAnsi="华文仿宋" w:cs="华文仿宋"/>
          <w:color w:val="000000"/>
          <w:sz w:val="28"/>
          <w:szCs w:val="28"/>
          <w:lang w:val="en-US" w:eastAsia="zh-CN"/>
        </w:rPr>
        <w:t>小微</w:t>
      </w:r>
      <w:r>
        <w:rPr>
          <w:rFonts w:hint="eastAsia" w:ascii="华文仿宋" w:hAnsi="华文仿宋" w:cs="华文仿宋"/>
          <w:color w:val="000000"/>
          <w:sz w:val="28"/>
          <w:szCs w:val="28"/>
        </w:rPr>
        <w:t>企业划分标准参照《中小企业划型标准规定》</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工信部联企业</w:t>
      </w:r>
      <w:r>
        <w:rPr>
          <w:rFonts w:hint="eastAsia" w:ascii="仿宋" w:hAnsi="仿宋" w:eastAsia="仿宋" w:cs="仿宋"/>
          <w:color w:val="000000"/>
          <w:sz w:val="28"/>
          <w:szCs w:val="28"/>
        </w:rPr>
        <w:t>〔2011〕300</w:t>
      </w:r>
      <w:r>
        <w:rPr>
          <w:rFonts w:hint="eastAsia" w:ascii="华文仿宋" w:hAnsi="华文仿宋" w:cs="华文仿宋"/>
          <w:color w:val="000000"/>
          <w:sz w:val="28"/>
          <w:szCs w:val="28"/>
        </w:rPr>
        <w:t>号）执行。</w:t>
      </w:r>
    </w:p>
    <w:p w14:paraId="0B49B8C2">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2"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2"/>
        <w:spacing w:line="500" w:lineRule="exact"/>
        <w:ind w:firstLine="560"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8"/>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8"/>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8"/>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8"/>
        <w:wordWrap w:val="0"/>
        <w:spacing w:line="500" w:lineRule="exact"/>
        <w:ind w:firstLine="560" w:firstLineChars="200"/>
        <w:rPr>
          <w:rFonts w:hint="eastAsia" w:ascii="华文仿宋" w:hAnsi="华文仿宋" w:eastAsia="华文仿宋" w:cs="华文仿宋"/>
          <w:kern w:val="0"/>
        </w:rPr>
      </w:pPr>
      <w:r>
        <w:rPr>
          <w:rFonts w:hint="eastAsia" w:ascii="华文仿宋" w:hAnsi="华文仿宋" w:eastAsia="华文仿宋" w:cs="华文仿宋"/>
          <w:color w:val="000000"/>
          <w:kern w:val="0"/>
          <w:lang w:val="en-US" w:eastAsia="zh-CN"/>
        </w:rPr>
        <w:t>9</w:t>
      </w:r>
      <w:r>
        <w:rPr>
          <w:rFonts w:hint="eastAsia" w:ascii="华文仿宋" w:hAnsi="华文仿宋" w:eastAsia="华文仿宋" w:cs="华文仿宋"/>
          <w:color w:val="000000"/>
          <w:kern w:val="0"/>
          <w:lang w:eastAsia="zh-CN"/>
        </w:rPr>
        <w:t>.</w:t>
      </w:r>
      <w:r>
        <w:rPr>
          <w:rFonts w:hint="eastAsia" w:ascii="华文仿宋" w:hAnsi="华文仿宋" w:eastAsia="华文仿宋" w:cs="华文仿宋"/>
          <w:kern w:val="0"/>
        </w:rPr>
        <w:t>根据陕西省财政厅关于印发《陕西省中小企业政府采购信用融资办法》</w:t>
      </w:r>
      <w:r>
        <w:rPr>
          <w:rFonts w:hint="eastAsia" w:ascii="华文仿宋" w:hAnsi="华文仿宋" w:eastAsia="华文仿宋" w:cs="华文仿宋"/>
          <w:kern w:val="0"/>
          <w:lang w:eastAsia="zh-CN"/>
        </w:rPr>
        <w:t>（</w:t>
      </w:r>
      <w:r>
        <w:rPr>
          <w:rFonts w:hint="eastAsia" w:ascii="华文仿宋" w:hAnsi="华文仿宋" w:eastAsia="华文仿宋" w:cs="华文仿宋"/>
          <w:kern w:val="0"/>
        </w:rPr>
        <w:t>陕财办采〔2018〕23号）规定“</w:t>
      </w:r>
      <w:r>
        <w:rPr>
          <w:rFonts w:hint="eastAsia" w:ascii="华文仿宋" w:hAnsi="华文仿宋" w:eastAsia="华文仿宋" w:cs="华文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eastAsia="华文仿宋" w:cs="华文仿宋"/>
          <w:kern w:val="0"/>
        </w:rPr>
        <w:t>”</w:t>
      </w:r>
      <w:r>
        <w:rPr>
          <w:rFonts w:hint="eastAsia" w:ascii="华文仿宋" w:hAnsi="华文仿宋" w:eastAsia="华文仿宋" w:cs="华文仿宋"/>
          <w:kern w:val="0"/>
          <w:lang w:eastAsia="zh-CN"/>
        </w:rPr>
        <w:t>（</w:t>
      </w:r>
      <w:r>
        <w:rPr>
          <w:rFonts w:hint="eastAsia" w:ascii="华文仿宋" w:hAnsi="华文仿宋" w:eastAsia="华文仿宋" w:cs="华文仿宋"/>
        </w:rPr>
        <w:fldChar w:fldCharType="begin"/>
      </w:r>
      <w:r>
        <w:rPr>
          <w:rFonts w:hint="eastAsia" w:ascii="华文仿宋" w:hAnsi="华文仿宋" w:eastAsia="华文仿宋" w:cs="华文仿宋"/>
        </w:rPr>
        <w:instrText xml:space="preserve"> HYPERLINK "http://www.ccgp-shaanxi.gov.cn/zcdservice/zcd/shanxi/" </w:instrText>
      </w:r>
      <w:r>
        <w:rPr>
          <w:rFonts w:hint="eastAsia" w:ascii="华文仿宋" w:hAnsi="华文仿宋" w:eastAsia="华文仿宋" w:cs="华文仿宋"/>
        </w:rPr>
        <w:fldChar w:fldCharType="separate"/>
      </w:r>
      <w:r>
        <w:rPr>
          <w:rFonts w:hint="eastAsia" w:ascii="华文仿宋" w:hAnsi="华文仿宋" w:eastAsia="华文仿宋" w:cs="华文仿宋"/>
          <w:kern w:val="0"/>
        </w:rPr>
        <w:t>陕西省政府采购信用融资平台</w:t>
      </w:r>
      <w:r>
        <w:rPr>
          <w:rFonts w:hint="eastAsia" w:ascii="华文仿宋" w:hAnsi="华文仿宋" w:eastAsia="华文仿宋" w:cs="华文仿宋"/>
          <w:kern w:val="0"/>
        </w:rPr>
        <w:fldChar w:fldCharType="end"/>
      </w:r>
      <w:r>
        <w:rPr>
          <w:rFonts w:hint="eastAsia" w:ascii="华文仿宋" w:hAnsi="华文仿宋" w:eastAsia="华文仿宋" w:cs="华文仿宋"/>
          <w:kern w:val="0"/>
        </w:rPr>
        <w:t>：http://www.ccgp-shaanxi.gov.cn/zcdservice/zcd/shanxi/）</w:t>
      </w:r>
    </w:p>
    <w:p w14:paraId="111F2D39">
      <w:pPr>
        <w:ind w:firstLine="560" w:firstLineChars="200"/>
        <w:rPr>
          <w:rFonts w:hint="eastAsia" w:ascii="华文仿宋" w:hAnsi="华文仿宋" w:eastAsia="华文仿宋" w:cs="华文仿宋"/>
          <w:sz w:val="28"/>
          <w:szCs w:val="28"/>
        </w:rPr>
      </w:pPr>
      <w:r>
        <w:rPr>
          <w:rFonts w:hint="eastAsia" w:ascii="华文仿宋" w:hAnsi="华文仿宋" w:eastAsia="华文仿宋" w:cs="华文仿宋"/>
          <w:b w:val="0"/>
          <w:bCs w:val="0"/>
          <w:color w:val="000000"/>
          <w:sz w:val="28"/>
          <w:szCs w:val="28"/>
          <w:lang w:val="en-US" w:eastAsia="zh-CN"/>
        </w:rPr>
        <w:t>10.</w:t>
      </w:r>
      <w:r>
        <w:rPr>
          <w:rFonts w:hint="eastAsia" w:ascii="华文仿宋" w:hAnsi="华文仿宋" w:eastAsia="华文仿宋" w:cs="华文仿宋"/>
          <w:sz w:val="28"/>
          <w:szCs w:val="28"/>
        </w:rPr>
        <w:t>根据财政部《关于推动解决政府采购异常低价问题的通知》（财库〔2026〕2号）有关要求，（一）政府采购评审中出现下列情形之一的，评审委员会应当启动异常低价投标（响应）审查程序：</w:t>
      </w:r>
    </w:p>
    <w:p w14:paraId="27B9399A">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1.投标（响应）报价低于全部通过符合性审查供应商投标（响应）报价平均值50%的，即投标（响应）报价&lt;全部通过符合性审查供应商投标（响应）报价平均值×50%；</w:t>
      </w:r>
    </w:p>
    <w:p w14:paraId="603CE607">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2.投标（响应）报价低于通过符合性审查的次低报价供应商投标（响应）报价50%的，即投标（响应）报价&lt;通过符合性审查的次低报价供应商投标（响应）报价×50%；</w:t>
      </w:r>
    </w:p>
    <w:p w14:paraId="7385765F">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3.投标（响应）报价低于采购项目最高限价45%的，即投标（响应）报价&lt;采购项目最高限价×45%；</w:t>
      </w:r>
    </w:p>
    <w:p w14:paraId="452A4828">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4.评审委员会基于专业判断，认为供应商报价过低，有可能影响产品质量或者不能诚信履约的其他情形。</w:t>
      </w:r>
    </w:p>
    <w:p w14:paraId="2F0EDD67">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采购人可以结合具体项目实际情况，提高上述第1项至第3项中启动异常低价投标（响应）审查的数值标准，但是最高不得超过65%。</w:t>
      </w:r>
    </w:p>
    <w:p w14:paraId="0E080160">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　相关法律法规对供应商报价有规定的，从其规定。</w:t>
      </w:r>
    </w:p>
    <w:p w14:paraId="39486860">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0FE9722">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2F3C884">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EAF34D6">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　　异常低价投标（响应）审查的启动原因、审查意见和审查结果应当在评审报告中记录，并随供应商提供的相关书面说明及证明材料，以及评审委员会有关互联网浏览、查询历史一并归档。</w:t>
      </w:r>
    </w:p>
    <w:p w14:paraId="545510A9">
      <w:pPr>
        <w:rPr>
          <w:sz w:val="24"/>
          <w:szCs w:val="24"/>
        </w:rPr>
      </w:pPr>
      <w:r>
        <w:rPr>
          <w:rFonts w:hint="eastAsia" w:ascii="华文仿宋" w:hAnsi="华文仿宋" w:eastAsia="华文仿宋" w:cs="华文仿宋"/>
          <w:sz w:val="28"/>
          <w:szCs w:val="28"/>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306EA03">
      <w:pPr>
        <w:pStyle w:val="10"/>
        <w:spacing w:line="500" w:lineRule="exact"/>
        <w:ind w:firstLine="562" w:firstLineChars="200"/>
        <w:rPr>
          <w:rFonts w:hint="default" w:ascii="华文仿宋" w:hAnsi="华文仿宋" w:eastAsia="华文仿宋" w:cs="华文仿宋"/>
          <w:b/>
          <w:bCs/>
          <w:color w:val="000000"/>
          <w:lang w:val="en-US" w:eastAsia="zh-CN"/>
        </w:rPr>
      </w:pPr>
    </w:p>
    <w:p w14:paraId="29F64350">
      <w:pPr>
        <w:pStyle w:val="10"/>
        <w:spacing w:line="500" w:lineRule="exact"/>
        <w:ind w:firstLine="562"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企业的采购项目，因此，不再执行价格评审优惠扶持政策。</w:t>
      </w:r>
    </w:p>
    <w:p w14:paraId="07821BCA">
      <w:pPr>
        <w:spacing w:line="500" w:lineRule="exact"/>
        <w:ind w:firstLine="562"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2"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2"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4"/>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2"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0"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2"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0"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0"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2"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4"/>
        <w:ind w:firstLine="567"/>
        <w:rPr>
          <w:rFonts w:ascii="华文仿宋" w:hAnsi="华文仿宋" w:cs="华文仿宋"/>
          <w:color w:val="000000"/>
          <w:sz w:val="28"/>
          <w:szCs w:val="28"/>
        </w:rPr>
      </w:pPr>
      <w:bookmarkStart w:id="81" w:name="_Toc21288_WPSOffice_Level2"/>
      <w:bookmarkStart w:id="82" w:name="_Toc13240"/>
      <w:bookmarkStart w:id="83" w:name="_Toc16980_WPSOffice_Level2"/>
      <w:bookmarkStart w:id="84" w:name="_Toc17240_WPSOffice_Level2"/>
      <w:bookmarkStart w:id="85" w:name="_Toc3222"/>
      <w:bookmarkStart w:id="86" w:name="_Toc22637"/>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3064"/>
      <w:bookmarkStart w:id="88" w:name="_Toc15996"/>
      <w:bookmarkStart w:id="89" w:name="_Toc19768_WPSOffice_Level2"/>
      <w:bookmarkStart w:id="90" w:name="_Toc22501_WPSOffice_Level2"/>
      <w:bookmarkStart w:id="91" w:name="_Toc20873_WPSOffice_Level2"/>
      <w:bookmarkStart w:id="92" w:name="_Toc30415"/>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2"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2"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8"/>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4"/>
        <w:ind w:firstLine="567"/>
        <w:rPr>
          <w:rFonts w:ascii="华文仿宋" w:hAnsi="华文仿宋" w:cs="华文仿宋"/>
          <w:color w:val="000000"/>
          <w:sz w:val="28"/>
          <w:szCs w:val="28"/>
        </w:rPr>
      </w:pPr>
      <w:bookmarkStart w:id="93" w:name="_Toc14979"/>
      <w:bookmarkStart w:id="94" w:name="_Toc14959_WPSOffice_Level2"/>
      <w:bookmarkStart w:id="95" w:name="_Toc23179"/>
      <w:bookmarkStart w:id="96" w:name="_Toc29669_WPSOffice_Level2"/>
      <w:bookmarkStart w:id="97" w:name="_Toc11009"/>
      <w:bookmarkStart w:id="98" w:name="_Toc20041_WPSOffice_Level2"/>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2" w:firstLineChars="200"/>
        <w:rPr>
          <w:rFonts w:ascii="华文仿宋" w:hAnsi="华文仿宋" w:cs="华文仿宋"/>
          <w:b/>
          <w:bCs/>
          <w:color w:val="000000"/>
        </w:rPr>
      </w:pPr>
      <w:bookmarkStart w:id="99" w:name="_Toc18733_WPSOffice_Level2"/>
      <w:bookmarkStart w:id="100" w:name="_Toc30535_WPSOffice_Level2"/>
      <w:bookmarkStart w:id="101" w:name="_Toc7898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0"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0"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0" w:firstLineChars="200"/>
        <w:rPr>
          <w:rFonts w:hint="default" w:ascii="华文仿宋" w:hAnsi="华文仿宋" w:eastAsia="华文仿宋" w:cs="华文仿宋"/>
          <w:color w:val="000000"/>
          <w:lang w:val="en-US" w:eastAsia="zh-CN"/>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w:t>
      </w:r>
      <w:r>
        <w:rPr>
          <w:rFonts w:hint="eastAsia" w:ascii="华文仿宋" w:hAnsi="华文仿宋" w:cs="华文仿宋"/>
          <w:b/>
          <w:bCs/>
          <w:color w:val="000000"/>
          <w:lang w:val="en-US" w:eastAsia="zh-CN"/>
        </w:rPr>
        <w:t>051258188039</w:t>
      </w:r>
    </w:p>
    <w:p w14:paraId="1FFCBBC3">
      <w:pPr>
        <w:spacing w:line="500" w:lineRule="exact"/>
        <w:ind w:firstLine="562"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0"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2" w:firstLineChars="200"/>
        <w:rPr>
          <w:rFonts w:ascii="仿宋" w:hAnsi="仿宋" w:eastAsia="仿宋" w:cs="仿宋"/>
          <w:b/>
          <w:color w:val="000000"/>
        </w:rPr>
      </w:pPr>
      <w:bookmarkStart w:id="102" w:name="_Toc15608"/>
      <w:bookmarkStart w:id="103" w:name="_Toc6095"/>
      <w:bookmarkStart w:id="104" w:name="_Toc24468"/>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2"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0"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4"/>
        <w:widowControl w:val="0"/>
        <w:ind w:firstLine="567"/>
        <w:rPr>
          <w:rFonts w:ascii="华文仿宋" w:hAnsi="华文仿宋" w:cs="华文仿宋"/>
          <w:color w:val="000000"/>
          <w:sz w:val="28"/>
          <w:szCs w:val="28"/>
        </w:rPr>
      </w:pPr>
      <w:bookmarkStart w:id="105" w:name="_Toc28054"/>
      <w:bookmarkStart w:id="106" w:name="_Toc595"/>
      <w:bookmarkStart w:id="107" w:name="_Toc6837"/>
      <w:bookmarkStart w:id="108" w:name="_Toc10744"/>
      <w:bookmarkStart w:id="109" w:name="_Toc7022"/>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0"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2"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lang w:eastAsia="zh-CN"/>
        </w:rPr>
        <w:t>051258188039</w:t>
      </w:r>
      <w:r>
        <w:rPr>
          <w:rFonts w:hint="eastAsia" w:ascii="华文仿宋" w:hAnsi="华文仿宋" w:cs="华文仿宋"/>
          <w:b/>
          <w:bCs/>
          <w:color w:val="auto"/>
          <w:highlight w:val="none"/>
        </w:rPr>
        <w:t>。</w:t>
      </w:r>
    </w:p>
    <w:p w14:paraId="5F805055">
      <w:pPr>
        <w:wordWrap w:val="0"/>
        <w:spacing w:line="500" w:lineRule="exact"/>
        <w:ind w:firstLine="560"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0"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4"/>
        </w:numPr>
        <w:spacing w:line="500" w:lineRule="exact"/>
        <w:ind w:firstLine="560"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0"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2"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0"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0"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4"/>
        <w:ind w:firstLine="567"/>
        <w:rPr>
          <w:color w:val="000000"/>
          <w:sz w:val="28"/>
          <w:szCs w:val="28"/>
        </w:rPr>
      </w:pPr>
      <w:bookmarkStart w:id="111" w:name="_Toc31720"/>
      <w:bookmarkStart w:id="112" w:name="_Toc8460"/>
      <w:bookmarkStart w:id="113" w:name="_Toc20183"/>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7"/>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7"/>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7"/>
        <w:spacing w:beforeAutospacing="0" w:afterAutospacing="0" w:line="500" w:lineRule="exact"/>
        <w:ind w:firstLine="560"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76FE9C56">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7"/>
        <w:spacing w:beforeAutospacing="0" w:afterAutospacing="0" w:line="500" w:lineRule="exact"/>
        <w:ind w:firstLine="560"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0"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0"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0"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65ECD7F0">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2"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0"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0"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0"/>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lang w:eastAsia="zh-CN"/>
              </w:rPr>
              <w:t>供应商</w:t>
            </w:r>
            <w:r>
              <w:rPr>
                <w:rFonts w:hint="eastAsia" w:ascii="华文仿宋" w:hAnsi="华文仿宋" w:cs="华文仿宋"/>
                <w:color w:val="000000"/>
                <w:kern w:val="28"/>
                <w:sz w:val="24"/>
                <w:szCs w:val="24"/>
              </w:rPr>
              <w:t>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2C1F3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A41C03">
            <w:pPr>
              <w:spacing w:line="240" w:lineRule="auto"/>
              <w:jc w:val="center"/>
              <w:rPr>
                <w:rFonts w:hint="eastAsia"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75474F7C">
            <w:pPr>
              <w:spacing w:line="240" w:lineRule="auto"/>
              <w:jc w:val="center"/>
              <w:rPr>
                <w:rFonts w:hint="eastAsia" w:ascii="华文仿宋" w:hAnsi="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26CCA990">
            <w:pPr>
              <w:spacing w:line="240" w:lineRule="auto"/>
              <w:rPr>
                <w:rFonts w:hint="eastAsia"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68E3D5AA">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1CDE8C">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2"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0"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571E0306">
      <w:pPr>
        <w:tabs>
          <w:tab w:val="center" w:pos="4153"/>
          <w:tab w:val="right" w:pos="8306"/>
        </w:tabs>
        <w:spacing w:line="500" w:lineRule="exact"/>
        <w:ind w:firstLine="560" w:firstLineChars="200"/>
        <w:rPr>
          <w:rFonts w:hint="eastAsia" w:ascii="华文仿宋" w:hAnsi="华文仿宋" w:cs="华文仿宋"/>
          <w:b/>
          <w:bCs/>
          <w:color w:val="000000"/>
          <w:lang w:val="en-US" w:eastAsia="zh-CN"/>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0"/>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w:t>
            </w:r>
            <w:r>
              <w:rPr>
                <w:rFonts w:hint="eastAsia" w:ascii="仿宋" w:hAnsi="仿宋" w:eastAsia="仿宋" w:cs="仿宋"/>
                <w:color w:val="auto"/>
                <w:kern w:val="28"/>
                <w:sz w:val="24"/>
                <w:szCs w:val="24"/>
                <w:lang w:val="en-US" w:eastAsia="zh-CN"/>
              </w:rPr>
              <w:t>企业</w:t>
            </w:r>
            <w:r>
              <w:rPr>
                <w:rFonts w:hint="eastAsia" w:ascii="仿宋" w:hAnsi="仿宋" w:eastAsia="仿宋" w:cs="仿宋"/>
                <w:color w:val="auto"/>
                <w:kern w:val="28"/>
                <w:sz w:val="24"/>
                <w:szCs w:val="24"/>
              </w:rPr>
              <w:t>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6346879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70279F47">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0"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0"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18"/>
        <w:widowControl w:val="0"/>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0"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6BC5FE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392"/>
      <w:bookmarkStart w:id="120" w:name="_Toc9626"/>
      <w:bookmarkStart w:id="121" w:name="_Toc27187"/>
      <w:bookmarkStart w:id="122" w:name="_Toc27797"/>
      <w:r>
        <w:rPr>
          <w:rFonts w:hint="eastAsia" w:ascii="华文仿宋" w:hAnsi="华文仿宋" w:cs="华文仿宋"/>
          <w:color w:val="000000"/>
        </w:rPr>
        <w:t>。</w:t>
      </w:r>
    </w:p>
    <w:bookmarkEnd w:id="119"/>
    <w:bookmarkEnd w:id="120"/>
    <w:bookmarkEnd w:id="121"/>
    <w:bookmarkEnd w:id="122"/>
    <w:p w14:paraId="430391F2">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评定内容及打分标准：总分100分，每个响应人每项评分因素得分汇总即为最后得分，各项评分因素具体内容及打分标准如下：</w:t>
      </w:r>
    </w:p>
    <w:p w14:paraId="1C8562DD">
      <w:pPr>
        <w:keepNext w:val="0"/>
        <w:keepLines w:val="0"/>
        <w:pageBreakBefore w:val="0"/>
        <w:kinsoku/>
        <w:wordWrap/>
        <w:overflowPunct/>
        <w:topLinePunct w:val="0"/>
        <w:autoSpaceDE/>
        <w:autoSpaceDN/>
        <w:bidi w:val="0"/>
        <w:adjustRightInd/>
        <w:spacing w:line="320" w:lineRule="exact"/>
        <w:textAlignment w:val="auto"/>
        <w:rPr>
          <w:rFonts w:hint="eastAsia" w:ascii="华文仿宋" w:hAnsi="华文仿宋" w:eastAsia="华文仿宋" w:cs="华文仿宋"/>
          <w:color w:val="000000"/>
          <w:kern w:val="2"/>
          <w:sz w:val="28"/>
          <w:szCs w:val="28"/>
          <w:lang w:val="en-US" w:eastAsia="zh-CN" w:bidi="ar-SA"/>
        </w:rPr>
        <w:sectPr>
          <w:footerReference r:id="rId8" w:type="default"/>
          <w:pgSz w:w="11906" w:h="16839"/>
          <w:pgMar w:top="1194" w:right="1416" w:bottom="1167" w:left="1417" w:header="832" w:footer="1001" w:gutter="0"/>
          <w:pgNumType w:fmt="numberInDash" w:start="1"/>
          <w:cols w:space="720" w:num="1"/>
        </w:sectPr>
      </w:pPr>
    </w:p>
    <w:tbl>
      <w:tblPr>
        <w:tblStyle w:val="20"/>
        <w:tblW w:w="0" w:type="auto"/>
        <w:jc w:val="center"/>
        <w:tblLayout w:type="fixed"/>
        <w:tblCellMar>
          <w:top w:w="0" w:type="dxa"/>
          <w:left w:w="108" w:type="dxa"/>
          <w:bottom w:w="0" w:type="dxa"/>
          <w:right w:w="108" w:type="dxa"/>
        </w:tblCellMar>
      </w:tblPr>
      <w:tblGrid>
        <w:gridCol w:w="1828"/>
        <w:gridCol w:w="7044"/>
      </w:tblGrid>
      <w:tr w14:paraId="32B482F6">
        <w:tblPrEx>
          <w:tblCellMar>
            <w:top w:w="0" w:type="dxa"/>
            <w:left w:w="108" w:type="dxa"/>
            <w:bottom w:w="0" w:type="dxa"/>
            <w:right w:w="108" w:type="dxa"/>
          </w:tblCellMar>
        </w:tblPrEx>
        <w:trPr>
          <w:trHeight w:val="2111" w:hRule="atLeast"/>
          <w:jc w:val="center"/>
        </w:trPr>
        <w:tc>
          <w:tcPr>
            <w:tcW w:w="1828" w:type="dxa"/>
            <w:tcBorders>
              <w:top w:val="single" w:color="auto" w:sz="4" w:space="0"/>
              <w:left w:val="single" w:color="auto" w:sz="4" w:space="0"/>
              <w:bottom w:val="single" w:color="auto" w:sz="4" w:space="0"/>
              <w:right w:val="single" w:color="auto" w:sz="4" w:space="0"/>
            </w:tcBorders>
            <w:vAlign w:val="center"/>
          </w:tcPr>
          <w:p w14:paraId="4EEBF1C3">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投标报价</w:t>
            </w:r>
          </w:p>
          <w:p w14:paraId="1DA2051D">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highlight w:val="none"/>
              </w:rPr>
              <w:t>（15分）</w:t>
            </w:r>
          </w:p>
        </w:tc>
        <w:tc>
          <w:tcPr>
            <w:tcW w:w="7044" w:type="dxa"/>
            <w:tcBorders>
              <w:top w:val="single" w:color="auto" w:sz="4" w:space="0"/>
              <w:left w:val="nil"/>
              <w:bottom w:val="single" w:color="auto" w:sz="4" w:space="0"/>
              <w:right w:val="single" w:color="auto" w:sz="4" w:space="0"/>
            </w:tcBorders>
            <w:vAlign w:val="center"/>
          </w:tcPr>
          <w:p w14:paraId="6BAAFB6E">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一、评审内容</w:t>
            </w:r>
          </w:p>
          <w:p w14:paraId="197C9942">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rPr>
            </w:pPr>
            <w:r>
              <w:rPr>
                <w:rFonts w:hint="eastAsia" w:ascii="仿宋" w:hAnsi="仿宋" w:eastAsia="仿宋" w:cs="仿宋"/>
                <w:kern w:val="0"/>
                <w:sz w:val="24"/>
                <w:szCs w:val="24"/>
                <w:lang w:bidi="ar"/>
              </w:rPr>
              <w:t>报价合理性评审；</w:t>
            </w:r>
          </w:p>
          <w:p w14:paraId="5C103AD6">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二、评审标准</w:t>
            </w:r>
          </w:p>
          <w:p w14:paraId="75AE16FB">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投标报价为开标时投标人投标总报价，有效报价中最低投标报价为评标基准价，当投标单位总报价等于评标基准价时得满分，其它投标企业报价得分=评标基准价/投标报价×15</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×100。</w:t>
            </w:r>
          </w:p>
        </w:tc>
      </w:tr>
      <w:tr w14:paraId="76659F5B">
        <w:tblPrEx>
          <w:tblCellMar>
            <w:top w:w="0" w:type="dxa"/>
            <w:left w:w="108" w:type="dxa"/>
            <w:bottom w:w="0" w:type="dxa"/>
            <w:right w:w="108" w:type="dxa"/>
          </w:tblCellMar>
        </w:tblPrEx>
        <w:trPr>
          <w:trHeight w:val="1675" w:hRule="atLeast"/>
          <w:jc w:val="center"/>
        </w:trPr>
        <w:tc>
          <w:tcPr>
            <w:tcW w:w="1828" w:type="dxa"/>
            <w:tcBorders>
              <w:top w:val="single" w:color="auto" w:sz="4" w:space="0"/>
              <w:left w:val="single" w:color="auto" w:sz="4" w:space="0"/>
              <w:bottom w:val="single" w:color="auto" w:sz="4" w:space="0"/>
              <w:right w:val="single" w:color="auto" w:sz="4" w:space="0"/>
            </w:tcBorders>
            <w:vAlign w:val="center"/>
          </w:tcPr>
          <w:p w14:paraId="0B9E1943">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类似业绩</w:t>
            </w:r>
          </w:p>
          <w:p w14:paraId="5210E0DF">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5</w:t>
            </w:r>
            <w:r>
              <w:rPr>
                <w:rFonts w:hint="eastAsia" w:ascii="仿宋" w:hAnsi="仿宋" w:eastAsia="仿宋" w:cs="仿宋"/>
                <w:color w:val="000000"/>
                <w:kern w:val="0"/>
                <w:sz w:val="24"/>
                <w:szCs w:val="24"/>
                <w:highlight w:val="none"/>
              </w:rPr>
              <w:t>分）</w:t>
            </w:r>
          </w:p>
        </w:tc>
        <w:tc>
          <w:tcPr>
            <w:tcW w:w="7044" w:type="dxa"/>
            <w:tcBorders>
              <w:top w:val="single" w:color="auto" w:sz="4" w:space="0"/>
              <w:left w:val="nil"/>
              <w:bottom w:val="single" w:color="auto" w:sz="4" w:space="0"/>
              <w:right w:val="single" w:color="auto" w:sz="4" w:space="0"/>
            </w:tcBorders>
            <w:vAlign w:val="center"/>
          </w:tcPr>
          <w:p w14:paraId="36AEF858">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1、提供 2023 年 1 月 1 日以来类似项目业绩（以合同签订日期为准），每份合格业绩合同计1分，满分5分； </w:t>
            </w:r>
          </w:p>
          <w:p w14:paraId="0561076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lang w:val="en-US" w:eastAsia="zh-CN" w:bidi="ar"/>
              </w:rPr>
              <w:t xml:space="preserve">备注：须提供完整合同业绩及对应发票复印件（发票可提供服务期内任意一张），并加盖供应商公章，以上两种证明材料同时提供方可得分，否则不得分。  </w:t>
            </w:r>
          </w:p>
        </w:tc>
      </w:tr>
      <w:tr w14:paraId="251955A6">
        <w:tblPrEx>
          <w:tblCellMar>
            <w:top w:w="0" w:type="dxa"/>
            <w:left w:w="108" w:type="dxa"/>
            <w:bottom w:w="0" w:type="dxa"/>
            <w:right w:w="108" w:type="dxa"/>
          </w:tblCellMar>
        </w:tblPrEx>
        <w:trPr>
          <w:trHeight w:val="90" w:hRule="atLeast"/>
          <w:jc w:val="center"/>
        </w:trPr>
        <w:tc>
          <w:tcPr>
            <w:tcW w:w="1828" w:type="dxa"/>
            <w:tcBorders>
              <w:top w:val="single" w:color="auto" w:sz="4" w:space="0"/>
              <w:left w:val="single" w:color="auto" w:sz="4" w:space="0"/>
              <w:bottom w:val="single" w:color="auto" w:sz="4" w:space="0"/>
              <w:right w:val="single" w:color="auto" w:sz="4" w:space="0"/>
            </w:tcBorders>
            <w:vAlign w:val="center"/>
          </w:tcPr>
          <w:p w14:paraId="6D010D8A">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highlight w:val="none"/>
              </w:rPr>
              <w:t>各项应急处理预案（</w:t>
            </w:r>
            <w:r>
              <w:rPr>
                <w:rFonts w:hint="eastAsia" w:ascii="仿宋" w:hAnsi="仿宋" w:eastAsia="仿宋" w:cs="仿宋"/>
                <w:color w:val="000000"/>
                <w:kern w:val="0"/>
                <w:sz w:val="24"/>
                <w:szCs w:val="24"/>
                <w:highlight w:val="none"/>
                <w:lang w:val="en-US" w:eastAsia="zh-CN"/>
              </w:rPr>
              <w:t>9</w:t>
            </w:r>
            <w:r>
              <w:rPr>
                <w:rFonts w:hint="eastAsia" w:ascii="仿宋" w:hAnsi="仿宋" w:eastAsia="仿宋" w:cs="仿宋"/>
                <w:color w:val="000000"/>
                <w:kern w:val="0"/>
                <w:sz w:val="24"/>
                <w:szCs w:val="24"/>
                <w:highlight w:val="none"/>
              </w:rPr>
              <w:t>分）</w:t>
            </w:r>
          </w:p>
        </w:tc>
        <w:tc>
          <w:tcPr>
            <w:tcW w:w="7044" w:type="dxa"/>
            <w:tcBorders>
              <w:top w:val="single" w:color="auto" w:sz="4" w:space="0"/>
              <w:left w:val="single" w:color="auto" w:sz="4" w:space="0"/>
              <w:bottom w:val="single" w:color="auto" w:sz="4" w:space="0"/>
              <w:right w:val="single" w:color="auto" w:sz="4" w:space="0"/>
            </w:tcBorders>
            <w:noWrap/>
          </w:tcPr>
          <w:p w14:paraId="51049766">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供应商须针对本项目特点提供应急预案，方案需包括以下内容； </w:t>
            </w:r>
          </w:p>
          <w:p w14:paraId="22274B0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1、突发紧急事件：防汛防涝、消防安全、地震灾害，每提供一项得1.5分，满分4.5分，不提供不得分； </w:t>
            </w:r>
          </w:p>
          <w:p w14:paraId="357A04D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rPr>
            </w:pPr>
            <w:r>
              <w:rPr>
                <w:rFonts w:hint="eastAsia" w:ascii="仿宋" w:hAnsi="仿宋" w:eastAsia="仿宋" w:cs="仿宋"/>
                <w:color w:val="auto"/>
                <w:kern w:val="0"/>
                <w:sz w:val="24"/>
                <w:szCs w:val="24"/>
                <w:lang w:val="en-US" w:eastAsia="zh-CN" w:bidi="ar"/>
              </w:rPr>
              <w:t xml:space="preserve">2、违法事件：盗窃、打架斗殴、寻衅滋事，每提供一项得1.5分，满分4.5分，不提供不得分； </w:t>
            </w:r>
          </w:p>
        </w:tc>
      </w:tr>
      <w:tr w14:paraId="7D124CFB">
        <w:tblPrEx>
          <w:tblCellMar>
            <w:top w:w="0" w:type="dxa"/>
            <w:left w:w="108" w:type="dxa"/>
            <w:bottom w:w="0" w:type="dxa"/>
            <w:right w:w="108" w:type="dxa"/>
          </w:tblCellMar>
        </w:tblPrEx>
        <w:trPr>
          <w:trHeight w:val="3595" w:hRule="atLeast"/>
          <w:jc w:val="center"/>
        </w:trPr>
        <w:tc>
          <w:tcPr>
            <w:tcW w:w="1828" w:type="dxa"/>
            <w:tcBorders>
              <w:top w:val="single" w:color="auto" w:sz="4" w:space="0"/>
              <w:left w:val="single" w:color="auto" w:sz="4" w:space="0"/>
              <w:bottom w:val="single" w:color="auto" w:sz="4" w:space="0"/>
              <w:right w:val="nil"/>
            </w:tcBorders>
            <w:vAlign w:val="center"/>
          </w:tcPr>
          <w:p w14:paraId="315AE549">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机构建设</w:t>
            </w:r>
          </w:p>
          <w:p w14:paraId="57F78018">
            <w:pPr>
              <w:keepNext w:val="0"/>
              <w:keepLines w:val="0"/>
              <w:pageBreakBefore w:val="0"/>
              <w:kinsoku/>
              <w:wordWrap/>
              <w:overflowPunct/>
              <w:topLinePunct w:val="0"/>
              <w:autoSpaceDE/>
              <w:autoSpaceDN/>
              <w:bidi w:val="0"/>
              <w:adjustRightInd/>
              <w:snapToGrid/>
              <w:spacing w:line="288" w:lineRule="auto"/>
              <w:ind w:left="-268" w:leftChars="-95" w:firstLine="0" w:firstLineChars="0"/>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highlight w:val="none"/>
                <w:lang w:val="en-US" w:eastAsia="zh-CN"/>
              </w:rPr>
              <w:t xml:space="preserve"> </w:t>
            </w:r>
            <w:r>
              <w:rPr>
                <w:rFonts w:hint="eastAsia" w:ascii="仿宋" w:hAnsi="仿宋" w:eastAsia="仿宋" w:cs="仿宋"/>
                <w:color w:val="000000"/>
                <w:kern w:val="0"/>
                <w:sz w:val="24"/>
                <w:szCs w:val="24"/>
                <w:highlight w:val="none"/>
              </w:rPr>
              <w:t>（15分）</w:t>
            </w:r>
          </w:p>
        </w:tc>
        <w:tc>
          <w:tcPr>
            <w:tcW w:w="7044" w:type="dxa"/>
            <w:tcBorders>
              <w:top w:val="single" w:color="auto" w:sz="4" w:space="0"/>
              <w:left w:val="single" w:color="auto" w:sz="4" w:space="0"/>
              <w:bottom w:val="single" w:color="auto" w:sz="4" w:space="0"/>
              <w:right w:val="single" w:color="auto" w:sz="4" w:space="0"/>
            </w:tcBorders>
            <w:vAlign w:val="center"/>
          </w:tcPr>
          <w:p w14:paraId="2E7F1011">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一、评审内容</w:t>
            </w:r>
          </w:p>
          <w:p w14:paraId="7C04E6F9">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项目经理、安保、</w:t>
            </w:r>
            <w:r>
              <w:rPr>
                <w:rFonts w:hint="eastAsia" w:ascii="仿宋" w:hAnsi="仿宋" w:eastAsia="仿宋" w:cs="仿宋"/>
                <w:kern w:val="0"/>
                <w:sz w:val="24"/>
                <w:szCs w:val="24"/>
                <w:lang w:val="en-US" w:eastAsia="zh-CN" w:bidi="ar"/>
              </w:rPr>
              <w:t>水电工</w:t>
            </w:r>
            <w:r>
              <w:rPr>
                <w:rFonts w:hint="eastAsia" w:ascii="仿宋" w:hAnsi="仿宋" w:eastAsia="仿宋" w:cs="仿宋"/>
                <w:kern w:val="0"/>
                <w:sz w:val="24"/>
                <w:szCs w:val="24"/>
                <w:lang w:bidi="ar"/>
              </w:rPr>
              <w:t>资质配置。</w:t>
            </w:r>
          </w:p>
          <w:p w14:paraId="44E08C68">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仿宋" w:hAnsi="仿宋" w:eastAsia="仿宋" w:cs="仿宋"/>
                <w:b/>
                <w:bCs/>
                <w:sz w:val="24"/>
                <w:szCs w:val="24"/>
              </w:rPr>
            </w:pPr>
            <w:r>
              <w:rPr>
                <w:rFonts w:hint="eastAsia" w:ascii="仿宋" w:hAnsi="仿宋" w:eastAsia="仿宋" w:cs="仿宋"/>
                <w:b/>
                <w:bCs/>
                <w:color w:val="000000"/>
                <w:kern w:val="0"/>
                <w:sz w:val="24"/>
                <w:szCs w:val="24"/>
              </w:rPr>
              <w:t>二、评审标准</w:t>
            </w:r>
          </w:p>
          <w:p w14:paraId="39437F19">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1、项目经理（6分）：3年及以上物业经验得4分，每增加1年加0.5分，最高加2分，需提供</w:t>
            </w:r>
            <w:r>
              <w:rPr>
                <w:rFonts w:hint="eastAsia" w:ascii="仿宋" w:hAnsi="仿宋" w:eastAsia="仿宋" w:cs="仿宋"/>
                <w:kern w:val="0"/>
                <w:sz w:val="24"/>
                <w:szCs w:val="24"/>
                <w:lang w:val="en-US" w:eastAsia="zh-CN" w:bidi="ar"/>
              </w:rPr>
              <w:t>相关</w:t>
            </w:r>
            <w:r>
              <w:rPr>
                <w:rFonts w:hint="eastAsia" w:ascii="仿宋" w:hAnsi="仿宋" w:eastAsia="仿宋" w:cs="仿宋"/>
                <w:kern w:val="0"/>
                <w:sz w:val="24"/>
                <w:szCs w:val="24"/>
                <w:lang w:bidi="ar"/>
              </w:rPr>
              <w:t>证明</w:t>
            </w:r>
            <w:r>
              <w:rPr>
                <w:rFonts w:hint="eastAsia" w:ascii="仿宋" w:hAnsi="仿宋" w:eastAsia="仿宋" w:cs="仿宋"/>
                <w:kern w:val="0"/>
                <w:sz w:val="24"/>
                <w:szCs w:val="24"/>
                <w:lang w:val="en-US" w:eastAsia="zh-CN" w:bidi="ar"/>
              </w:rPr>
              <w:t>资料</w:t>
            </w:r>
            <w:r>
              <w:rPr>
                <w:rFonts w:hint="eastAsia" w:ascii="仿宋" w:hAnsi="仿宋" w:eastAsia="仿宋" w:cs="仿宋"/>
                <w:kern w:val="0"/>
                <w:sz w:val="24"/>
                <w:szCs w:val="24"/>
                <w:lang w:bidi="ar"/>
              </w:rPr>
              <w:t>；</w:t>
            </w:r>
          </w:p>
          <w:p w14:paraId="495A8ABD">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2、安保人员（</w:t>
            </w:r>
            <w:r>
              <w:rPr>
                <w:rFonts w:hint="eastAsia" w:ascii="仿宋" w:hAnsi="仿宋" w:eastAsia="仿宋" w:cs="仿宋"/>
                <w:kern w:val="0"/>
                <w:sz w:val="24"/>
                <w:szCs w:val="24"/>
                <w:lang w:val="en-US" w:eastAsia="zh-CN" w:bidi="ar"/>
              </w:rPr>
              <w:t>7</w:t>
            </w:r>
            <w:r>
              <w:rPr>
                <w:rFonts w:hint="eastAsia" w:ascii="仿宋" w:hAnsi="仿宋" w:eastAsia="仿宋" w:cs="仿宋"/>
                <w:kern w:val="0"/>
                <w:sz w:val="24"/>
                <w:szCs w:val="24"/>
                <w:lang w:bidi="ar"/>
              </w:rPr>
              <w:t>分）：配备有效《保安员证》人员，1人1分</w:t>
            </w:r>
            <w:r>
              <w:rPr>
                <w:rFonts w:hint="eastAsia" w:ascii="仿宋" w:hAnsi="仿宋" w:eastAsia="仿宋" w:cs="仿宋"/>
                <w:kern w:val="0"/>
                <w:sz w:val="24"/>
                <w:szCs w:val="24"/>
                <w:lang w:val="en-US" w:eastAsia="zh-CN" w:bidi="ar"/>
              </w:rPr>
              <w:t>,</w:t>
            </w:r>
            <w:r>
              <w:rPr>
                <w:rFonts w:hint="eastAsia" w:ascii="仿宋" w:hAnsi="仿宋" w:eastAsia="仿宋" w:cs="仿宋"/>
                <w:kern w:val="0"/>
                <w:sz w:val="24"/>
                <w:szCs w:val="24"/>
                <w:lang w:bidi="ar"/>
              </w:rPr>
              <w:t>最高</w:t>
            </w:r>
            <w:r>
              <w:rPr>
                <w:rFonts w:hint="eastAsia" w:ascii="仿宋" w:hAnsi="仿宋" w:eastAsia="仿宋" w:cs="仿宋"/>
                <w:kern w:val="0"/>
                <w:sz w:val="24"/>
                <w:szCs w:val="24"/>
                <w:lang w:val="en-US" w:eastAsia="zh-CN" w:bidi="ar"/>
              </w:rPr>
              <w:t>7</w:t>
            </w:r>
            <w:r>
              <w:rPr>
                <w:rFonts w:hint="eastAsia" w:ascii="仿宋" w:hAnsi="仿宋" w:eastAsia="仿宋" w:cs="仿宋"/>
                <w:kern w:val="0"/>
                <w:sz w:val="24"/>
                <w:szCs w:val="24"/>
                <w:lang w:bidi="ar"/>
              </w:rPr>
              <w:t>分，证件过期、无证不得分；</w:t>
            </w:r>
          </w:p>
          <w:p w14:paraId="08992C68">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r>
              <w:rPr>
                <w:rFonts w:hint="eastAsia" w:ascii="仿宋" w:hAnsi="仿宋" w:eastAsia="仿宋" w:cs="仿宋"/>
                <w:kern w:val="0"/>
                <w:sz w:val="24"/>
                <w:szCs w:val="24"/>
                <w:lang w:bidi="ar"/>
              </w:rPr>
              <w:t>3、</w:t>
            </w:r>
            <w:r>
              <w:rPr>
                <w:rFonts w:hint="eastAsia" w:ascii="仿宋" w:hAnsi="仿宋" w:eastAsia="仿宋" w:cs="仿宋"/>
                <w:kern w:val="0"/>
                <w:sz w:val="24"/>
                <w:szCs w:val="24"/>
                <w:lang w:val="en-US" w:eastAsia="zh-CN" w:bidi="ar"/>
              </w:rPr>
              <w:t>电工</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t>分）：</w:t>
            </w:r>
            <w:r>
              <w:rPr>
                <w:rFonts w:hint="eastAsia" w:ascii="仿宋" w:hAnsi="仿宋" w:eastAsia="仿宋" w:cs="仿宋"/>
                <w:kern w:val="0"/>
                <w:sz w:val="24"/>
                <w:szCs w:val="24"/>
                <w:lang w:val="en-US" w:eastAsia="zh-CN" w:bidi="ar"/>
              </w:rPr>
              <w:t>需提供特种作业操作证（低压电工作业）</w:t>
            </w:r>
          </w:p>
          <w:p w14:paraId="25E2EC0E">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kern w:val="0"/>
                <w:sz w:val="24"/>
                <w:szCs w:val="24"/>
                <w:lang w:bidi="ar"/>
              </w:rPr>
              <w:t>需提供</w:t>
            </w:r>
            <w:r>
              <w:rPr>
                <w:rFonts w:hint="eastAsia" w:ascii="仿宋" w:hAnsi="仿宋" w:eastAsia="仿宋" w:cs="仿宋"/>
                <w:kern w:val="0"/>
                <w:sz w:val="24"/>
                <w:szCs w:val="24"/>
                <w:lang w:val="en-US" w:eastAsia="zh-CN" w:bidi="ar"/>
              </w:rPr>
              <w:t>相关</w:t>
            </w:r>
            <w:r>
              <w:rPr>
                <w:rFonts w:hint="eastAsia" w:ascii="仿宋" w:hAnsi="仿宋" w:eastAsia="仿宋" w:cs="仿宋"/>
                <w:kern w:val="0"/>
                <w:sz w:val="24"/>
                <w:szCs w:val="24"/>
                <w:lang w:bidi="ar"/>
              </w:rPr>
              <w:t>证明</w:t>
            </w:r>
            <w:r>
              <w:rPr>
                <w:rFonts w:hint="eastAsia" w:ascii="仿宋" w:hAnsi="仿宋" w:eastAsia="仿宋" w:cs="仿宋"/>
                <w:kern w:val="0"/>
                <w:sz w:val="24"/>
                <w:szCs w:val="24"/>
                <w:lang w:val="en-US" w:eastAsia="zh-CN" w:bidi="ar"/>
              </w:rPr>
              <w:t>资料，</w:t>
            </w:r>
            <w:r>
              <w:rPr>
                <w:rFonts w:hint="eastAsia" w:ascii="仿宋" w:hAnsi="仿宋" w:eastAsia="仿宋" w:cs="仿宋"/>
                <w:kern w:val="0"/>
                <w:sz w:val="24"/>
                <w:szCs w:val="24"/>
                <w:lang w:bidi="ar"/>
              </w:rPr>
              <w:t>证件过期、无证不得分</w:t>
            </w:r>
            <w:r>
              <w:rPr>
                <w:rFonts w:hint="eastAsia" w:ascii="仿宋" w:hAnsi="仿宋" w:eastAsia="仿宋" w:cs="仿宋"/>
                <w:sz w:val="24"/>
                <w:szCs w:val="24"/>
              </w:rPr>
              <w:t>。</w:t>
            </w:r>
          </w:p>
        </w:tc>
      </w:tr>
      <w:tr w14:paraId="15C9D217">
        <w:tblPrEx>
          <w:tblCellMar>
            <w:top w:w="0" w:type="dxa"/>
            <w:left w:w="108" w:type="dxa"/>
            <w:bottom w:w="0" w:type="dxa"/>
            <w:right w:w="108" w:type="dxa"/>
          </w:tblCellMar>
        </w:tblPrEx>
        <w:trPr>
          <w:trHeight w:val="4731" w:hRule="atLeast"/>
          <w:jc w:val="center"/>
        </w:trPr>
        <w:tc>
          <w:tcPr>
            <w:tcW w:w="1828" w:type="dxa"/>
            <w:tcBorders>
              <w:top w:val="single" w:color="auto" w:sz="4" w:space="0"/>
              <w:left w:val="single" w:color="auto" w:sz="4" w:space="0"/>
              <w:bottom w:val="single" w:color="auto" w:sz="4" w:space="0"/>
              <w:right w:val="nil"/>
            </w:tcBorders>
            <w:vAlign w:val="center"/>
          </w:tcPr>
          <w:p w14:paraId="6315DD12">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综合服务方案</w:t>
            </w:r>
          </w:p>
          <w:p w14:paraId="421B585F">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9</w:t>
            </w:r>
            <w:r>
              <w:rPr>
                <w:rFonts w:hint="eastAsia" w:ascii="仿宋" w:hAnsi="仿宋" w:eastAsia="仿宋" w:cs="仿宋"/>
                <w:color w:val="000000"/>
                <w:kern w:val="0"/>
                <w:sz w:val="24"/>
                <w:szCs w:val="24"/>
              </w:rPr>
              <w:t>分）</w:t>
            </w:r>
          </w:p>
        </w:tc>
        <w:tc>
          <w:tcPr>
            <w:tcW w:w="7044" w:type="dxa"/>
            <w:tcBorders>
              <w:top w:val="single" w:color="auto" w:sz="4" w:space="0"/>
              <w:left w:val="single" w:color="auto" w:sz="4" w:space="0"/>
              <w:bottom w:val="single" w:color="auto" w:sz="4" w:space="0"/>
              <w:right w:val="single" w:color="auto" w:sz="4" w:space="0"/>
            </w:tcBorders>
            <w:noWrap/>
            <w:vAlign w:val="center"/>
          </w:tcPr>
          <w:p w14:paraId="01FF6CD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一、评审内容 </w:t>
            </w:r>
          </w:p>
          <w:p w14:paraId="6FC98CF9">
            <w:pPr>
              <w:keepNext w:val="0"/>
              <w:keepLines w:val="0"/>
              <w:pageBreakBefore w:val="0"/>
              <w:kinsoku/>
              <w:wordWrap/>
              <w:overflowPunct/>
              <w:topLinePunct w:val="0"/>
              <w:autoSpaceDE/>
              <w:autoSpaceDN/>
              <w:bidi w:val="0"/>
              <w:adjustRightInd/>
              <w:snapToGrid/>
              <w:spacing w:line="288" w:lineRule="auto"/>
              <w:jc w:val="both"/>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针对本项目详细列出</w:t>
            </w:r>
            <w:r>
              <w:rPr>
                <w:rFonts w:hint="eastAsia" w:ascii="仿宋" w:hAnsi="仿宋" w:eastAsia="仿宋" w:cs="仿宋"/>
                <w:color w:val="auto"/>
                <w:kern w:val="0"/>
                <w:sz w:val="24"/>
                <w:szCs w:val="24"/>
              </w:rPr>
              <w:t>综合服务方案</w:t>
            </w:r>
            <w:r>
              <w:rPr>
                <w:rFonts w:hint="eastAsia" w:ascii="仿宋" w:hAnsi="仿宋" w:eastAsia="仿宋" w:cs="仿宋"/>
                <w:color w:val="000000"/>
                <w:kern w:val="0"/>
                <w:sz w:val="24"/>
                <w:szCs w:val="24"/>
                <w:lang w:val="en-US" w:eastAsia="zh-CN" w:bidi="ar"/>
              </w:rPr>
              <w:t>，方案内容包含：①</w:t>
            </w:r>
            <w:r>
              <w:rPr>
                <w:rFonts w:hint="eastAsia" w:ascii="仿宋" w:hAnsi="仿宋" w:eastAsia="仿宋" w:cs="仿宋"/>
                <w:color w:val="000000"/>
                <w:kern w:val="0"/>
                <w:sz w:val="24"/>
                <w:szCs w:val="24"/>
              </w:rPr>
              <w:t>秩序维</w:t>
            </w:r>
            <w:r>
              <w:rPr>
                <w:rFonts w:hint="eastAsia" w:ascii="仿宋" w:hAnsi="仿宋" w:eastAsia="仿宋" w:cs="仿宋"/>
                <w:b w:val="0"/>
                <w:bCs w:val="0"/>
                <w:kern w:val="0"/>
                <w:sz w:val="24"/>
                <w:szCs w:val="24"/>
                <w:lang w:val="en-US" w:eastAsia="zh-CN" w:bidi="ar-SA"/>
              </w:rPr>
              <w:t>护管理方案（含车辆停放秩序及交通疏导方案）</w:t>
            </w:r>
            <w:r>
              <w:rPr>
                <w:rFonts w:hint="eastAsia" w:ascii="仿宋" w:hAnsi="仿宋" w:eastAsia="仿宋" w:cs="仿宋"/>
                <w:color w:val="000000"/>
                <w:kern w:val="0"/>
                <w:sz w:val="24"/>
                <w:szCs w:val="24"/>
                <w:lang w:val="en-US" w:eastAsia="zh-CN" w:bidi="ar"/>
              </w:rPr>
              <w:t>②供电系统运行管理方案③安防系统运行维护管理方案。</w:t>
            </w:r>
          </w:p>
          <w:p w14:paraId="413D3E8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二、评审标准 </w:t>
            </w:r>
          </w:p>
          <w:p w14:paraId="7109833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1、完整性：方案必须全面，对评审内容中的各项要求有详细描述； </w:t>
            </w:r>
          </w:p>
          <w:p w14:paraId="3805B67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2、可实施性：切合本项目实际情况，实施步骤清晰、合理； </w:t>
            </w:r>
          </w:p>
          <w:p w14:paraId="0ECE02C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3、针对性：方案能够紧扣项目实际情况，内容科学合理。 </w:t>
            </w:r>
          </w:p>
          <w:p w14:paraId="76470A8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lang w:val="en-US"/>
              </w:rPr>
            </w:pPr>
            <w:r>
              <w:rPr>
                <w:rFonts w:hint="eastAsia" w:ascii="仿宋" w:hAnsi="仿宋" w:eastAsia="仿宋" w:cs="仿宋"/>
                <w:b/>
                <w:bCs/>
                <w:color w:val="000000"/>
                <w:kern w:val="0"/>
                <w:sz w:val="24"/>
                <w:szCs w:val="24"/>
                <w:lang w:val="en-US" w:eastAsia="zh-CN" w:bidi="ar"/>
              </w:rPr>
              <w:t>三、赋分标准（满分9分）</w:t>
            </w:r>
          </w:p>
          <w:p w14:paraId="70AAB7D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①</w:t>
            </w:r>
            <w:r>
              <w:rPr>
                <w:rFonts w:hint="eastAsia" w:ascii="仿宋" w:hAnsi="仿宋" w:eastAsia="仿宋" w:cs="仿宋"/>
                <w:b w:val="0"/>
                <w:bCs w:val="0"/>
                <w:kern w:val="0"/>
                <w:sz w:val="24"/>
                <w:szCs w:val="24"/>
                <w:lang w:val="en-US" w:eastAsia="zh-CN" w:bidi="ar-SA"/>
              </w:rPr>
              <w:t>秩序维护管理方案</w:t>
            </w:r>
            <w:r>
              <w:rPr>
                <w:rFonts w:hint="eastAsia" w:ascii="仿宋" w:hAnsi="仿宋" w:eastAsia="仿宋" w:cs="仿宋"/>
                <w:color w:val="000000"/>
                <w:kern w:val="0"/>
                <w:sz w:val="24"/>
                <w:szCs w:val="24"/>
                <w:lang w:val="en-US" w:eastAsia="zh-CN" w:bidi="ar"/>
              </w:rPr>
              <w:t xml:space="preserve">：每完全满足一个评审标准得1分，满分 3 分； </w:t>
            </w:r>
          </w:p>
          <w:p w14:paraId="7CCDAC5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②供电系统运行管理方案:每完全满足一个评审标准得 1分，满分3分； </w:t>
            </w:r>
          </w:p>
          <w:p w14:paraId="52A16C6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③安防系统运行维护管理方案:每完全满足一个评审标准得1分，满分3分。</w:t>
            </w:r>
          </w:p>
        </w:tc>
      </w:tr>
      <w:tr w14:paraId="0FBA7F5B">
        <w:tblPrEx>
          <w:tblCellMar>
            <w:top w:w="0" w:type="dxa"/>
            <w:left w:w="108" w:type="dxa"/>
            <w:bottom w:w="0" w:type="dxa"/>
            <w:right w:w="108" w:type="dxa"/>
          </w:tblCellMar>
        </w:tblPrEx>
        <w:trPr>
          <w:trHeight w:val="661" w:hRule="atLeast"/>
          <w:jc w:val="center"/>
        </w:trPr>
        <w:tc>
          <w:tcPr>
            <w:tcW w:w="1828" w:type="dxa"/>
            <w:tcBorders>
              <w:top w:val="single" w:color="auto" w:sz="4" w:space="0"/>
              <w:left w:val="single" w:color="auto" w:sz="4" w:space="0"/>
              <w:bottom w:val="single" w:color="auto" w:sz="4" w:space="0"/>
              <w:right w:val="single" w:color="auto" w:sz="4" w:space="0"/>
            </w:tcBorders>
            <w:noWrap/>
            <w:vAlign w:val="center"/>
          </w:tcPr>
          <w:p w14:paraId="0C0E23F1">
            <w:pPr>
              <w:keepNext w:val="0"/>
              <w:keepLines w:val="0"/>
              <w:pageBreakBefore w:val="0"/>
              <w:kinsoku/>
              <w:wordWrap/>
              <w:overflowPunct/>
              <w:topLinePunct w:val="0"/>
              <w:autoSpaceDE/>
              <w:autoSpaceDN/>
              <w:bidi w:val="0"/>
              <w:adjustRightInd/>
              <w:snapToGrid/>
              <w:spacing w:line="288" w:lineRule="auto"/>
              <w:ind w:left="0" w:leftChars="0" w:firstLine="220" w:firstLineChars="91"/>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服务承诺</w:t>
            </w:r>
          </w:p>
          <w:p w14:paraId="6C6B4DD4">
            <w:pPr>
              <w:keepNext w:val="0"/>
              <w:keepLines w:val="0"/>
              <w:pageBreakBefore w:val="0"/>
              <w:kinsoku/>
              <w:wordWrap/>
              <w:overflowPunct/>
              <w:topLinePunct w:val="0"/>
              <w:autoSpaceDE/>
              <w:autoSpaceDN/>
              <w:bidi w:val="0"/>
              <w:adjustRightInd/>
              <w:snapToGrid/>
              <w:spacing w:line="288" w:lineRule="auto"/>
              <w:ind w:left="0" w:leftChars="0" w:firstLine="220" w:firstLineChars="91"/>
              <w:jc w:val="both"/>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分）</w:t>
            </w:r>
          </w:p>
        </w:tc>
        <w:tc>
          <w:tcPr>
            <w:tcW w:w="7044" w:type="dxa"/>
            <w:tcBorders>
              <w:top w:val="single" w:color="auto" w:sz="4" w:space="0"/>
              <w:left w:val="nil"/>
              <w:bottom w:val="single" w:color="auto" w:sz="4" w:space="0"/>
              <w:right w:val="single" w:color="auto" w:sz="4" w:space="0"/>
            </w:tcBorders>
            <w:noWrap/>
            <w:vAlign w:val="bottom"/>
          </w:tcPr>
          <w:p w14:paraId="6B95AB1C">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一、评审内容</w:t>
            </w:r>
          </w:p>
          <w:p w14:paraId="67D23CFE">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kern w:val="0"/>
                <w:sz w:val="24"/>
                <w:szCs w:val="24"/>
                <w:lang w:bidi="ar"/>
              </w:rPr>
              <w:t>服务保障、顶岗、应急储备承诺。</w:t>
            </w:r>
          </w:p>
          <w:p w14:paraId="077AC4CD">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仿宋" w:hAnsi="仿宋" w:eastAsia="仿宋" w:cs="仿宋"/>
                <w:b/>
                <w:bCs/>
                <w:kern w:val="0"/>
                <w:sz w:val="24"/>
                <w:szCs w:val="24"/>
                <w:lang w:bidi="ar"/>
              </w:rPr>
            </w:pPr>
            <w:r>
              <w:rPr>
                <w:rFonts w:hint="eastAsia" w:ascii="仿宋" w:hAnsi="仿宋" w:eastAsia="仿宋" w:cs="仿宋"/>
                <w:b/>
                <w:bCs/>
                <w:color w:val="000000"/>
                <w:kern w:val="0"/>
                <w:sz w:val="24"/>
                <w:szCs w:val="24"/>
              </w:rPr>
              <w:t>二、评审标准</w:t>
            </w:r>
          </w:p>
          <w:p w14:paraId="0BDCAEDD">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逐条核验，有明确书面承诺即得分，无承诺不得分：</w:t>
            </w:r>
          </w:p>
          <w:p w14:paraId="2C2D0537">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1、承诺接受采购人日常考核、监督、</w:t>
            </w:r>
            <w:r>
              <w:rPr>
                <w:rFonts w:hint="eastAsia" w:ascii="仿宋" w:hAnsi="仿宋" w:eastAsia="仿宋" w:cs="仿宋"/>
                <w:kern w:val="0"/>
                <w:sz w:val="24"/>
                <w:szCs w:val="24"/>
                <w:lang w:eastAsia="zh-CN" w:bidi="ar"/>
              </w:rPr>
              <w:t>及时</w:t>
            </w:r>
            <w:r>
              <w:rPr>
                <w:rFonts w:hint="eastAsia" w:ascii="仿宋" w:hAnsi="仿宋" w:eastAsia="仿宋" w:cs="仿宋"/>
                <w:kern w:val="0"/>
                <w:sz w:val="24"/>
                <w:szCs w:val="24"/>
                <w:lang w:bidi="ar"/>
              </w:rPr>
              <w:t>整改，得</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t>分；</w:t>
            </w:r>
          </w:p>
          <w:p w14:paraId="1A77AE8D">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kern w:val="0"/>
                <w:sz w:val="24"/>
                <w:szCs w:val="24"/>
                <w:lang w:bidi="ar"/>
              </w:rPr>
              <w:t>2、承诺人员离岗</w:t>
            </w:r>
            <w:r>
              <w:rPr>
                <w:rFonts w:hint="eastAsia" w:ascii="仿宋" w:hAnsi="仿宋" w:eastAsia="仿宋" w:cs="仿宋"/>
                <w:kern w:val="0"/>
                <w:sz w:val="24"/>
                <w:szCs w:val="24"/>
                <w:lang w:eastAsia="zh-CN" w:bidi="ar"/>
              </w:rPr>
              <w:t>及时</w:t>
            </w:r>
            <w:r>
              <w:rPr>
                <w:rFonts w:hint="eastAsia" w:ascii="仿宋" w:hAnsi="仿宋" w:eastAsia="仿宋" w:cs="仿宋"/>
                <w:kern w:val="0"/>
                <w:sz w:val="24"/>
                <w:szCs w:val="24"/>
                <w:lang w:bidi="ar"/>
              </w:rPr>
              <w:t>顶岗、服务零中断，得</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t>分；</w:t>
            </w:r>
          </w:p>
        </w:tc>
      </w:tr>
      <w:tr w14:paraId="17B6FAF9">
        <w:tblPrEx>
          <w:tblCellMar>
            <w:top w:w="0" w:type="dxa"/>
            <w:left w:w="108" w:type="dxa"/>
            <w:bottom w:w="0" w:type="dxa"/>
            <w:right w:w="108" w:type="dxa"/>
          </w:tblCellMar>
        </w:tblPrEx>
        <w:trPr>
          <w:trHeight w:val="1532" w:hRule="atLeast"/>
          <w:jc w:val="center"/>
        </w:trPr>
        <w:tc>
          <w:tcPr>
            <w:tcW w:w="1828" w:type="dxa"/>
            <w:tcBorders>
              <w:top w:val="single" w:color="auto" w:sz="4" w:space="0"/>
              <w:left w:val="single" w:color="auto" w:sz="4" w:space="0"/>
              <w:bottom w:val="single" w:color="auto" w:sz="4" w:space="0"/>
              <w:right w:val="single" w:color="auto" w:sz="4" w:space="0"/>
            </w:tcBorders>
            <w:noWrap/>
            <w:vAlign w:val="center"/>
          </w:tcPr>
          <w:p w14:paraId="1207301A">
            <w:pPr>
              <w:keepNext w:val="0"/>
              <w:keepLines w:val="0"/>
              <w:pageBreakBefore w:val="0"/>
              <w:widowControl/>
              <w:kinsoku/>
              <w:wordWrap/>
              <w:overflowPunct/>
              <w:topLinePunct w:val="0"/>
              <w:autoSpaceDE/>
              <w:autoSpaceDN/>
              <w:bidi w:val="0"/>
              <w:adjustRightInd/>
              <w:snapToGrid/>
              <w:spacing w:line="288" w:lineRule="auto"/>
              <w:ind w:left="0" w:leftChars="0" w:firstLine="220" w:firstLineChars="91"/>
              <w:jc w:val="both"/>
              <w:textAlignment w:val="auto"/>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增值服务</w:t>
            </w:r>
          </w:p>
          <w:p w14:paraId="00B475CB">
            <w:pPr>
              <w:keepNext w:val="0"/>
              <w:keepLines w:val="0"/>
              <w:pageBreakBefore w:val="0"/>
              <w:widowControl/>
              <w:kinsoku/>
              <w:wordWrap/>
              <w:overflowPunct/>
              <w:topLinePunct w:val="0"/>
              <w:autoSpaceDE/>
              <w:autoSpaceDN/>
              <w:bidi w:val="0"/>
              <w:adjustRightInd/>
              <w:snapToGrid/>
              <w:spacing w:line="288" w:lineRule="auto"/>
              <w:ind w:left="0" w:leftChars="0" w:firstLine="220" w:firstLineChars="91"/>
              <w:jc w:val="both"/>
              <w:textAlignment w:val="auto"/>
              <w:rPr>
                <w:rFonts w:hint="eastAsia" w:ascii="仿宋" w:hAnsi="仿宋" w:eastAsia="仿宋" w:cs="仿宋"/>
                <w:color w:val="000000"/>
                <w:kern w:val="0"/>
                <w:sz w:val="24"/>
                <w:szCs w:val="24"/>
              </w:rPr>
            </w:pPr>
            <w:r>
              <w:rPr>
                <w:rFonts w:hint="eastAsia" w:ascii="仿宋" w:hAnsi="仿宋" w:eastAsia="仿宋" w:cs="仿宋"/>
                <w:color w:val="auto"/>
                <w:kern w:val="0"/>
                <w:sz w:val="24"/>
                <w:szCs w:val="24"/>
                <w:lang w:bidi="ar"/>
              </w:rPr>
              <w:t>（</w:t>
            </w:r>
            <w:r>
              <w:rPr>
                <w:rFonts w:hint="eastAsia" w:ascii="仿宋" w:hAnsi="仿宋" w:eastAsia="仿宋" w:cs="仿宋"/>
                <w:color w:val="auto"/>
                <w:kern w:val="0"/>
                <w:sz w:val="24"/>
                <w:szCs w:val="24"/>
                <w:lang w:val="en-US" w:eastAsia="zh-CN" w:bidi="ar"/>
              </w:rPr>
              <w:t>5</w:t>
            </w:r>
            <w:r>
              <w:rPr>
                <w:rFonts w:hint="eastAsia" w:ascii="仿宋" w:hAnsi="仿宋" w:eastAsia="仿宋" w:cs="仿宋"/>
                <w:color w:val="auto"/>
                <w:kern w:val="0"/>
                <w:sz w:val="24"/>
                <w:szCs w:val="24"/>
                <w:lang w:bidi="ar"/>
              </w:rPr>
              <w:t>分）</w:t>
            </w:r>
          </w:p>
        </w:tc>
        <w:tc>
          <w:tcPr>
            <w:tcW w:w="7044" w:type="dxa"/>
            <w:tcBorders>
              <w:top w:val="single" w:color="auto" w:sz="4" w:space="0"/>
              <w:left w:val="nil"/>
              <w:bottom w:val="single" w:color="auto" w:sz="4" w:space="0"/>
              <w:right w:val="single" w:color="auto" w:sz="4" w:space="0"/>
            </w:tcBorders>
            <w:noWrap/>
            <w:vAlign w:val="bottom"/>
          </w:tcPr>
          <w:p w14:paraId="25E85CF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w:t>
            </w:r>
            <w:r>
              <w:rPr>
                <w:rFonts w:hint="eastAsia" w:ascii="仿宋" w:hAnsi="仿宋" w:eastAsia="仿宋" w:cs="仿宋"/>
                <w:b w:val="0"/>
                <w:bCs w:val="0"/>
                <w:sz w:val="24"/>
                <w:szCs w:val="24"/>
                <w:lang w:val="en-US" w:eastAsia="zh-CN"/>
              </w:rPr>
              <w:t>承诺</w:t>
            </w:r>
            <w:r>
              <w:rPr>
                <w:rFonts w:hint="eastAsia" w:ascii="仿宋" w:hAnsi="仿宋" w:eastAsia="仿宋" w:cs="仿宋"/>
                <w:b w:val="0"/>
                <w:bCs w:val="0"/>
                <w:sz w:val="24"/>
                <w:szCs w:val="24"/>
              </w:rPr>
              <w:t>项目增值优化服务措施（满分5分，每项1分，最高5分）</w:t>
            </w:r>
          </w:p>
          <w:p w14:paraId="0F0D569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sz w:val="24"/>
                <w:szCs w:val="24"/>
              </w:rPr>
            </w:pPr>
            <w:r>
              <w:rPr>
                <w:rFonts w:hint="eastAsia" w:ascii="仿宋" w:hAnsi="仿宋" w:eastAsia="仿宋" w:cs="仿宋"/>
                <w:b w:val="0"/>
                <w:bCs w:val="0"/>
                <w:kern w:val="0"/>
                <w:sz w:val="24"/>
                <w:szCs w:val="24"/>
                <w:lang w:val="en-US" w:eastAsia="zh-CN" w:bidi="ar"/>
              </w:rPr>
              <w:t>计分项如下：</w:t>
            </w:r>
          </w:p>
          <w:p w14:paraId="75ABC2D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sz w:val="24"/>
                <w:szCs w:val="24"/>
              </w:rPr>
            </w:pPr>
            <w:r>
              <w:rPr>
                <w:rFonts w:hint="eastAsia" w:ascii="仿宋" w:hAnsi="仿宋" w:eastAsia="仿宋" w:cs="仿宋"/>
                <w:b w:val="0"/>
                <w:bCs w:val="0"/>
                <w:kern w:val="0"/>
                <w:sz w:val="24"/>
                <w:szCs w:val="24"/>
                <w:lang w:val="en-US" w:eastAsia="zh-CN" w:bidi="ar"/>
              </w:rPr>
              <w:t>①承诺</w:t>
            </w:r>
            <w:r>
              <w:rPr>
                <w:rStyle w:val="23"/>
                <w:rFonts w:hint="eastAsia" w:ascii="仿宋" w:hAnsi="仿宋" w:eastAsia="仿宋" w:cs="仿宋"/>
                <w:b w:val="0"/>
                <w:bCs w:val="0"/>
                <w:kern w:val="0"/>
                <w:sz w:val="24"/>
                <w:szCs w:val="24"/>
                <w:lang w:val="en-US" w:eastAsia="zh-CN" w:bidi="ar"/>
              </w:rPr>
              <w:t>延时值守保障服务</w:t>
            </w:r>
            <w:r>
              <w:rPr>
                <w:rFonts w:hint="eastAsia" w:ascii="仿宋" w:hAnsi="仿宋" w:eastAsia="仿宋" w:cs="仿宋"/>
                <w:b w:val="0"/>
                <w:bCs w:val="0"/>
                <w:kern w:val="0"/>
                <w:sz w:val="24"/>
                <w:szCs w:val="24"/>
                <w:lang w:val="en-US" w:eastAsia="zh-CN" w:bidi="ar"/>
              </w:rPr>
              <w:t>：提供全天候延时安保、保洁、应急值守增值服务，措施具体，得1分；</w:t>
            </w:r>
          </w:p>
          <w:p w14:paraId="62550E42">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sz w:val="24"/>
                <w:szCs w:val="24"/>
              </w:rPr>
            </w:pPr>
            <w:r>
              <w:rPr>
                <w:rFonts w:hint="eastAsia" w:ascii="仿宋" w:hAnsi="仿宋" w:eastAsia="仿宋" w:cs="仿宋"/>
                <w:b w:val="0"/>
                <w:bCs w:val="0"/>
                <w:kern w:val="0"/>
                <w:sz w:val="24"/>
                <w:szCs w:val="24"/>
                <w:lang w:val="en-US" w:eastAsia="zh-CN" w:bidi="ar"/>
              </w:rPr>
              <w:t>②承诺</w:t>
            </w:r>
            <w:r>
              <w:rPr>
                <w:rStyle w:val="23"/>
                <w:rFonts w:hint="eastAsia" w:ascii="仿宋" w:hAnsi="仿宋" w:eastAsia="仿宋" w:cs="仿宋"/>
                <w:b w:val="0"/>
                <w:bCs w:val="0"/>
                <w:kern w:val="0"/>
                <w:sz w:val="24"/>
                <w:szCs w:val="24"/>
                <w:lang w:val="en-US" w:eastAsia="zh-CN" w:bidi="ar"/>
              </w:rPr>
              <w:t>免费设备专项巡检服务</w:t>
            </w:r>
            <w:r>
              <w:rPr>
                <w:rFonts w:hint="eastAsia" w:ascii="仿宋" w:hAnsi="仿宋" w:eastAsia="仿宋" w:cs="仿宋"/>
                <w:b w:val="0"/>
                <w:bCs w:val="0"/>
                <w:kern w:val="0"/>
                <w:sz w:val="24"/>
                <w:szCs w:val="24"/>
                <w:lang w:val="en-US" w:eastAsia="zh-CN" w:bidi="ar"/>
              </w:rPr>
              <w:t>：对照明、电路、给排水、公共设施提供每月免费专项排查巡检、隐患整改、台账记录增值服务，得1分；</w:t>
            </w:r>
          </w:p>
          <w:p w14:paraId="3AD3365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sz w:val="24"/>
                <w:szCs w:val="24"/>
              </w:rPr>
            </w:pPr>
            <w:r>
              <w:rPr>
                <w:rFonts w:hint="eastAsia" w:ascii="仿宋" w:hAnsi="仿宋" w:eastAsia="仿宋" w:cs="仿宋"/>
                <w:b w:val="0"/>
                <w:bCs w:val="0"/>
                <w:kern w:val="0"/>
                <w:sz w:val="24"/>
                <w:szCs w:val="24"/>
                <w:lang w:val="en-US" w:eastAsia="zh-CN" w:bidi="ar"/>
              </w:rPr>
              <w:t>③承诺</w:t>
            </w:r>
            <w:r>
              <w:rPr>
                <w:rStyle w:val="23"/>
                <w:rFonts w:hint="eastAsia" w:ascii="仿宋" w:hAnsi="仿宋" w:eastAsia="仿宋" w:cs="仿宋"/>
                <w:b w:val="0"/>
                <w:bCs w:val="0"/>
                <w:kern w:val="0"/>
                <w:sz w:val="24"/>
                <w:szCs w:val="24"/>
                <w:lang w:val="en-US" w:eastAsia="zh-CN" w:bidi="ar"/>
              </w:rPr>
              <w:t>专项保洁消杀服务</w:t>
            </w:r>
            <w:r>
              <w:rPr>
                <w:rFonts w:hint="eastAsia" w:ascii="仿宋" w:hAnsi="仿宋" w:eastAsia="仿宋" w:cs="仿宋"/>
                <w:b w:val="0"/>
                <w:bCs w:val="0"/>
                <w:kern w:val="0"/>
                <w:sz w:val="24"/>
                <w:szCs w:val="24"/>
                <w:lang w:val="en-US" w:eastAsia="zh-CN" w:bidi="ar"/>
              </w:rPr>
              <w:t>：公共区域提供高于招标标准的精细化保洁、分区消杀、无尘清洁、废弃物规范处置专项服务，得1分；</w:t>
            </w:r>
          </w:p>
          <w:p w14:paraId="0ABBF321">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sz w:val="24"/>
                <w:szCs w:val="24"/>
              </w:rPr>
            </w:pPr>
            <w:r>
              <w:rPr>
                <w:rFonts w:hint="eastAsia" w:ascii="仿宋" w:hAnsi="仿宋" w:eastAsia="仿宋" w:cs="仿宋"/>
                <w:b w:val="0"/>
                <w:bCs w:val="0"/>
                <w:kern w:val="0"/>
                <w:sz w:val="24"/>
                <w:szCs w:val="24"/>
                <w:lang w:val="en-US" w:eastAsia="zh-CN" w:bidi="ar"/>
              </w:rPr>
              <w:t>④承诺</w:t>
            </w:r>
            <w:r>
              <w:rPr>
                <w:rStyle w:val="23"/>
                <w:rFonts w:hint="eastAsia" w:ascii="仿宋" w:hAnsi="仿宋" w:eastAsia="仿宋" w:cs="仿宋"/>
                <w:b w:val="0"/>
                <w:bCs w:val="0"/>
                <w:kern w:val="0"/>
                <w:sz w:val="24"/>
                <w:szCs w:val="24"/>
                <w:lang w:val="en-US" w:eastAsia="zh-CN" w:bidi="ar"/>
              </w:rPr>
              <w:t>突发情况应急支援服务</w:t>
            </w:r>
            <w:r>
              <w:rPr>
                <w:rFonts w:hint="eastAsia" w:ascii="仿宋" w:hAnsi="仿宋" w:eastAsia="仿宋" w:cs="仿宋"/>
                <w:b w:val="0"/>
                <w:bCs w:val="0"/>
                <w:kern w:val="0"/>
                <w:sz w:val="24"/>
                <w:szCs w:val="24"/>
                <w:lang w:val="en-US" w:eastAsia="zh-CN" w:bidi="ar"/>
              </w:rPr>
              <w:t>：针对迎检、专项督查、突发卫生整治、应急安保维稳，提供随时增派人手、应急支援保障服务，得1分；</w:t>
            </w:r>
          </w:p>
          <w:p w14:paraId="7CB62C7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sz w:val="24"/>
                <w:szCs w:val="24"/>
              </w:rPr>
            </w:pPr>
            <w:r>
              <w:rPr>
                <w:rFonts w:hint="eastAsia" w:ascii="仿宋" w:hAnsi="仿宋" w:eastAsia="仿宋" w:cs="仿宋"/>
                <w:b w:val="0"/>
                <w:bCs w:val="0"/>
                <w:kern w:val="0"/>
                <w:sz w:val="24"/>
                <w:szCs w:val="24"/>
                <w:lang w:val="en-US" w:eastAsia="zh-CN" w:bidi="ar"/>
              </w:rPr>
              <w:t>⑤承诺</w:t>
            </w:r>
            <w:r>
              <w:rPr>
                <w:rStyle w:val="23"/>
                <w:rFonts w:hint="eastAsia" w:ascii="仿宋" w:hAnsi="仿宋" w:eastAsia="仿宋" w:cs="仿宋"/>
                <w:b w:val="0"/>
                <w:bCs w:val="0"/>
                <w:kern w:val="0"/>
                <w:sz w:val="24"/>
                <w:szCs w:val="24"/>
                <w:lang w:val="en-US" w:eastAsia="zh-CN" w:bidi="ar"/>
              </w:rPr>
              <w:t>服务质保升级延长服务</w:t>
            </w:r>
            <w:r>
              <w:rPr>
                <w:rFonts w:hint="eastAsia" w:ascii="仿宋" w:hAnsi="仿宋" w:eastAsia="仿宋" w:cs="仿宋"/>
                <w:b w:val="0"/>
                <w:bCs w:val="0"/>
                <w:kern w:val="0"/>
                <w:sz w:val="24"/>
                <w:szCs w:val="24"/>
                <w:lang w:val="en-US" w:eastAsia="zh-CN" w:bidi="ar"/>
              </w:rPr>
              <w:t>：承诺免费延长物业服务质保兜底、免费提供故障返工整改、免费升级常态化保障机制，优于招标基础要求，得1分。</w:t>
            </w:r>
          </w:p>
          <w:p w14:paraId="147AC5E2">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通用评审规则</w:t>
            </w:r>
            <w:r>
              <w:rPr>
                <w:rFonts w:hint="eastAsia" w:ascii="仿宋" w:hAnsi="仿宋" w:eastAsia="仿宋" w:cs="仿宋"/>
                <w:b w:val="0"/>
                <w:bCs w:val="0"/>
                <w:sz w:val="24"/>
                <w:szCs w:val="24"/>
                <w:lang w:eastAsia="zh-CN"/>
              </w:rPr>
              <w:t>：</w:t>
            </w:r>
          </w:p>
          <w:p w14:paraId="14AB3B2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sz w:val="24"/>
                <w:szCs w:val="24"/>
              </w:rPr>
            </w:pPr>
            <w:r>
              <w:rPr>
                <w:rFonts w:hint="eastAsia" w:ascii="仿宋" w:hAnsi="仿宋" w:eastAsia="仿宋" w:cs="仿宋"/>
                <w:b w:val="0"/>
                <w:bCs w:val="0"/>
                <w:kern w:val="0"/>
                <w:sz w:val="24"/>
                <w:szCs w:val="24"/>
                <w:lang w:val="en-US" w:eastAsia="zh-CN" w:bidi="ar"/>
              </w:rPr>
              <w:t>1、所有优化措施必须</w:t>
            </w:r>
            <w:r>
              <w:rPr>
                <w:rStyle w:val="23"/>
                <w:rFonts w:hint="eastAsia" w:ascii="仿宋" w:hAnsi="仿宋" w:eastAsia="仿宋" w:cs="仿宋"/>
                <w:b w:val="0"/>
                <w:bCs w:val="0"/>
                <w:kern w:val="0"/>
                <w:sz w:val="24"/>
                <w:szCs w:val="24"/>
                <w:lang w:val="en-US" w:eastAsia="zh-CN" w:bidi="ar"/>
              </w:rPr>
              <w:t>针对本项目专属制定</w:t>
            </w:r>
            <w:r>
              <w:rPr>
                <w:rFonts w:hint="eastAsia" w:ascii="仿宋" w:hAnsi="仿宋" w:eastAsia="仿宋" w:cs="仿宋"/>
                <w:b w:val="0"/>
                <w:bCs w:val="0"/>
                <w:kern w:val="0"/>
                <w:sz w:val="24"/>
                <w:szCs w:val="24"/>
                <w:lang w:val="en-US" w:eastAsia="zh-CN" w:bidi="ar"/>
              </w:rPr>
              <w:t>，内容具体、有实施方式、可落地；通用空话、模板化描述、无具体措施不计分；</w:t>
            </w:r>
          </w:p>
          <w:p w14:paraId="22CFA33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rPr>
            </w:pPr>
            <w:r>
              <w:rPr>
                <w:rFonts w:hint="eastAsia" w:ascii="仿宋" w:hAnsi="仿宋" w:eastAsia="仿宋" w:cs="仿宋"/>
                <w:b w:val="0"/>
                <w:bCs w:val="0"/>
                <w:kern w:val="0"/>
                <w:sz w:val="24"/>
                <w:szCs w:val="24"/>
                <w:lang w:val="en-US" w:eastAsia="zh-CN" w:bidi="ar"/>
              </w:rPr>
              <w:t>2、本项满分5分，按条款逐项累计计分，不设保底分、不酌情加分。</w:t>
            </w:r>
          </w:p>
        </w:tc>
      </w:tr>
      <w:tr w14:paraId="3396C077">
        <w:tblPrEx>
          <w:tblCellMar>
            <w:top w:w="0" w:type="dxa"/>
            <w:left w:w="108" w:type="dxa"/>
            <w:bottom w:w="0" w:type="dxa"/>
            <w:right w:w="108" w:type="dxa"/>
          </w:tblCellMar>
        </w:tblPrEx>
        <w:trPr>
          <w:trHeight w:val="90" w:hRule="atLeast"/>
          <w:jc w:val="center"/>
        </w:trPr>
        <w:tc>
          <w:tcPr>
            <w:tcW w:w="1828" w:type="dxa"/>
            <w:tcBorders>
              <w:top w:val="single" w:color="auto" w:sz="4" w:space="0"/>
              <w:left w:val="single" w:color="auto" w:sz="4" w:space="0"/>
              <w:bottom w:val="single" w:color="auto" w:sz="4" w:space="0"/>
              <w:right w:val="single" w:color="auto" w:sz="4" w:space="0"/>
            </w:tcBorders>
            <w:noWrap/>
            <w:vAlign w:val="center"/>
          </w:tcPr>
          <w:p w14:paraId="2C7FBA9B">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仿宋" w:hAnsi="仿宋" w:eastAsia="仿宋" w:cs="仿宋"/>
                <w:color w:val="000000"/>
                <w:kern w:val="0"/>
                <w:sz w:val="24"/>
                <w:szCs w:val="24"/>
                <w:highlight w:val="none"/>
                <w:lang w:val="en-US" w:eastAsia="zh-CN" w:bidi="ar"/>
              </w:rPr>
            </w:pPr>
          </w:p>
          <w:p w14:paraId="3293432D">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仿宋" w:hAnsi="仿宋" w:eastAsia="仿宋" w:cs="仿宋"/>
                <w:color w:val="000000"/>
                <w:kern w:val="0"/>
                <w:sz w:val="24"/>
                <w:szCs w:val="24"/>
                <w:highlight w:val="none"/>
                <w:lang w:val="en-US" w:eastAsia="zh-CN" w:bidi="ar"/>
              </w:rPr>
            </w:pPr>
          </w:p>
          <w:p w14:paraId="3A92519C">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仿宋" w:hAnsi="仿宋" w:eastAsia="仿宋" w:cs="仿宋"/>
                <w:color w:val="000000"/>
                <w:kern w:val="0"/>
                <w:sz w:val="24"/>
                <w:szCs w:val="24"/>
                <w:highlight w:val="none"/>
                <w:lang w:val="en-US" w:eastAsia="zh-CN" w:bidi="ar"/>
              </w:rPr>
            </w:pPr>
          </w:p>
          <w:p w14:paraId="46A04808">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仿宋" w:hAnsi="仿宋" w:eastAsia="仿宋" w:cs="仿宋"/>
                <w:color w:val="000000"/>
                <w:kern w:val="0"/>
                <w:sz w:val="24"/>
                <w:szCs w:val="24"/>
                <w:highlight w:val="none"/>
                <w:lang w:val="en-US" w:eastAsia="zh-CN" w:bidi="ar"/>
              </w:rPr>
            </w:pPr>
          </w:p>
          <w:p w14:paraId="0C4C1494">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仿宋" w:hAnsi="仿宋" w:eastAsia="仿宋" w:cs="仿宋"/>
                <w:color w:val="000000"/>
                <w:kern w:val="0"/>
                <w:sz w:val="24"/>
                <w:szCs w:val="24"/>
                <w:highlight w:val="none"/>
                <w:lang w:val="en-US" w:eastAsia="zh-CN" w:bidi="ar"/>
              </w:rPr>
            </w:pPr>
          </w:p>
          <w:p w14:paraId="191FBD71">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仿宋" w:hAnsi="仿宋" w:eastAsia="仿宋" w:cs="仿宋"/>
                <w:color w:val="000000"/>
                <w:kern w:val="0"/>
                <w:sz w:val="24"/>
                <w:szCs w:val="24"/>
                <w:highlight w:val="none"/>
                <w:lang w:val="en-US" w:eastAsia="zh-CN" w:bidi="ar"/>
              </w:rPr>
            </w:pPr>
          </w:p>
          <w:p w14:paraId="0444207C">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仿宋" w:hAnsi="仿宋" w:eastAsia="仿宋" w:cs="仿宋"/>
                <w:color w:val="000000"/>
                <w:kern w:val="0"/>
                <w:sz w:val="24"/>
                <w:szCs w:val="24"/>
                <w:highlight w:val="none"/>
                <w:lang w:val="en-US" w:eastAsia="zh-CN" w:bidi="ar"/>
              </w:rPr>
            </w:pPr>
          </w:p>
          <w:p w14:paraId="68923815">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center"/>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培训考核方案</w:t>
            </w:r>
          </w:p>
          <w:p w14:paraId="61C6F1CE">
            <w:pPr>
              <w:keepNext w:val="0"/>
              <w:keepLines w:val="0"/>
              <w:pageBreakBefore w:val="0"/>
              <w:widowControl/>
              <w:suppressLineNumbers w:val="0"/>
              <w:kinsoku/>
              <w:wordWrap/>
              <w:overflowPunct/>
              <w:topLinePunct w:val="0"/>
              <w:autoSpaceDE/>
              <w:autoSpaceDN/>
              <w:bidi w:val="0"/>
              <w:adjustRightInd/>
              <w:snapToGrid/>
              <w:spacing w:line="288" w:lineRule="auto"/>
              <w:ind w:left="322" w:leftChars="114" w:firstLine="19" w:firstLineChars="8"/>
              <w:jc w:val="center"/>
              <w:textAlignment w:val="auto"/>
              <w:rPr>
                <w:rFonts w:hint="eastAsia" w:ascii="仿宋" w:hAnsi="仿宋" w:eastAsia="仿宋" w:cs="仿宋"/>
                <w:color w:val="000000"/>
                <w:kern w:val="0"/>
                <w:sz w:val="24"/>
                <w:szCs w:val="24"/>
              </w:rPr>
            </w:pPr>
            <w:r>
              <w:rPr>
                <w:rFonts w:hint="eastAsia" w:ascii="仿宋" w:hAnsi="仿宋" w:eastAsia="仿宋" w:cs="仿宋"/>
                <w:kern w:val="0"/>
                <w:sz w:val="24"/>
                <w:szCs w:val="24"/>
                <w:highlight w:val="none"/>
                <w:lang w:bidi="ar"/>
              </w:rPr>
              <w:t>（</w:t>
            </w:r>
            <w:r>
              <w:rPr>
                <w:rFonts w:hint="eastAsia" w:ascii="仿宋" w:hAnsi="仿宋" w:eastAsia="仿宋" w:cs="仿宋"/>
                <w:kern w:val="0"/>
                <w:sz w:val="24"/>
                <w:szCs w:val="24"/>
                <w:highlight w:val="none"/>
                <w:lang w:val="en-US" w:eastAsia="zh-CN" w:bidi="ar"/>
              </w:rPr>
              <w:t>6</w:t>
            </w:r>
            <w:r>
              <w:rPr>
                <w:rFonts w:hint="eastAsia" w:ascii="仿宋" w:hAnsi="仿宋" w:eastAsia="仿宋" w:cs="仿宋"/>
                <w:kern w:val="0"/>
                <w:sz w:val="24"/>
                <w:szCs w:val="24"/>
                <w:highlight w:val="none"/>
                <w:lang w:bidi="ar"/>
              </w:rPr>
              <w:t>分）</w:t>
            </w:r>
          </w:p>
        </w:tc>
        <w:tc>
          <w:tcPr>
            <w:tcW w:w="7044" w:type="dxa"/>
            <w:tcBorders>
              <w:top w:val="single" w:color="auto" w:sz="4" w:space="0"/>
              <w:left w:val="nil"/>
              <w:bottom w:val="single" w:color="auto" w:sz="4" w:space="0"/>
              <w:right w:val="single" w:color="auto" w:sz="4" w:space="0"/>
            </w:tcBorders>
            <w:noWrap/>
            <w:vAlign w:val="bottom"/>
          </w:tcPr>
          <w:p w14:paraId="4EA3C1C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一、评审内容 </w:t>
            </w:r>
          </w:p>
          <w:p w14:paraId="1875FF46">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88" w:lineRule="auto"/>
              <w:ind w:left="0" w:right="0" w:hanging="36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针对本项目提出详细的</w:t>
            </w:r>
            <w:r>
              <w:rPr>
                <w:rFonts w:hint="eastAsia" w:ascii="仿宋" w:hAnsi="仿宋" w:eastAsia="仿宋" w:cs="仿宋"/>
                <w:color w:val="000000"/>
                <w:kern w:val="0"/>
                <w:sz w:val="24"/>
                <w:szCs w:val="24"/>
                <w:highlight w:val="none"/>
                <w:lang w:val="en-US" w:eastAsia="zh-CN" w:bidi="ar"/>
              </w:rPr>
              <w:t>培训考核方案</w:t>
            </w:r>
            <w:r>
              <w:rPr>
                <w:rFonts w:hint="eastAsia" w:ascii="仿宋" w:hAnsi="仿宋" w:eastAsia="仿宋" w:cs="仿宋"/>
                <w:color w:val="000000"/>
                <w:kern w:val="0"/>
                <w:sz w:val="24"/>
                <w:szCs w:val="24"/>
                <w:lang w:val="en-US" w:eastAsia="zh-CN" w:bidi="ar"/>
              </w:rPr>
              <w:t>，方案包括：①</w:t>
            </w:r>
            <w:r>
              <w:rPr>
                <w:rFonts w:hint="eastAsia" w:ascii="仿宋" w:hAnsi="仿宋" w:eastAsia="仿宋" w:cs="仿宋"/>
                <w:color w:val="1F2329"/>
                <w:sz w:val="24"/>
                <w:szCs w:val="24"/>
              </w:rPr>
              <w:t>岗位职责培训</w:t>
            </w:r>
            <w:r>
              <w:rPr>
                <w:rFonts w:hint="eastAsia" w:ascii="仿宋" w:hAnsi="仿宋" w:eastAsia="仿宋" w:cs="仿宋"/>
                <w:color w:val="000000"/>
                <w:kern w:val="0"/>
                <w:sz w:val="24"/>
                <w:szCs w:val="24"/>
                <w:lang w:val="en-US" w:eastAsia="zh-CN" w:bidi="ar"/>
              </w:rPr>
              <w:t>②</w:t>
            </w:r>
            <w:r>
              <w:rPr>
                <w:rFonts w:hint="eastAsia" w:ascii="仿宋" w:hAnsi="仿宋" w:eastAsia="仿宋" w:cs="仿宋"/>
                <w:color w:val="1F2329"/>
                <w:sz w:val="24"/>
                <w:szCs w:val="24"/>
              </w:rPr>
              <w:t>行为规范培训</w:t>
            </w:r>
            <w:r>
              <w:rPr>
                <w:rFonts w:hint="eastAsia" w:ascii="仿宋" w:hAnsi="仿宋" w:eastAsia="仿宋" w:cs="仿宋"/>
                <w:color w:val="1F2329"/>
                <w:sz w:val="24"/>
                <w:szCs w:val="24"/>
                <w:lang w:val="en-US" w:eastAsia="zh-CN"/>
              </w:rPr>
              <w:t>③</w:t>
            </w:r>
            <w:r>
              <w:rPr>
                <w:rFonts w:hint="eastAsia" w:ascii="仿宋" w:hAnsi="仿宋" w:eastAsia="仿宋" w:cs="仿宋"/>
                <w:color w:val="1F2329"/>
                <w:sz w:val="24"/>
                <w:szCs w:val="24"/>
              </w:rPr>
              <w:t>安全专项培训</w:t>
            </w:r>
            <w:r>
              <w:rPr>
                <w:rFonts w:hint="eastAsia" w:ascii="仿宋" w:hAnsi="仿宋" w:eastAsia="仿宋" w:cs="仿宋"/>
                <w:color w:val="1F2329"/>
                <w:sz w:val="24"/>
                <w:szCs w:val="24"/>
                <w:lang w:val="en-US" w:eastAsia="zh-CN"/>
              </w:rPr>
              <w:t>④</w:t>
            </w:r>
            <w:r>
              <w:rPr>
                <w:rFonts w:hint="eastAsia" w:ascii="仿宋" w:hAnsi="仿宋" w:eastAsia="仿宋" w:cs="仿宋"/>
                <w:color w:val="1F2329"/>
                <w:sz w:val="24"/>
                <w:szCs w:val="24"/>
              </w:rPr>
              <w:t>保密管理培训</w:t>
            </w:r>
            <w:r>
              <w:rPr>
                <w:rFonts w:hint="eastAsia" w:ascii="仿宋" w:hAnsi="仿宋" w:eastAsia="仿宋" w:cs="仿宋"/>
                <w:color w:val="1F2329"/>
                <w:sz w:val="24"/>
                <w:szCs w:val="24"/>
                <w:lang w:eastAsia="zh-CN"/>
              </w:rPr>
              <w:t>。</w:t>
            </w:r>
            <w:r>
              <w:rPr>
                <w:rFonts w:hint="eastAsia" w:ascii="仿宋" w:hAnsi="仿宋" w:eastAsia="仿宋" w:cs="仿宋"/>
                <w:color w:val="000000"/>
                <w:kern w:val="0"/>
                <w:sz w:val="24"/>
                <w:szCs w:val="24"/>
                <w:lang w:val="en-US" w:eastAsia="zh-CN" w:bidi="ar"/>
              </w:rPr>
              <w:t xml:space="preserve"> </w:t>
            </w:r>
          </w:p>
          <w:p w14:paraId="26F9B326">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二、评审标准 </w:t>
            </w:r>
          </w:p>
          <w:p w14:paraId="7BF9913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1、完整性：方案必须全面，对评审内容中的各项要求有详 </w:t>
            </w:r>
          </w:p>
          <w:p w14:paraId="3AF2FA8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细描述； </w:t>
            </w:r>
          </w:p>
          <w:p w14:paraId="0A0EF91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2、可实施性：切合本项目实际情况，实施步骤清晰、合理； </w:t>
            </w:r>
          </w:p>
          <w:p w14:paraId="5340A98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3、针对性：方案能够紧扣项目实际情况，内容科学合理。 </w:t>
            </w:r>
          </w:p>
          <w:p w14:paraId="019F59D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三、赋分标准（满分6分）</w:t>
            </w:r>
          </w:p>
          <w:p w14:paraId="4A33D6E1">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①</w:t>
            </w:r>
            <w:r>
              <w:rPr>
                <w:rFonts w:hint="eastAsia" w:ascii="仿宋" w:hAnsi="仿宋" w:eastAsia="仿宋" w:cs="仿宋"/>
                <w:color w:val="1F2329"/>
                <w:sz w:val="24"/>
                <w:szCs w:val="24"/>
              </w:rPr>
              <w:t>岗位职责培训</w:t>
            </w:r>
            <w:r>
              <w:rPr>
                <w:rFonts w:hint="eastAsia" w:ascii="仿宋" w:hAnsi="仿宋" w:eastAsia="仿宋" w:cs="仿宋"/>
                <w:color w:val="1F2329"/>
                <w:sz w:val="24"/>
                <w:szCs w:val="24"/>
                <w:lang w:eastAsia="zh-CN"/>
              </w:rPr>
              <w:t>：</w:t>
            </w:r>
            <w:r>
              <w:rPr>
                <w:rFonts w:hint="eastAsia" w:ascii="仿宋" w:hAnsi="仿宋" w:eastAsia="仿宋" w:cs="仿宋"/>
                <w:color w:val="000000"/>
                <w:kern w:val="0"/>
                <w:sz w:val="24"/>
                <w:szCs w:val="24"/>
                <w:lang w:val="en-US" w:eastAsia="zh-CN" w:bidi="ar"/>
              </w:rPr>
              <w:t>每完全满足一个评审标准得0.5 分，满分 1.5 分；</w:t>
            </w:r>
          </w:p>
          <w:p w14:paraId="19CD4092">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auto"/>
              <w:rPr>
                <w:rFonts w:hint="eastAsia" w:ascii="仿宋" w:hAnsi="仿宋" w:eastAsia="仿宋" w:cs="仿宋"/>
                <w:color w:val="1F2329"/>
                <w:sz w:val="24"/>
                <w:szCs w:val="24"/>
              </w:rPr>
            </w:pPr>
            <w:r>
              <w:rPr>
                <w:rFonts w:hint="eastAsia" w:ascii="仿宋" w:hAnsi="仿宋" w:eastAsia="仿宋" w:cs="仿宋"/>
                <w:color w:val="000000"/>
                <w:kern w:val="0"/>
                <w:sz w:val="24"/>
                <w:szCs w:val="24"/>
                <w:lang w:val="en-US" w:eastAsia="zh-CN" w:bidi="ar"/>
              </w:rPr>
              <w:t>②</w:t>
            </w:r>
            <w:r>
              <w:rPr>
                <w:rFonts w:hint="eastAsia" w:ascii="仿宋" w:hAnsi="仿宋" w:eastAsia="仿宋" w:cs="仿宋"/>
                <w:color w:val="1F2329"/>
                <w:sz w:val="24"/>
                <w:szCs w:val="24"/>
              </w:rPr>
              <w:t>行为规范培训</w:t>
            </w:r>
            <w:r>
              <w:rPr>
                <w:rFonts w:hint="eastAsia" w:ascii="仿宋" w:hAnsi="仿宋" w:eastAsia="仿宋" w:cs="仿宋"/>
                <w:color w:val="1F2329"/>
                <w:sz w:val="24"/>
                <w:szCs w:val="24"/>
                <w:lang w:eastAsia="zh-CN"/>
              </w:rPr>
              <w:t>：</w:t>
            </w:r>
            <w:r>
              <w:rPr>
                <w:rFonts w:hint="eastAsia" w:ascii="仿宋" w:hAnsi="仿宋" w:eastAsia="仿宋" w:cs="仿宋"/>
                <w:color w:val="000000"/>
                <w:kern w:val="0"/>
                <w:sz w:val="24"/>
                <w:szCs w:val="24"/>
                <w:lang w:val="en-US" w:eastAsia="zh-CN" w:bidi="ar"/>
              </w:rPr>
              <w:t>每完全满足一个评审标准得0.5 分，满分 1.5 分；</w:t>
            </w:r>
          </w:p>
          <w:p w14:paraId="6DAE5374">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auto"/>
              <w:rPr>
                <w:rFonts w:hint="eastAsia" w:ascii="仿宋" w:hAnsi="仿宋" w:eastAsia="仿宋" w:cs="仿宋"/>
                <w:color w:val="1F2329"/>
                <w:sz w:val="24"/>
                <w:szCs w:val="24"/>
              </w:rPr>
            </w:pPr>
            <w:r>
              <w:rPr>
                <w:rFonts w:hint="eastAsia" w:ascii="仿宋" w:hAnsi="仿宋" w:eastAsia="仿宋" w:cs="仿宋"/>
                <w:color w:val="1F2329"/>
                <w:sz w:val="24"/>
                <w:szCs w:val="24"/>
                <w:lang w:val="en-US" w:eastAsia="zh-CN"/>
              </w:rPr>
              <w:t>③</w:t>
            </w:r>
            <w:r>
              <w:rPr>
                <w:rFonts w:hint="eastAsia" w:ascii="仿宋" w:hAnsi="仿宋" w:eastAsia="仿宋" w:cs="仿宋"/>
                <w:color w:val="1F2329"/>
                <w:sz w:val="24"/>
                <w:szCs w:val="24"/>
              </w:rPr>
              <w:t>安全专项培训</w:t>
            </w:r>
            <w:r>
              <w:rPr>
                <w:rFonts w:hint="eastAsia" w:ascii="仿宋" w:hAnsi="仿宋" w:eastAsia="仿宋" w:cs="仿宋"/>
                <w:color w:val="1F2329"/>
                <w:sz w:val="24"/>
                <w:szCs w:val="24"/>
                <w:lang w:eastAsia="zh-CN"/>
              </w:rPr>
              <w:t>：</w:t>
            </w:r>
            <w:r>
              <w:rPr>
                <w:rFonts w:hint="eastAsia" w:ascii="仿宋" w:hAnsi="仿宋" w:eastAsia="仿宋" w:cs="仿宋"/>
                <w:color w:val="000000"/>
                <w:kern w:val="0"/>
                <w:sz w:val="24"/>
                <w:szCs w:val="24"/>
                <w:lang w:val="en-US" w:eastAsia="zh-CN" w:bidi="ar"/>
              </w:rPr>
              <w:t>每完全满足一个评审标准得0.5 分，满分 1.5 分；</w:t>
            </w:r>
          </w:p>
          <w:p w14:paraId="614E66FE">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auto"/>
              <w:rPr>
                <w:rFonts w:hint="eastAsia" w:ascii="仿宋" w:hAnsi="仿宋" w:eastAsia="仿宋" w:cs="仿宋"/>
                <w:lang w:eastAsia="zh-CN"/>
              </w:rPr>
            </w:pPr>
            <w:r>
              <w:rPr>
                <w:rFonts w:hint="eastAsia" w:ascii="仿宋" w:hAnsi="仿宋" w:eastAsia="仿宋" w:cs="仿宋"/>
                <w:color w:val="1F2329"/>
                <w:sz w:val="24"/>
                <w:szCs w:val="24"/>
                <w:lang w:val="en-US" w:eastAsia="zh-CN"/>
              </w:rPr>
              <w:t>④</w:t>
            </w:r>
            <w:r>
              <w:rPr>
                <w:rFonts w:hint="eastAsia" w:ascii="仿宋" w:hAnsi="仿宋" w:eastAsia="仿宋" w:cs="仿宋"/>
                <w:color w:val="1F2329"/>
                <w:sz w:val="24"/>
                <w:szCs w:val="24"/>
              </w:rPr>
              <w:t>保密管理培训</w:t>
            </w:r>
            <w:r>
              <w:rPr>
                <w:rFonts w:hint="eastAsia" w:ascii="仿宋" w:hAnsi="仿宋" w:eastAsia="仿宋" w:cs="仿宋"/>
                <w:color w:val="1F2329"/>
                <w:sz w:val="24"/>
                <w:szCs w:val="24"/>
                <w:lang w:eastAsia="zh-CN"/>
              </w:rPr>
              <w:t>：</w:t>
            </w:r>
            <w:r>
              <w:rPr>
                <w:rFonts w:hint="eastAsia" w:ascii="仿宋" w:hAnsi="仿宋" w:eastAsia="仿宋" w:cs="仿宋"/>
                <w:color w:val="000000"/>
                <w:kern w:val="0"/>
                <w:sz w:val="24"/>
                <w:szCs w:val="24"/>
                <w:lang w:val="en-US" w:eastAsia="zh-CN" w:bidi="ar"/>
              </w:rPr>
              <w:t xml:space="preserve">每完全满足一个评审标准得0.5 分，满分 1.5 分； </w:t>
            </w:r>
          </w:p>
        </w:tc>
      </w:tr>
      <w:tr w14:paraId="37F8AD49">
        <w:tblPrEx>
          <w:tblCellMar>
            <w:top w:w="0" w:type="dxa"/>
            <w:left w:w="108" w:type="dxa"/>
            <w:bottom w:w="0" w:type="dxa"/>
            <w:right w:w="108" w:type="dxa"/>
          </w:tblCellMar>
        </w:tblPrEx>
        <w:trPr>
          <w:trHeight w:val="4370" w:hRule="atLeast"/>
          <w:jc w:val="center"/>
        </w:trPr>
        <w:tc>
          <w:tcPr>
            <w:tcW w:w="1828" w:type="dxa"/>
            <w:tcBorders>
              <w:top w:val="single" w:color="auto" w:sz="4" w:space="0"/>
              <w:left w:val="single" w:color="auto" w:sz="4" w:space="0"/>
              <w:bottom w:val="single" w:color="auto" w:sz="4" w:space="0"/>
              <w:right w:val="single" w:color="auto" w:sz="4" w:space="0"/>
            </w:tcBorders>
            <w:noWrap/>
            <w:vAlign w:val="center"/>
          </w:tcPr>
          <w:p w14:paraId="3962560B">
            <w:pPr>
              <w:keepNext w:val="0"/>
              <w:keepLines w:val="0"/>
              <w:pageBreakBefore w:val="0"/>
              <w:kinsoku/>
              <w:wordWrap/>
              <w:overflowPunct/>
              <w:topLinePunct w:val="0"/>
              <w:autoSpaceDE/>
              <w:autoSpaceDN/>
              <w:bidi w:val="0"/>
              <w:adjustRightInd/>
              <w:snapToGrid/>
              <w:spacing w:line="288" w:lineRule="auto"/>
              <w:textAlignment w:val="auto"/>
              <w:rPr>
                <w:rFonts w:hint="eastAsia" w:ascii="仿宋" w:hAnsi="仿宋" w:eastAsia="仿宋" w:cs="仿宋"/>
                <w:color w:val="000000"/>
                <w:kern w:val="0"/>
                <w:sz w:val="24"/>
                <w:szCs w:val="24"/>
              </w:rPr>
            </w:pPr>
          </w:p>
          <w:p w14:paraId="2C47C5B9">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保洁服务方案</w:t>
            </w:r>
          </w:p>
          <w:p w14:paraId="0C8BC269">
            <w:pPr>
              <w:keepNext w:val="0"/>
              <w:keepLines w:val="0"/>
              <w:pageBreakBefore w:val="0"/>
              <w:kinsoku/>
              <w:wordWrap/>
              <w:overflowPunct/>
              <w:topLinePunct w:val="0"/>
              <w:autoSpaceDE/>
              <w:autoSpaceDN/>
              <w:bidi w:val="0"/>
              <w:adjustRightInd/>
              <w:snapToGrid/>
              <w:spacing w:line="288" w:lineRule="auto"/>
              <w:ind w:left="0" w:leftChars="0" w:firstLine="220" w:firstLineChars="91"/>
              <w:jc w:val="center"/>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9</w:t>
            </w:r>
            <w:r>
              <w:rPr>
                <w:rFonts w:hint="eastAsia" w:ascii="仿宋" w:hAnsi="仿宋" w:eastAsia="仿宋" w:cs="仿宋"/>
                <w:color w:val="000000"/>
                <w:kern w:val="0"/>
                <w:sz w:val="24"/>
                <w:szCs w:val="24"/>
              </w:rPr>
              <w:t>分）</w:t>
            </w:r>
          </w:p>
        </w:tc>
        <w:tc>
          <w:tcPr>
            <w:tcW w:w="7044" w:type="dxa"/>
            <w:tcBorders>
              <w:top w:val="single" w:color="auto" w:sz="4" w:space="0"/>
              <w:left w:val="nil"/>
              <w:bottom w:val="single" w:color="auto" w:sz="4" w:space="0"/>
              <w:right w:val="single" w:color="auto" w:sz="4" w:space="0"/>
            </w:tcBorders>
            <w:noWrap/>
            <w:vAlign w:val="bottom"/>
          </w:tcPr>
          <w:p w14:paraId="68ADE486">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一、评审内容</w:t>
            </w:r>
          </w:p>
          <w:p w14:paraId="22880CFB">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针对本项目提出详细</w:t>
            </w:r>
            <w:r>
              <w:rPr>
                <w:rFonts w:hint="eastAsia" w:ascii="仿宋" w:hAnsi="仿宋" w:eastAsia="仿宋" w:cs="仿宋"/>
                <w:color w:val="auto"/>
                <w:kern w:val="0"/>
                <w:sz w:val="24"/>
                <w:szCs w:val="24"/>
              </w:rPr>
              <w:t>保洁服务方案，方案内容包括①室内外公共区域保洁②办公区域保洁服务③卫生间保洁服务。</w:t>
            </w:r>
            <w:r>
              <w:rPr>
                <w:rFonts w:hint="eastAsia" w:ascii="仿宋" w:hAnsi="仿宋" w:eastAsia="仿宋" w:cs="仿宋"/>
                <w:color w:val="000000"/>
                <w:kern w:val="0"/>
                <w:sz w:val="24"/>
                <w:szCs w:val="24"/>
                <w:lang w:val="en-US" w:eastAsia="zh-CN" w:bidi="ar"/>
              </w:rPr>
              <w:t xml:space="preserve"> </w:t>
            </w:r>
          </w:p>
          <w:p w14:paraId="668F4CF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b/>
                <w:bCs/>
                <w:color w:val="000000"/>
                <w:kern w:val="0"/>
                <w:sz w:val="24"/>
                <w:szCs w:val="24"/>
                <w:lang w:val="en-US" w:eastAsia="zh-CN" w:bidi="ar"/>
              </w:rPr>
              <w:t xml:space="preserve">二、评审标准 </w:t>
            </w:r>
          </w:p>
          <w:p w14:paraId="778E3D6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1、完整性：方案必须全面，对评审内容中的各项要求有详细描述； </w:t>
            </w:r>
          </w:p>
          <w:p w14:paraId="64462FA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2、可实施性：切合本项目实际情况，实施步骤清晰、合理； </w:t>
            </w:r>
          </w:p>
          <w:p w14:paraId="3F1EAF1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3、针对性：方案能够紧扣项目实际情况，内容科学合理。</w:t>
            </w:r>
          </w:p>
          <w:p w14:paraId="09C83D27">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b/>
                <w:bCs/>
                <w:color w:val="auto"/>
                <w:kern w:val="0"/>
                <w:sz w:val="24"/>
                <w:szCs w:val="24"/>
                <w:lang w:eastAsia="zh-CN"/>
              </w:rPr>
            </w:pPr>
            <w:r>
              <w:rPr>
                <w:rFonts w:hint="eastAsia" w:ascii="仿宋" w:hAnsi="仿宋" w:eastAsia="仿宋" w:cs="仿宋"/>
                <w:b/>
                <w:bCs/>
                <w:color w:val="auto"/>
                <w:kern w:val="0"/>
                <w:sz w:val="24"/>
                <w:szCs w:val="24"/>
              </w:rPr>
              <w:t>二、</w:t>
            </w:r>
            <w:r>
              <w:rPr>
                <w:rFonts w:hint="eastAsia" w:ascii="仿宋" w:hAnsi="仿宋" w:eastAsia="仿宋" w:cs="仿宋"/>
                <w:b/>
                <w:bCs/>
                <w:color w:val="auto"/>
                <w:kern w:val="0"/>
                <w:sz w:val="24"/>
                <w:szCs w:val="24"/>
                <w:lang w:val="en-US" w:eastAsia="zh-CN"/>
              </w:rPr>
              <w:t>赋分</w:t>
            </w:r>
            <w:r>
              <w:rPr>
                <w:rFonts w:hint="eastAsia" w:ascii="仿宋" w:hAnsi="仿宋" w:eastAsia="仿宋" w:cs="仿宋"/>
                <w:b/>
                <w:bCs/>
                <w:color w:val="auto"/>
                <w:kern w:val="0"/>
                <w:sz w:val="24"/>
                <w:szCs w:val="24"/>
              </w:rPr>
              <w:t>标准</w:t>
            </w:r>
            <w:r>
              <w:rPr>
                <w:rFonts w:hint="eastAsia" w:ascii="仿宋" w:hAnsi="仿宋" w:eastAsia="仿宋" w:cs="仿宋"/>
                <w:b/>
                <w:bCs/>
                <w:color w:val="auto"/>
                <w:kern w:val="0"/>
                <w:sz w:val="24"/>
                <w:szCs w:val="24"/>
                <w:lang w:eastAsia="zh-CN"/>
              </w:rPr>
              <w:t>（</w:t>
            </w:r>
            <w:r>
              <w:rPr>
                <w:rFonts w:hint="eastAsia" w:ascii="仿宋" w:hAnsi="仿宋" w:eastAsia="仿宋" w:cs="仿宋"/>
                <w:b/>
                <w:bCs/>
                <w:color w:val="auto"/>
                <w:kern w:val="0"/>
                <w:sz w:val="24"/>
                <w:szCs w:val="24"/>
                <w:lang w:val="en-US" w:eastAsia="zh-CN"/>
              </w:rPr>
              <w:t>满分9分</w:t>
            </w:r>
            <w:r>
              <w:rPr>
                <w:rFonts w:hint="eastAsia" w:ascii="仿宋" w:hAnsi="仿宋" w:eastAsia="仿宋" w:cs="仿宋"/>
                <w:b/>
                <w:bCs/>
                <w:color w:val="auto"/>
                <w:kern w:val="0"/>
                <w:sz w:val="24"/>
                <w:szCs w:val="24"/>
                <w:lang w:eastAsia="zh-CN"/>
              </w:rPr>
              <w:t>）</w:t>
            </w:r>
          </w:p>
          <w:p w14:paraId="5FACA0F1">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1.室内外公共区域保洁</w:t>
            </w:r>
            <w:r>
              <w:rPr>
                <w:rFonts w:hint="eastAsia" w:ascii="仿宋" w:hAnsi="仿宋" w:eastAsia="仿宋" w:cs="仿宋"/>
                <w:color w:val="auto"/>
                <w:sz w:val="24"/>
                <w:szCs w:val="24"/>
                <w:lang w:eastAsia="zh-CN"/>
              </w:rPr>
              <w:t>：</w:t>
            </w:r>
            <w:r>
              <w:rPr>
                <w:rFonts w:hint="eastAsia" w:ascii="仿宋" w:hAnsi="仿宋" w:eastAsia="仿宋" w:cs="仿宋"/>
                <w:color w:val="000000"/>
                <w:kern w:val="0"/>
                <w:sz w:val="24"/>
                <w:szCs w:val="24"/>
                <w:lang w:val="en-US" w:eastAsia="zh-CN" w:bidi="ar"/>
              </w:rPr>
              <w:t>每完全满足一个评审标准得1分，满分3分；</w:t>
            </w:r>
          </w:p>
          <w:p w14:paraId="1C0EBA2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2.办公区域保洁服务：</w:t>
            </w:r>
            <w:r>
              <w:rPr>
                <w:rFonts w:hint="eastAsia" w:ascii="仿宋" w:hAnsi="仿宋" w:eastAsia="仿宋" w:cs="仿宋"/>
                <w:color w:val="000000"/>
                <w:kern w:val="0"/>
                <w:sz w:val="24"/>
                <w:szCs w:val="24"/>
                <w:lang w:val="en-US" w:eastAsia="zh-CN" w:bidi="ar"/>
              </w:rPr>
              <w:t>每完全满足一个评审标准得1分，满分3分；</w:t>
            </w:r>
          </w:p>
          <w:p w14:paraId="7AC8D1A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auto"/>
                <w:sz w:val="24"/>
                <w:szCs w:val="24"/>
              </w:rPr>
              <w:t>3.卫生间保洁服务：</w:t>
            </w:r>
            <w:r>
              <w:rPr>
                <w:rFonts w:hint="eastAsia" w:ascii="仿宋" w:hAnsi="仿宋" w:eastAsia="仿宋" w:cs="仿宋"/>
                <w:color w:val="000000"/>
                <w:kern w:val="0"/>
                <w:sz w:val="24"/>
                <w:szCs w:val="24"/>
                <w:lang w:val="en-US" w:eastAsia="zh-CN" w:bidi="ar"/>
              </w:rPr>
              <w:t>每完全满足一个评审标准得1分，满分 3分</w:t>
            </w:r>
            <w:r>
              <w:rPr>
                <w:rFonts w:hint="eastAsia" w:ascii="仿宋" w:hAnsi="仿宋" w:eastAsia="仿宋" w:cs="仿宋"/>
                <w:color w:val="auto"/>
                <w:sz w:val="24"/>
                <w:szCs w:val="24"/>
              </w:rPr>
              <w:t>。</w:t>
            </w:r>
          </w:p>
        </w:tc>
      </w:tr>
      <w:tr w14:paraId="626AC08E">
        <w:tblPrEx>
          <w:tblCellMar>
            <w:top w:w="0" w:type="dxa"/>
            <w:left w:w="108" w:type="dxa"/>
            <w:bottom w:w="0" w:type="dxa"/>
            <w:right w:w="108" w:type="dxa"/>
          </w:tblCellMar>
        </w:tblPrEx>
        <w:trPr>
          <w:trHeight w:val="3284" w:hRule="atLeast"/>
          <w:jc w:val="center"/>
        </w:trPr>
        <w:tc>
          <w:tcPr>
            <w:tcW w:w="1828" w:type="dxa"/>
            <w:tcBorders>
              <w:top w:val="single" w:color="auto" w:sz="4" w:space="0"/>
              <w:left w:val="single" w:color="auto" w:sz="4" w:space="0"/>
              <w:bottom w:val="single" w:color="auto" w:sz="4" w:space="0"/>
              <w:right w:val="single" w:color="auto" w:sz="4" w:space="0"/>
            </w:tcBorders>
            <w:noWrap/>
            <w:vAlign w:val="center"/>
          </w:tcPr>
          <w:p w14:paraId="5A1CA575">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p>
          <w:p w14:paraId="512FA3B6">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p>
          <w:p w14:paraId="57EC422E">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p>
          <w:p w14:paraId="13F3ECB6">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p>
          <w:p w14:paraId="48FEEA78">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p>
          <w:p w14:paraId="237E5EFB">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 w:hAnsi="仿宋" w:eastAsia="仿宋" w:cs="仿宋"/>
                <w:kern w:val="0"/>
                <w:sz w:val="24"/>
                <w:szCs w:val="24"/>
                <w:lang w:bidi="ar"/>
              </w:rPr>
            </w:pPr>
          </w:p>
          <w:p w14:paraId="0BF6CDBC">
            <w:pPr>
              <w:keepNext w:val="0"/>
              <w:keepLines w:val="0"/>
              <w:pageBreakBefore w:val="0"/>
              <w:widowControl/>
              <w:kinsoku/>
              <w:wordWrap/>
              <w:overflowPunct/>
              <w:topLinePunct w:val="0"/>
              <w:autoSpaceDE/>
              <w:autoSpaceDN/>
              <w:bidi w:val="0"/>
              <w:adjustRightInd/>
              <w:snapToGrid/>
              <w:spacing w:line="288" w:lineRule="auto"/>
              <w:ind w:firstLine="243" w:firstLineChars="100"/>
              <w:jc w:val="both"/>
              <w:textAlignment w:val="auto"/>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安全管理</w:t>
            </w:r>
          </w:p>
          <w:p w14:paraId="18044E7A">
            <w:pPr>
              <w:keepNext w:val="0"/>
              <w:keepLines w:val="0"/>
              <w:pageBreakBefore w:val="0"/>
              <w:widowControl/>
              <w:kinsoku/>
              <w:wordWrap/>
              <w:overflowPunct/>
              <w:topLinePunct w:val="0"/>
              <w:autoSpaceDE/>
              <w:autoSpaceDN/>
              <w:bidi w:val="0"/>
              <w:adjustRightInd/>
              <w:snapToGrid/>
              <w:spacing w:line="288" w:lineRule="auto"/>
              <w:ind w:firstLine="243" w:firstLineChars="100"/>
              <w:jc w:val="both"/>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9</w:t>
            </w:r>
            <w:r>
              <w:rPr>
                <w:rFonts w:hint="eastAsia" w:ascii="仿宋" w:hAnsi="仿宋" w:eastAsia="仿宋" w:cs="仿宋"/>
                <w:color w:val="000000"/>
                <w:kern w:val="0"/>
                <w:sz w:val="24"/>
                <w:szCs w:val="24"/>
              </w:rPr>
              <w:t>分）</w:t>
            </w:r>
          </w:p>
        </w:tc>
        <w:tc>
          <w:tcPr>
            <w:tcW w:w="7044" w:type="dxa"/>
            <w:tcBorders>
              <w:top w:val="single" w:color="auto" w:sz="4" w:space="0"/>
              <w:left w:val="nil"/>
              <w:bottom w:val="single" w:color="auto" w:sz="4" w:space="0"/>
              <w:right w:val="single" w:color="auto" w:sz="4" w:space="0"/>
            </w:tcBorders>
            <w:noWrap/>
            <w:vAlign w:val="bottom"/>
          </w:tcPr>
          <w:p w14:paraId="7843510B">
            <w:pPr>
              <w:keepNext w:val="0"/>
              <w:keepLines w:val="0"/>
              <w:pageBreakBefore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一、评审内容</w:t>
            </w:r>
          </w:p>
          <w:p w14:paraId="6B772CCC">
            <w:pPr>
              <w:keepNext w:val="0"/>
              <w:keepLines w:val="0"/>
              <w:pageBreakBefore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color w:val="000000"/>
                <w:kern w:val="0"/>
                <w:sz w:val="24"/>
                <w:szCs w:val="24"/>
              </w:rPr>
            </w:pPr>
            <w:r>
              <w:rPr>
                <w:rFonts w:hint="eastAsia" w:ascii="仿宋" w:hAnsi="仿宋" w:eastAsia="仿宋" w:cs="仿宋"/>
                <w:b w:val="0"/>
                <w:bCs w:val="0"/>
                <w:color w:val="000000"/>
                <w:kern w:val="0"/>
                <w:sz w:val="24"/>
                <w:szCs w:val="24"/>
              </w:rPr>
              <w:t>根据本项目制定安保管理方案，方案内容包括：①岗位要求：具有岗位职责、服务质量标准、作业流程及相关记录②内控制度：具有保密制度、廉洁敬业制度、监督机制、自查制度③人员管理制度：具有员工日常管理制度、请销假制度、奖惩措施、激励机制、仪容仪表制度。</w:t>
            </w:r>
          </w:p>
          <w:p w14:paraId="6C3A98A9">
            <w:pPr>
              <w:keepNext w:val="0"/>
              <w:keepLines w:val="0"/>
              <w:widowControl/>
              <w:suppressLineNumbers w:val="0"/>
              <w:jc w:val="left"/>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二、评审标准</w:t>
            </w:r>
          </w:p>
          <w:p w14:paraId="1A30FFC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1.完整性：方案须全面，对评审内容中的各项要求有详细描述及说明；</w:t>
            </w:r>
          </w:p>
          <w:p w14:paraId="33AED2F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2.可实施性：切合本项目实际情况，步骤清晰、合理，操作性强；</w:t>
            </w:r>
          </w:p>
          <w:p w14:paraId="52D3A078">
            <w:pPr>
              <w:pStyle w:val="2"/>
              <w:rPr>
                <w:rFonts w:hint="eastAsia" w:ascii="仿宋" w:hAnsi="仿宋" w:eastAsia="仿宋" w:cs="仿宋"/>
              </w:rPr>
            </w:pPr>
            <w:r>
              <w:rPr>
                <w:rFonts w:hint="eastAsia" w:ascii="仿宋" w:hAnsi="仿宋" w:eastAsia="仿宋" w:cs="仿宋"/>
                <w:color w:val="000000"/>
                <w:kern w:val="0"/>
                <w:sz w:val="24"/>
                <w:szCs w:val="24"/>
                <w:lang w:val="en-US" w:eastAsia="zh-CN" w:bidi="ar"/>
              </w:rPr>
              <w:t>3、针对性：方案能够紧扣项目实际情况，内容科学合理。</w:t>
            </w:r>
          </w:p>
          <w:p w14:paraId="7D662086">
            <w:pPr>
              <w:keepNext w:val="0"/>
              <w:keepLines w:val="0"/>
              <w:widowControl/>
              <w:suppressLineNumbers w:val="0"/>
              <w:jc w:val="left"/>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三、赋分标准</w:t>
            </w:r>
          </w:p>
          <w:p w14:paraId="6324285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①岗位要求：每完全满足一项评审标准得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p w14:paraId="6082874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②内控制度:每完全满足一项评审标准得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p w14:paraId="619C8C1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sz w:val="24"/>
                <w:szCs w:val="24"/>
              </w:rPr>
            </w:pPr>
            <w:r>
              <w:rPr>
                <w:rFonts w:hint="eastAsia" w:ascii="仿宋" w:hAnsi="仿宋" w:eastAsia="仿宋" w:cs="仿宋"/>
                <w:sz w:val="24"/>
                <w:szCs w:val="24"/>
              </w:rPr>
              <w:t>③人员管理制度：每完全满足一项评审标准得</w:t>
            </w:r>
            <w:r>
              <w:rPr>
                <w:rFonts w:hint="eastAsia" w:ascii="仿宋" w:hAnsi="仿宋" w:eastAsia="仿宋" w:cs="仿宋"/>
                <w:sz w:val="24"/>
                <w:szCs w:val="24"/>
                <w:lang w:val="en-US" w:eastAsia="zh-CN"/>
              </w:rPr>
              <w:t>1</w:t>
            </w:r>
            <w:r>
              <w:rPr>
                <w:rFonts w:hint="eastAsia" w:ascii="仿宋" w:hAnsi="仿宋" w:eastAsia="仿宋" w:cs="仿宋"/>
                <w:sz w:val="24"/>
                <w:szCs w:val="24"/>
              </w:rPr>
              <w:t>分，满分</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tc>
      </w:tr>
      <w:tr w14:paraId="36590836">
        <w:tblPrEx>
          <w:tblCellMar>
            <w:top w:w="0" w:type="dxa"/>
            <w:left w:w="108" w:type="dxa"/>
            <w:bottom w:w="0" w:type="dxa"/>
            <w:right w:w="108" w:type="dxa"/>
          </w:tblCellMar>
        </w:tblPrEx>
        <w:trPr>
          <w:trHeight w:val="3526" w:hRule="atLeast"/>
          <w:jc w:val="center"/>
        </w:trPr>
        <w:tc>
          <w:tcPr>
            <w:tcW w:w="1828" w:type="dxa"/>
            <w:tcBorders>
              <w:top w:val="single" w:color="auto" w:sz="4" w:space="0"/>
              <w:left w:val="single" w:color="auto" w:sz="4" w:space="0"/>
              <w:bottom w:val="single" w:color="auto" w:sz="4" w:space="0"/>
              <w:right w:val="single" w:color="auto" w:sz="4" w:space="0"/>
            </w:tcBorders>
            <w:noWrap/>
            <w:vAlign w:val="center"/>
          </w:tcPr>
          <w:p w14:paraId="0410432C">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绿化管理</w:t>
            </w:r>
          </w:p>
          <w:p w14:paraId="41BC6888">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w:t>
            </w:r>
            <w:r>
              <w:rPr>
                <w:rFonts w:hint="eastAsia" w:ascii="仿宋" w:hAnsi="仿宋" w:eastAsia="仿宋" w:cs="仿宋"/>
                <w:color w:val="auto"/>
                <w:kern w:val="0"/>
                <w:sz w:val="24"/>
                <w:szCs w:val="24"/>
                <w:lang w:val="en-US" w:eastAsia="zh-CN"/>
              </w:rPr>
              <w:t>6</w:t>
            </w:r>
            <w:r>
              <w:rPr>
                <w:rFonts w:hint="eastAsia" w:ascii="仿宋" w:hAnsi="仿宋" w:eastAsia="仿宋" w:cs="仿宋"/>
                <w:color w:val="auto"/>
                <w:kern w:val="0"/>
                <w:sz w:val="24"/>
                <w:szCs w:val="24"/>
              </w:rPr>
              <w:t>分）</w:t>
            </w:r>
          </w:p>
        </w:tc>
        <w:tc>
          <w:tcPr>
            <w:tcW w:w="7044" w:type="dxa"/>
            <w:tcBorders>
              <w:top w:val="single" w:color="auto" w:sz="4" w:space="0"/>
              <w:left w:val="nil"/>
              <w:bottom w:val="single" w:color="auto" w:sz="4" w:space="0"/>
              <w:right w:val="single" w:color="auto" w:sz="4" w:space="0"/>
            </w:tcBorders>
            <w:noWrap/>
            <w:vAlign w:val="bottom"/>
          </w:tcPr>
          <w:p w14:paraId="74030172">
            <w:pPr>
              <w:keepNext w:val="0"/>
              <w:keepLines w:val="0"/>
              <w:pageBreakBefore w:val="0"/>
              <w:numPr>
                <w:ilvl w:val="0"/>
                <w:numId w:val="6"/>
              </w:numPr>
              <w:kinsoku/>
              <w:wordWrap/>
              <w:overflowPunct/>
              <w:topLinePunct w:val="0"/>
              <w:autoSpaceDE/>
              <w:autoSpaceDN/>
              <w:bidi w:val="0"/>
              <w:adjustRightInd/>
              <w:snapToGrid/>
              <w:spacing w:line="288" w:lineRule="auto"/>
              <w:jc w:val="left"/>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评审内容</w:t>
            </w:r>
          </w:p>
          <w:p w14:paraId="3BD88A56">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针对本项目服务内容提出值守服务方案，方案包含：①</w:t>
            </w:r>
            <w:r>
              <w:rPr>
                <w:rFonts w:hint="eastAsia" w:ascii="仿宋" w:hAnsi="仿宋" w:eastAsia="仿宋" w:cs="仿宋"/>
                <w:b w:val="0"/>
                <w:bCs w:val="0"/>
                <w:color w:val="auto"/>
                <w:sz w:val="24"/>
                <w:szCs w:val="24"/>
              </w:rPr>
              <w:t>日常绿化养护服务</w:t>
            </w:r>
            <w:r>
              <w:rPr>
                <w:rFonts w:hint="eastAsia" w:ascii="仿宋" w:hAnsi="仿宋" w:eastAsia="仿宋" w:cs="仿宋"/>
                <w:color w:val="000000"/>
                <w:kern w:val="0"/>
                <w:sz w:val="24"/>
                <w:szCs w:val="24"/>
                <w:lang w:val="en-US" w:eastAsia="zh-CN" w:bidi="ar"/>
              </w:rPr>
              <w:t>②</w:t>
            </w:r>
            <w:r>
              <w:rPr>
                <w:rFonts w:hint="eastAsia" w:ascii="仿宋" w:hAnsi="仿宋" w:eastAsia="仿宋" w:cs="仿宋"/>
                <w:b w:val="0"/>
                <w:bCs w:val="0"/>
                <w:color w:val="auto"/>
                <w:sz w:val="24"/>
                <w:szCs w:val="24"/>
              </w:rPr>
              <w:t>绿化服务管理制度</w:t>
            </w:r>
            <w:r>
              <w:rPr>
                <w:rFonts w:hint="eastAsia" w:ascii="仿宋" w:hAnsi="仿宋" w:eastAsia="仿宋" w:cs="仿宋"/>
                <w:color w:val="000000"/>
                <w:kern w:val="0"/>
                <w:sz w:val="24"/>
                <w:szCs w:val="24"/>
                <w:lang w:val="en-US" w:eastAsia="zh-CN" w:bidi="ar"/>
              </w:rPr>
              <w:t xml:space="preserve">。 </w:t>
            </w:r>
          </w:p>
          <w:p w14:paraId="4B284410">
            <w:pPr>
              <w:keepNext w:val="0"/>
              <w:keepLines w:val="0"/>
              <w:widowControl/>
              <w:suppressLineNumbers w:val="0"/>
              <w:jc w:val="left"/>
              <w:rPr>
                <w:rFonts w:hint="eastAsia" w:ascii="仿宋" w:hAnsi="仿宋" w:eastAsia="仿宋" w:cs="仿宋"/>
              </w:rPr>
            </w:pPr>
            <w:r>
              <w:rPr>
                <w:rFonts w:hint="eastAsia" w:ascii="仿宋" w:hAnsi="仿宋" w:eastAsia="仿宋" w:cs="仿宋"/>
                <w:b/>
                <w:bCs/>
                <w:color w:val="000000"/>
                <w:kern w:val="0"/>
                <w:sz w:val="24"/>
                <w:szCs w:val="24"/>
                <w:lang w:val="en-US" w:eastAsia="zh-CN" w:bidi="ar"/>
              </w:rPr>
              <w:t xml:space="preserve">二、评审标准 </w:t>
            </w:r>
          </w:p>
          <w:p w14:paraId="72A9463E">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1、完整性：方案必须全面，对评审内容中的各项要求有详细描述； </w:t>
            </w:r>
          </w:p>
          <w:p w14:paraId="515B227D">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2、可实施性：切合本项目实际情况，提出步骤清晰、合理的方案； </w:t>
            </w:r>
          </w:p>
          <w:p w14:paraId="5DEC58AD">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3、针对性：方案能够紧扣项目实际情况，内容科学合理。 </w:t>
            </w:r>
          </w:p>
          <w:p w14:paraId="7438FA2B">
            <w:pPr>
              <w:keepNext w:val="0"/>
              <w:keepLines w:val="0"/>
              <w:widowControl/>
              <w:suppressLineNumbers w:val="0"/>
              <w:jc w:val="left"/>
              <w:rPr>
                <w:rFonts w:hint="eastAsia" w:ascii="仿宋" w:hAnsi="仿宋" w:eastAsia="仿宋" w:cs="仿宋"/>
              </w:rPr>
            </w:pPr>
            <w:r>
              <w:rPr>
                <w:rFonts w:hint="eastAsia" w:ascii="仿宋" w:hAnsi="仿宋" w:eastAsia="仿宋" w:cs="仿宋"/>
                <w:b/>
                <w:bCs/>
                <w:color w:val="000000"/>
                <w:kern w:val="0"/>
                <w:sz w:val="24"/>
                <w:szCs w:val="24"/>
                <w:lang w:val="en-US" w:eastAsia="zh-CN" w:bidi="ar"/>
              </w:rPr>
              <w:t xml:space="preserve">三、赋分标准（满分 6 分） </w:t>
            </w:r>
          </w:p>
          <w:p w14:paraId="041AC56F">
            <w:pPr>
              <w:keepNext w:val="0"/>
              <w:keepLines w:val="0"/>
              <w:widowControl/>
              <w:suppressLineNumbers w:val="0"/>
              <w:jc w:val="both"/>
              <w:rPr>
                <w:rFonts w:hint="eastAsia" w:ascii="仿宋" w:hAnsi="仿宋" w:eastAsia="仿宋" w:cs="仿宋"/>
              </w:rPr>
            </w:pPr>
            <w:r>
              <w:rPr>
                <w:rFonts w:hint="eastAsia" w:ascii="仿宋" w:hAnsi="仿宋" w:eastAsia="仿宋" w:cs="仿宋"/>
                <w:color w:val="000000"/>
                <w:kern w:val="0"/>
                <w:sz w:val="24"/>
                <w:szCs w:val="24"/>
                <w:lang w:val="en-US" w:eastAsia="zh-CN" w:bidi="ar"/>
              </w:rPr>
              <w:t>①</w:t>
            </w:r>
            <w:r>
              <w:rPr>
                <w:rFonts w:hint="eastAsia" w:ascii="仿宋" w:hAnsi="仿宋" w:eastAsia="仿宋" w:cs="仿宋"/>
                <w:color w:val="auto"/>
                <w:kern w:val="0"/>
                <w:sz w:val="24"/>
                <w:szCs w:val="24"/>
              </w:rPr>
              <w:t>日常绿化养护</w:t>
            </w:r>
            <w:r>
              <w:rPr>
                <w:rFonts w:hint="eastAsia" w:ascii="仿宋" w:hAnsi="仿宋" w:eastAsia="仿宋" w:cs="仿宋"/>
                <w:color w:val="000000"/>
                <w:kern w:val="0"/>
                <w:sz w:val="24"/>
                <w:szCs w:val="24"/>
                <w:lang w:val="en-US" w:eastAsia="zh-CN" w:bidi="ar"/>
              </w:rPr>
              <w:t xml:space="preserve">：每完全满足一个评审标准得 1 分，满分 3 分； </w:t>
            </w:r>
          </w:p>
          <w:p w14:paraId="0098847E">
            <w:pPr>
              <w:keepNext w:val="0"/>
              <w:keepLines w:val="0"/>
              <w:widowControl/>
              <w:suppressLineNumbers w:val="0"/>
              <w:jc w:val="both"/>
              <w:rPr>
                <w:rFonts w:hint="eastAsia" w:ascii="仿宋" w:hAnsi="仿宋" w:eastAsia="仿宋" w:cs="仿宋"/>
                <w:color w:val="auto"/>
                <w:sz w:val="24"/>
                <w:szCs w:val="24"/>
              </w:rPr>
            </w:pPr>
            <w:r>
              <w:rPr>
                <w:rFonts w:hint="eastAsia" w:ascii="仿宋" w:hAnsi="仿宋" w:eastAsia="仿宋" w:cs="仿宋"/>
                <w:color w:val="000000"/>
                <w:kern w:val="0"/>
                <w:sz w:val="24"/>
                <w:szCs w:val="24"/>
                <w:lang w:val="en-US" w:eastAsia="zh-CN" w:bidi="ar"/>
              </w:rPr>
              <w:t>②</w:t>
            </w:r>
            <w:r>
              <w:rPr>
                <w:rFonts w:hint="eastAsia" w:ascii="仿宋" w:hAnsi="仿宋" w:eastAsia="仿宋" w:cs="仿宋"/>
                <w:color w:val="auto"/>
                <w:kern w:val="0"/>
                <w:sz w:val="24"/>
                <w:szCs w:val="24"/>
              </w:rPr>
              <w:t>绿化服务的管理制度</w:t>
            </w:r>
            <w:r>
              <w:rPr>
                <w:rFonts w:hint="eastAsia" w:ascii="仿宋" w:hAnsi="仿宋" w:eastAsia="仿宋" w:cs="仿宋"/>
                <w:color w:val="000000"/>
                <w:kern w:val="0"/>
                <w:sz w:val="24"/>
                <w:szCs w:val="24"/>
                <w:lang w:val="en-US" w:eastAsia="zh-CN" w:bidi="ar"/>
              </w:rPr>
              <w:t>:每完全满足一个评审标准得 1 分，满分 3 分。</w:t>
            </w:r>
          </w:p>
        </w:tc>
      </w:tr>
      <w:tr w14:paraId="73CE3968">
        <w:tblPrEx>
          <w:tblCellMar>
            <w:top w:w="0" w:type="dxa"/>
            <w:left w:w="108" w:type="dxa"/>
            <w:bottom w:w="0" w:type="dxa"/>
            <w:right w:w="108" w:type="dxa"/>
          </w:tblCellMar>
        </w:tblPrEx>
        <w:trPr>
          <w:trHeight w:val="4156" w:hRule="atLeast"/>
          <w:jc w:val="center"/>
        </w:trPr>
        <w:tc>
          <w:tcPr>
            <w:tcW w:w="1828" w:type="dxa"/>
            <w:tcBorders>
              <w:top w:val="single" w:color="auto" w:sz="4" w:space="0"/>
              <w:left w:val="single" w:color="auto" w:sz="4" w:space="0"/>
              <w:bottom w:val="single" w:color="auto" w:sz="4" w:space="0"/>
              <w:right w:val="single" w:color="auto" w:sz="4" w:space="0"/>
            </w:tcBorders>
            <w:noWrap/>
            <w:vAlign w:val="center"/>
          </w:tcPr>
          <w:p w14:paraId="7C7F5C0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000000"/>
                <w:kern w:val="0"/>
                <w:sz w:val="24"/>
                <w:szCs w:val="24"/>
                <w:highlight w:val="none"/>
                <w:lang w:val="en-US" w:eastAsia="zh-CN" w:bidi="ar"/>
              </w:rPr>
            </w:pPr>
          </w:p>
          <w:p w14:paraId="131AC387">
            <w:pPr>
              <w:keepNext w:val="0"/>
              <w:keepLines w:val="0"/>
              <w:pageBreakBefore w:val="0"/>
              <w:widowControl/>
              <w:suppressLineNumbers w:val="0"/>
              <w:kinsoku/>
              <w:wordWrap/>
              <w:overflowPunct/>
              <w:topLinePunct w:val="0"/>
              <w:autoSpaceDE/>
              <w:autoSpaceDN/>
              <w:bidi w:val="0"/>
              <w:adjustRightInd/>
              <w:snapToGrid/>
              <w:spacing w:line="288" w:lineRule="auto"/>
              <w:ind w:left="0" w:leftChars="0" w:firstLine="243" w:firstLineChars="100"/>
              <w:jc w:val="both"/>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拟投入工具</w:t>
            </w:r>
          </w:p>
          <w:p w14:paraId="4F09BB7D">
            <w:pPr>
              <w:keepNext w:val="0"/>
              <w:keepLines w:val="0"/>
              <w:pageBreakBefore w:val="0"/>
              <w:widowControl/>
              <w:suppressLineNumbers w:val="0"/>
              <w:kinsoku/>
              <w:wordWrap/>
              <w:overflowPunct/>
              <w:topLinePunct w:val="0"/>
              <w:autoSpaceDE/>
              <w:autoSpaceDN/>
              <w:bidi w:val="0"/>
              <w:adjustRightInd/>
              <w:snapToGrid/>
              <w:spacing w:line="288" w:lineRule="auto"/>
              <w:ind w:firstLine="486"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（8分）</w:t>
            </w:r>
          </w:p>
          <w:p w14:paraId="4BA03E71">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kern w:val="0"/>
                <w:sz w:val="24"/>
                <w:szCs w:val="24"/>
              </w:rPr>
            </w:pPr>
          </w:p>
        </w:tc>
        <w:tc>
          <w:tcPr>
            <w:tcW w:w="7044" w:type="dxa"/>
            <w:tcBorders>
              <w:top w:val="single" w:color="auto" w:sz="4" w:space="0"/>
              <w:left w:val="nil"/>
              <w:bottom w:val="single" w:color="auto" w:sz="4" w:space="0"/>
              <w:right w:val="single" w:color="auto" w:sz="4" w:space="0"/>
            </w:tcBorders>
            <w:noWrap/>
            <w:vAlign w:val="bottom"/>
          </w:tcPr>
          <w:p w14:paraId="7762EF1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1、供应商承诺：工作人员服装整齐划一、统一规范、标志标识等佩戴规范，得 2.5分。 </w:t>
            </w:r>
          </w:p>
          <w:p w14:paraId="1B04EEC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赋分依据：供应商提供加盖公章的承诺书，格式自拟，无承诺不得分。 </w:t>
            </w:r>
          </w:p>
          <w:p w14:paraId="195D93C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2、供应商需依据本项目要求，提供全面完备的设备工具配置清单（所有配置物品均须明确名称、规格），配置需包括以下内容：①夜间巡逻的手电筒②小型简易探照灯③手持对讲机④警戒带⑤警棍</w:t>
            </w:r>
            <w:r>
              <w:rPr>
                <w:rFonts w:hint="eastAsia" w:ascii="仿宋" w:hAnsi="仿宋" w:eastAsia="仿宋" w:cs="仿宋"/>
                <w:sz w:val="24"/>
                <w:szCs w:val="24"/>
              </w:rPr>
              <w:t>⑥</w:t>
            </w:r>
            <w:r>
              <w:rPr>
                <w:rFonts w:hint="eastAsia" w:ascii="仿宋" w:hAnsi="仿宋" w:eastAsia="仿宋" w:cs="仿宋"/>
                <w:color w:val="000000"/>
                <w:kern w:val="0"/>
                <w:sz w:val="24"/>
                <w:szCs w:val="24"/>
                <w:lang w:val="en-US" w:eastAsia="zh-CN" w:bidi="ar"/>
              </w:rPr>
              <w:t>盾牌⑦防暴钢叉器材⑧</w:t>
            </w:r>
            <w:r>
              <w:rPr>
                <w:rFonts w:hint="eastAsia" w:ascii="仿宋" w:hAnsi="仿宋" w:eastAsia="仿宋" w:cs="仿宋"/>
                <w:sz w:val="24"/>
                <w:szCs w:val="24"/>
              </w:rPr>
              <w:t>干湿分区清洁工具套装（分区拖把、抹布、水桶</w:t>
            </w:r>
            <w:r>
              <w:rPr>
                <w:rFonts w:hint="eastAsia" w:ascii="仿宋" w:hAnsi="仿宋" w:eastAsia="仿宋" w:cs="仿宋"/>
                <w:b w:val="0"/>
                <w:bCs/>
                <w:sz w:val="24"/>
                <w:szCs w:val="24"/>
              </w:rPr>
              <w:t>）</w:t>
            </w:r>
            <w:r>
              <w:rPr>
                <w:rFonts w:hint="eastAsia" w:ascii="仿宋" w:hAnsi="仿宋" w:eastAsia="仿宋" w:cs="仿宋"/>
                <w:sz w:val="24"/>
                <w:szCs w:val="24"/>
              </w:rPr>
              <w:t>⑨分类垃圾桶及清运工具</w:t>
            </w:r>
            <w:r>
              <w:rPr>
                <w:rFonts w:hint="eastAsia" w:ascii="仿宋" w:hAnsi="仿宋" w:eastAsia="仿宋" w:cs="仿宋"/>
                <w:sz w:val="24"/>
                <w:szCs w:val="24"/>
                <w:lang w:val="en-US" w:eastAsia="zh-CN"/>
              </w:rPr>
              <w:t>⑩</w:t>
            </w:r>
            <w:r>
              <w:rPr>
                <w:rFonts w:hint="eastAsia" w:ascii="仿宋" w:hAnsi="仿宋" w:eastAsia="仿宋" w:cs="仿宋"/>
                <w:sz w:val="24"/>
                <w:szCs w:val="24"/>
              </w:rPr>
              <w:t>消毒耗材⑪防滑警示牌、清洁作业提示牌</w:t>
            </w:r>
            <w:r>
              <w:rPr>
                <w:rFonts w:hint="eastAsia" w:ascii="仿宋" w:hAnsi="仿宋" w:eastAsia="仿宋" w:cs="仿宋"/>
                <w:color w:val="000000"/>
                <w:kern w:val="0"/>
                <w:sz w:val="24"/>
                <w:szCs w:val="24"/>
                <w:lang w:val="en-US" w:eastAsia="zh-CN" w:bidi="ar"/>
              </w:rPr>
              <w:t>，每提供一项得 0.5 分，满分 5.5 分。</w:t>
            </w:r>
          </w:p>
        </w:tc>
      </w:tr>
    </w:tbl>
    <w:p w14:paraId="38A3FCB1">
      <w:pPr>
        <w:tabs>
          <w:tab w:val="left" w:pos="1914"/>
        </w:tabs>
        <w:bidi w:val="0"/>
        <w:ind w:firstLine="566" w:firstLineChars="200"/>
        <w:jc w:val="left"/>
        <w:rPr>
          <w:rFonts w:hint="eastAsia" w:ascii="华文仿宋" w:hAnsi="华文仿宋" w:cs="华文仿宋"/>
          <w:color w:val="000000"/>
          <w:lang w:val="ru-RU" w:eastAsia="zh-CN"/>
        </w:rPr>
      </w:pPr>
    </w:p>
    <w:p w14:paraId="230218C9">
      <w:pPr>
        <w:tabs>
          <w:tab w:val="left" w:pos="1914"/>
        </w:tabs>
        <w:bidi w:val="0"/>
        <w:ind w:firstLine="566" w:firstLineChars="200"/>
        <w:jc w:val="left"/>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4"/>
        <w:ind w:firstLine="567"/>
        <w:rPr>
          <w:rFonts w:ascii="华文仿宋" w:hAnsi="华文仿宋" w:cs="华文仿宋"/>
          <w:color w:val="000000"/>
          <w:sz w:val="28"/>
          <w:szCs w:val="28"/>
        </w:rPr>
      </w:pPr>
      <w:bookmarkStart w:id="123" w:name="_Toc25855"/>
      <w:bookmarkStart w:id="124" w:name="_Toc4670"/>
      <w:bookmarkStart w:id="125" w:name="_Toc30924"/>
      <w:bookmarkStart w:id="126" w:name="_Toc22712"/>
      <w:bookmarkStart w:id="127" w:name="_Toc28384"/>
      <w:bookmarkStart w:id="128" w:name="_Toc17612"/>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1</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注：按照《延安市市直单位政府采购中心采购项目委托代理协议书》中约定执行。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2"/>
          <w:rFonts w:hint="eastAsia" w:ascii="华文仿宋" w:hAnsi="华文仿宋" w:cs="华文仿宋"/>
          <w:color w:val="000000"/>
          <w:sz w:val="28"/>
          <w:szCs w:val="28"/>
        </w:rPr>
        <w:t>陕西省政府采购网</w:t>
      </w:r>
      <w:r>
        <w:rPr>
          <w:rStyle w:val="22"/>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2"/>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2"/>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4"/>
        <w:ind w:firstLine="567"/>
        <w:rPr>
          <w:rFonts w:ascii="华文仿宋" w:hAnsi="华文仿宋" w:cs="华文仿宋"/>
          <w:color w:val="000000"/>
          <w:sz w:val="28"/>
          <w:szCs w:val="28"/>
        </w:rPr>
      </w:pPr>
      <w:bookmarkStart w:id="129" w:name="_Toc10386"/>
      <w:bookmarkStart w:id="130" w:name="_Toc14009"/>
      <w:bookmarkStart w:id="131" w:name="_Toc3100"/>
      <w:bookmarkStart w:id="132" w:name="_Toc31537"/>
      <w:bookmarkStart w:id="133" w:name="_Toc28870"/>
      <w:bookmarkStart w:id="134" w:name="_Toc20049"/>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4"/>
        <w:ind w:firstLine="567"/>
        <w:rPr>
          <w:rFonts w:ascii="华文仿宋" w:hAnsi="华文仿宋" w:cs="华文仿宋"/>
          <w:color w:val="000000"/>
          <w:sz w:val="28"/>
          <w:szCs w:val="28"/>
        </w:rPr>
      </w:pPr>
      <w:bookmarkStart w:id="135" w:name="_Toc3153"/>
      <w:bookmarkStart w:id="136" w:name="_Toc16965"/>
      <w:bookmarkStart w:id="137" w:name="_Toc23346"/>
      <w:bookmarkStart w:id="138" w:name="_Toc1272"/>
      <w:bookmarkStart w:id="139" w:name="_Toc864"/>
      <w:bookmarkStart w:id="140" w:name="_Toc21906"/>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3DC9CB46">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4510BC57">
      <w:pPr>
        <w:pStyle w:val="3"/>
        <w:keepNext w:val="0"/>
        <w:keepLines/>
        <w:pageBreakBefore/>
        <w:widowControl/>
        <w:kinsoku/>
        <w:wordWrap/>
        <w:overflowPunct/>
        <w:topLinePunct w:val="0"/>
        <w:autoSpaceDE/>
        <w:autoSpaceDN/>
        <w:bidi w:val="0"/>
        <w:adjustRightInd/>
        <w:snapToGrid/>
        <w:spacing w:afterLines="50" w:line="500" w:lineRule="exact"/>
        <w:textAlignment w:val="auto"/>
        <w:rPr>
          <w:rFonts w:hint="eastAsia" w:ascii="仿宋" w:hAnsi="仿宋" w:eastAsia="仿宋" w:cs="仿宋"/>
          <w:b/>
          <w:bCs/>
          <w:color w:val="auto"/>
          <w:kern w:val="2"/>
          <w:sz w:val="28"/>
          <w:szCs w:val="28"/>
          <w:highlight w:val="none"/>
          <w:lang w:val="en-US" w:eastAsia="zh-CN" w:bidi="ar-SA"/>
        </w:rPr>
      </w:pPr>
      <w:bookmarkStart w:id="141" w:name="_Toc10476_WPSOffice_Level1"/>
      <w:bookmarkStart w:id="142" w:name="_Toc10627"/>
      <w:bookmarkStart w:id="143" w:name="_Toc24433"/>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5E8CF373">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华文仿宋" w:hAnsi="华文仿宋" w:eastAsia="华文仿宋" w:cs="华文仿宋"/>
          <w:b/>
          <w:sz w:val="28"/>
          <w:szCs w:val="28"/>
        </w:rPr>
      </w:pPr>
      <w:r>
        <w:rPr>
          <w:rFonts w:hint="eastAsia" w:ascii="华文仿宋" w:hAnsi="华文仿宋" w:cs="华文仿宋"/>
          <w:b/>
          <w:sz w:val="28"/>
          <w:szCs w:val="28"/>
          <w:lang w:val="en-US" w:eastAsia="zh-CN"/>
        </w:rPr>
        <w:t>一、</w:t>
      </w:r>
      <w:r>
        <w:rPr>
          <w:rFonts w:hint="eastAsia" w:ascii="华文仿宋" w:hAnsi="华文仿宋" w:eastAsia="华文仿宋" w:cs="华文仿宋"/>
          <w:b/>
          <w:sz w:val="28"/>
          <w:szCs w:val="28"/>
        </w:rPr>
        <w:t>采购项目清单</w:t>
      </w:r>
    </w:p>
    <w:tbl>
      <w:tblPr>
        <w:tblStyle w:val="38"/>
        <w:tblW w:w="96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1"/>
        <w:gridCol w:w="4606"/>
        <w:gridCol w:w="2261"/>
        <w:gridCol w:w="1985"/>
      </w:tblGrid>
      <w:tr w14:paraId="74AD4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trPr>
        <w:tc>
          <w:tcPr>
            <w:tcW w:w="841" w:type="dxa"/>
            <w:noWrap w:val="0"/>
            <w:vAlign w:val="top"/>
          </w:tcPr>
          <w:p w14:paraId="002A72A7">
            <w:pPr>
              <w:pStyle w:val="37"/>
              <w:spacing w:before="233" w:line="191" w:lineRule="auto"/>
              <w:ind w:left="156"/>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w:t>
            </w:r>
          </w:p>
        </w:tc>
        <w:tc>
          <w:tcPr>
            <w:tcW w:w="4606" w:type="dxa"/>
            <w:noWrap w:val="0"/>
            <w:vAlign w:val="top"/>
          </w:tcPr>
          <w:p w14:paraId="00EA5CFA">
            <w:pPr>
              <w:pStyle w:val="37"/>
              <w:spacing w:before="233" w:line="191" w:lineRule="auto"/>
              <w:jc w:val="center"/>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品  名</w:t>
            </w:r>
          </w:p>
        </w:tc>
        <w:tc>
          <w:tcPr>
            <w:tcW w:w="2261" w:type="dxa"/>
            <w:noWrap w:val="0"/>
            <w:vAlign w:val="top"/>
          </w:tcPr>
          <w:p w14:paraId="716A09DD">
            <w:pPr>
              <w:pStyle w:val="37"/>
              <w:spacing w:before="175" w:line="225" w:lineRule="auto"/>
              <w:jc w:val="center"/>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数量(单位)</w:t>
            </w:r>
          </w:p>
        </w:tc>
        <w:tc>
          <w:tcPr>
            <w:tcW w:w="1985" w:type="dxa"/>
            <w:noWrap w:val="0"/>
            <w:vAlign w:val="top"/>
          </w:tcPr>
          <w:p w14:paraId="1DD4701F">
            <w:pPr>
              <w:pStyle w:val="37"/>
              <w:spacing w:before="233" w:line="191" w:lineRule="auto"/>
              <w:jc w:val="center"/>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备注</w:t>
            </w:r>
          </w:p>
        </w:tc>
      </w:tr>
      <w:tr w14:paraId="2B371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6" w:hRule="atLeast"/>
        </w:trPr>
        <w:tc>
          <w:tcPr>
            <w:tcW w:w="841" w:type="dxa"/>
            <w:noWrap w:val="0"/>
            <w:vAlign w:val="top"/>
          </w:tcPr>
          <w:p w14:paraId="2F333EC7">
            <w:pPr>
              <w:spacing w:line="500" w:lineRule="exact"/>
              <w:ind w:firstLine="566" w:firstLineChars="200"/>
              <w:rPr>
                <w:rFonts w:hint="eastAsia" w:ascii="华文仿宋" w:hAnsi="华文仿宋" w:cs="华文仿宋"/>
                <w:color w:val="000000"/>
                <w:lang w:val="en-US" w:eastAsia="zh-CN"/>
              </w:rPr>
            </w:pPr>
          </w:p>
          <w:p w14:paraId="29EF95CE">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en-US"/>
              </w:rPr>
              <w:t>1</w:t>
            </w:r>
          </w:p>
        </w:tc>
        <w:tc>
          <w:tcPr>
            <w:tcW w:w="4606" w:type="dxa"/>
            <w:noWrap w:val="0"/>
            <w:vAlign w:val="top"/>
          </w:tcPr>
          <w:p w14:paraId="27807649">
            <w:pPr>
              <w:spacing w:line="500" w:lineRule="exact"/>
              <w:rPr>
                <w:rFonts w:hint="eastAsia" w:ascii="华文仿宋" w:hAnsi="华文仿宋" w:cs="华文仿宋"/>
                <w:color w:val="000000"/>
                <w:lang w:val="en-US" w:eastAsia="zh-CN"/>
              </w:rPr>
            </w:pPr>
            <w:r>
              <w:rPr>
                <w:rFonts w:hint="eastAsia" w:ascii="华文仿宋" w:hAnsi="华文仿宋" w:cs="华文仿宋"/>
                <w:color w:val="000000"/>
                <w:lang w:val="en-US" w:eastAsia="en-US"/>
              </w:rPr>
              <w:t>延安</w:t>
            </w:r>
            <w:r>
              <w:rPr>
                <w:rFonts w:hint="eastAsia" w:ascii="华文仿宋" w:hAnsi="华文仿宋" w:cs="华文仿宋"/>
                <w:color w:val="000000"/>
                <w:lang w:val="en-US" w:eastAsia="zh-CN"/>
              </w:rPr>
              <w:t>凤凰山革命旧址管理处（含中国人民抗日军政大学纪念馆）</w:t>
            </w:r>
            <w:r>
              <w:rPr>
                <w:rFonts w:hint="eastAsia" w:ascii="华文仿宋" w:hAnsi="华文仿宋" w:cs="华文仿宋"/>
                <w:color w:val="000000"/>
                <w:lang w:val="en-US" w:eastAsia="en-US"/>
              </w:rPr>
              <w:t>物业服务项目</w:t>
            </w:r>
          </w:p>
        </w:tc>
        <w:tc>
          <w:tcPr>
            <w:tcW w:w="2261" w:type="dxa"/>
            <w:noWrap w:val="0"/>
            <w:vAlign w:val="top"/>
          </w:tcPr>
          <w:p w14:paraId="68C4E288">
            <w:pPr>
              <w:spacing w:line="500" w:lineRule="exact"/>
              <w:ind w:firstLine="566" w:firstLineChars="200"/>
              <w:rPr>
                <w:rFonts w:hint="eastAsia" w:ascii="华文仿宋" w:hAnsi="华文仿宋" w:cs="华文仿宋"/>
                <w:color w:val="000000"/>
                <w:lang w:val="en-US" w:eastAsia="zh-CN"/>
              </w:rPr>
            </w:pPr>
          </w:p>
          <w:p w14:paraId="5D2745CB">
            <w:pPr>
              <w:spacing w:line="500" w:lineRule="exact"/>
              <w:jc w:val="center"/>
              <w:rPr>
                <w:rFonts w:hint="eastAsia" w:ascii="华文仿宋" w:hAnsi="华文仿宋" w:cs="华文仿宋"/>
                <w:color w:val="000000"/>
                <w:lang w:val="en-US" w:eastAsia="zh-CN"/>
              </w:rPr>
            </w:pPr>
            <w:r>
              <w:rPr>
                <w:rFonts w:hint="eastAsia" w:ascii="华文仿宋" w:hAnsi="华文仿宋" w:cs="华文仿宋"/>
                <w:color w:val="000000"/>
                <w:lang w:val="en-US" w:eastAsia="zh-CN"/>
              </w:rPr>
              <w:t>1</w:t>
            </w:r>
            <w:r>
              <w:rPr>
                <w:rFonts w:hint="eastAsia" w:ascii="华文仿宋" w:hAnsi="华文仿宋" w:cs="华文仿宋"/>
                <w:color w:val="000000"/>
                <w:lang w:val="en-US" w:eastAsia="en-US"/>
              </w:rPr>
              <w:t xml:space="preserve"> 年</w:t>
            </w:r>
          </w:p>
        </w:tc>
        <w:tc>
          <w:tcPr>
            <w:tcW w:w="1985" w:type="dxa"/>
            <w:noWrap w:val="0"/>
            <w:vAlign w:val="top"/>
          </w:tcPr>
          <w:p w14:paraId="40D14A9D">
            <w:pPr>
              <w:spacing w:line="500" w:lineRule="exact"/>
              <w:ind w:firstLine="566" w:firstLineChars="200"/>
              <w:rPr>
                <w:rFonts w:hint="eastAsia" w:ascii="华文仿宋" w:hAnsi="华文仿宋" w:cs="华文仿宋"/>
                <w:color w:val="000000"/>
                <w:lang w:val="en-US" w:eastAsia="zh-CN"/>
              </w:rPr>
            </w:pPr>
          </w:p>
          <w:p w14:paraId="271AF1FE">
            <w:pPr>
              <w:spacing w:line="500" w:lineRule="exact"/>
              <w:jc w:val="center"/>
              <w:rPr>
                <w:rFonts w:hint="eastAsia" w:ascii="华文仿宋" w:hAnsi="华文仿宋" w:cs="华文仿宋"/>
                <w:color w:val="000000"/>
                <w:lang w:val="en-US" w:eastAsia="zh-CN"/>
              </w:rPr>
            </w:pPr>
            <w:r>
              <w:rPr>
                <w:rFonts w:hint="eastAsia" w:ascii="华文仿宋" w:hAnsi="华文仿宋" w:cs="华文仿宋"/>
                <w:color w:val="000000"/>
                <w:lang w:val="en-US" w:eastAsia="zh-CN"/>
              </w:rPr>
              <w:t>773936.8元</w:t>
            </w:r>
          </w:p>
        </w:tc>
      </w:tr>
    </w:tbl>
    <w:p w14:paraId="3238C039">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华文仿宋" w:hAnsi="华文仿宋" w:eastAsia="华文仿宋" w:cs="华文仿宋"/>
          <w:b/>
          <w:sz w:val="28"/>
          <w:szCs w:val="28"/>
        </w:rPr>
      </w:pPr>
      <w:r>
        <w:rPr>
          <w:rFonts w:hint="eastAsia" w:ascii="华文仿宋" w:hAnsi="华文仿宋" w:eastAsia="华文仿宋" w:cs="华文仿宋"/>
          <w:b/>
          <w:sz w:val="28"/>
          <w:szCs w:val="28"/>
          <w:lang w:val="en-US" w:eastAsia="zh-CN"/>
        </w:rPr>
        <w:t>二、</w:t>
      </w:r>
      <w:r>
        <w:rPr>
          <w:rFonts w:hint="eastAsia" w:ascii="华文仿宋" w:hAnsi="华文仿宋" w:eastAsia="华文仿宋" w:cs="华文仿宋"/>
          <w:b/>
          <w:sz w:val="28"/>
          <w:szCs w:val="28"/>
        </w:rPr>
        <w:t xml:space="preserve">采购项目详细的技术参数及要求 </w:t>
      </w:r>
    </w:p>
    <w:p w14:paraId="55F58DEB">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一、服务内容</w:t>
      </w:r>
    </w:p>
    <w:p w14:paraId="0338B3AF">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凤凰山是中共中央1937年1月13日到达延安的第一个驻地。凤凰山麓旧址现存石窑洞12孔、瓦房73间、石凿防空洞2处。占地面积1.8231万平方米，建筑面积2316.37平方米，分为4个院落。现开放的有毛泽东旧居、朱德旧居、周恩来旧居、彭德怀旧居、肖劲光旧居、刘伯承旧居、滕代远旧居、军委总参谋部旧址、中共中央机要科旧址、警卫排旧址、防空洞等的保安、保洁、绿化服务。</w:t>
      </w:r>
    </w:p>
    <w:p w14:paraId="2D71235A">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2.中国人民抗日军政大学纪念馆位于延安市宝塔区中心街，总建筑面积5096、5平方米，展馆内展览面积为2525平方米，展线700多米的保安 、保洁服务。</w:t>
      </w:r>
    </w:p>
    <w:p w14:paraId="3785EA07">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（1）保洁服务：凤凰山旧址办公区域、广场、旧址、李家窑院所辖区域内的日常清洁保养等；中国人民抗日军政大学纪念馆展厅、游客服务中心及停车场所辖区域内的日常清洁保养等。</w:t>
      </w:r>
    </w:p>
    <w:p w14:paraId="4BD0C5AE">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（2）安保服务：来人登记检验，门卫守护、展馆巡逻、维护公共秩序及处理安全突发事件等所辖区域内的所有保卫安全工作。</w:t>
      </w:r>
    </w:p>
    <w:p w14:paraId="2B65F4B0">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（3）绿化服务：凤凰山旧址所辖区域内的草坪及绿篱日常养护管理等。</w:t>
      </w:r>
    </w:p>
    <w:p w14:paraId="4FCB3859">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二、服务要求</w:t>
      </w:r>
    </w:p>
    <w:p w14:paraId="3B77CBA1">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1.门岗执勤：负责所辖区域内的值守、查验、登记及车辆管理，维护所辖区域内的秩序；</w:t>
      </w:r>
    </w:p>
    <w:p w14:paraId="7E43A780">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2.馆内巡逻：负责所辖区域内24 小时巡逻 ，及时发现报告各类安全隐患，及时消除潜在风险；</w:t>
      </w:r>
    </w:p>
    <w:p w14:paraId="04D6FD63">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3.保洁范围 、标准及完成时间：</w:t>
      </w:r>
    </w:p>
    <w:p w14:paraId="37B66D5A">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保洁范围：中国人民抗日军政大学纪念馆所辖区域内的保洁服务</w:t>
      </w:r>
    </w:p>
    <w:p w14:paraId="35848C76">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保洁标准：</w:t>
      </w:r>
    </w:p>
    <w:p w14:paraId="7269A0E2">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（1）玻璃门无广告、无蜘蛛网 、无明显灰尘、手印，地面无灰尘污渍、痰迹，墙面设施无明显灰尘、手印。</w:t>
      </w:r>
    </w:p>
    <w:p w14:paraId="7BD7E350">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（2）垃圾箱、宣传栏、标识标牌无灰尘、无污渍。</w:t>
      </w:r>
    </w:p>
    <w:p w14:paraId="476D6A9B">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（3）路面无明显泥沙污垢，50平方米内烟头、纸屑平均不超过两个，无碎石子等。</w:t>
      </w:r>
    </w:p>
    <w:p w14:paraId="410E5758">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（4）卫生间便池、地面、墙壁无污渍、无脚印、无异味、无涂画，设施完好，玻璃镜面无灰尘、无水渍。</w:t>
      </w:r>
    </w:p>
    <w:p w14:paraId="5BBA1C14">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保洁完成时间：每天早晨 8:30前。</w:t>
      </w:r>
    </w:p>
    <w:p w14:paraId="7A2276B3">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 xml:space="preserve">4.部分绿化服务： </w:t>
      </w:r>
    </w:p>
    <w:p w14:paraId="08EDBE5A">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（1）绿篱每年修剪 2-3 次，绿篱修剪边齐、面平，无死树、死枝。</w:t>
      </w:r>
    </w:p>
    <w:p w14:paraId="3DC8FE38">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 xml:space="preserve">（2）草坪修剪为每年 6-10 次，草坪无杂物和死草。 </w:t>
      </w:r>
    </w:p>
    <w:p w14:paraId="71AA7558">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 xml:space="preserve">（3）浇灌草坪，最主要是春灌、冬灌，其余根据天气及草坪需要。 </w:t>
      </w:r>
    </w:p>
    <w:p w14:paraId="0249FA08">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（4）病虫害防治，冬季灭卵，春季灭幼虫，夏季灭成虫，根据病虫害实际发展情况。</w:t>
      </w:r>
    </w:p>
    <w:p w14:paraId="69A6EEE7">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三、纪律要求</w:t>
      </w:r>
    </w:p>
    <w:p w14:paraId="1CBFC306">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1.遵守国家法律及采购人规章制度，服从采购人单位安全管理部门管理；</w:t>
      </w:r>
    </w:p>
    <w:p w14:paraId="02BE7008">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2.遵守行业标准和采购人单位管理规定，落实采购人制定的服务方案，建立健全消防灭火、防灾减灾、暴力恐怖事件应急预案；</w:t>
      </w:r>
    </w:p>
    <w:p w14:paraId="67B92C49">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3.树立“以游客为中心”的服务意识，切实维护采购人服务范围的安全工作；</w:t>
      </w:r>
    </w:p>
    <w:p w14:paraId="78D85A2E">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4.依法办事、文明执勤，杜绝与游客发生冲突；</w:t>
      </w:r>
    </w:p>
    <w:p w14:paraId="583452CD">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5.保安、保洁在岗正式着装，器材齐全、仪表端庄、精神饱满、行为规范；</w:t>
      </w:r>
    </w:p>
    <w:p w14:paraId="5B4F84A5">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6.执勤场所卫生内务整洁干净；</w:t>
      </w:r>
    </w:p>
    <w:p w14:paraId="2561564C">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7.上岗人员“ 六不”。即：不擅离岗位、不打瞌睡、不闲聊嬉闹、不打牌下棋、不酒后上岗、不干私活会客；</w:t>
      </w:r>
    </w:p>
    <w:p w14:paraId="4B4CC5E8">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8.岗位执勤、巡逻、门岗值守做好登记、保存原始记录、完善日常换班手续、交接清楚；</w:t>
      </w:r>
    </w:p>
    <w:p w14:paraId="0E7722E9">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四、队伍管理及人员配置</w:t>
      </w:r>
    </w:p>
    <w:p w14:paraId="6EF6E3B4">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1.凤凰山旧址人员数量需满足工作要求，共需要配置主管1人保安人员7人，保洁人员3人，绿化1人，保安员需持保安员证、无犯罪记录等证件上岗，所有人员均需身体健康、具有爱岗敬业、 吃苦耐劳的精神。</w:t>
      </w:r>
    </w:p>
    <w:p w14:paraId="3C7C5C4E">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2.中国人民抗日军政大学纪念馆人员数量需满足工作要求，共需要配置主管1人 水电工1人、保安人员7人，保洁人员3人，保安员需持保安员证、无犯罪记录等证件上岗，所有人员均需身体健康、具有爱岗敬业、 吃苦耐劳的精神。</w:t>
      </w:r>
    </w:p>
    <w:p w14:paraId="2C46534A">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队伍建设和管理</w:t>
      </w:r>
    </w:p>
    <w:p w14:paraId="08F138A1">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（1）投标人成立保安队伍，配备专职队长，长期从事管理职业，有管理团队经历，有较好的协调配合能力， 退伍军人优先， 保证队伍管理规范化和保安服务工作组织实施到位；</w:t>
      </w:r>
    </w:p>
    <w:p w14:paraId="5D3505B9">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（2）依法聘用保安，在组织工作中符合国家相关法律法规、符合采购人各项规章制度；</w:t>
      </w:r>
    </w:p>
    <w:p w14:paraId="69B92BFD">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（3）派驻人员应得到采购人同意，采购人在对服务过程中不满的有权要求更换人员，投标人应立即更换；</w:t>
      </w:r>
    </w:p>
    <w:p w14:paraId="4FE69639">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（4）派驻人员入职 、离职及个人档案管理规范，手续齐全，相关资料报送安全管理科室保管；</w:t>
      </w:r>
    </w:p>
    <w:p w14:paraId="7567C739">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（5）严格控制保安轮换比例， 轮换保安需提前一周内向采购人报备，并做好保安储备工作，保障采购人保安工作有序进行；</w:t>
      </w:r>
    </w:p>
    <w:p w14:paraId="7115D088">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（6）严格岗位管理，落实定人定岗，不得随意抽调人员；</w:t>
      </w:r>
    </w:p>
    <w:p w14:paraId="550ADA29">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（7）遇到重大活动或紧急事件，保安人数不足，投标人有义务临时无偿增派保安援助；</w:t>
      </w:r>
    </w:p>
    <w:p w14:paraId="2EF1E4B9">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（8）严禁脱岗、缺岗、寻衅滋事，否则采购人按照违约进行处罚，情节严重将终止合同；</w:t>
      </w:r>
    </w:p>
    <w:p w14:paraId="36F2F9AF">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（9）所有人员上岗前经过专业培训，需具备与岗位相适应的观察、处置 、汇报问题的能力，具备使用消防、技防及保安相关器材的能力。</w:t>
      </w:r>
    </w:p>
    <w:p w14:paraId="49F78A5B">
      <w:pPr>
        <w:spacing w:line="500" w:lineRule="exact"/>
        <w:ind w:firstLine="566" w:firstLineChars="200"/>
        <w:rPr>
          <w:rFonts w:hint="default" w:ascii="华文仿宋" w:hAnsi="华文仿宋" w:cs="华文仿宋"/>
          <w:color w:val="000000"/>
          <w:lang w:val="en-US" w:eastAsia="zh-CN"/>
        </w:rPr>
      </w:pPr>
    </w:p>
    <w:p w14:paraId="75535B12">
      <w:pPr>
        <w:pStyle w:val="2"/>
        <w:rPr>
          <w:rFonts w:hint="default"/>
          <w:lang w:val="en-US" w:eastAsia="zh-CN"/>
        </w:rPr>
      </w:pPr>
    </w:p>
    <w:p w14:paraId="175212DF">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注：该项目采购内容及要求由采购人提供。</w:t>
      </w: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29"/>
          <w:rFonts w:ascii="黑体" w:hAnsi="黑体" w:eastAsia="黑体" w:cs="黑体"/>
          <w:b w:val="0"/>
          <w:bCs/>
          <w:color w:val="000000"/>
          <w:sz w:val="32"/>
          <w:szCs w:val="32"/>
        </w:rPr>
      </w:pPr>
      <w:r>
        <w:rPr>
          <w:rStyle w:val="29"/>
          <w:rFonts w:hint="eastAsia" w:ascii="黑体" w:hAnsi="黑体" w:eastAsia="黑体" w:cs="黑体"/>
          <w:b w:val="0"/>
          <w:bCs/>
          <w:color w:val="000000"/>
          <w:sz w:val="32"/>
          <w:szCs w:val="32"/>
        </w:rPr>
        <w:t>第四章  合同草案条款</w:t>
      </w:r>
    </w:p>
    <w:p w14:paraId="381BB85D">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bCs/>
          <w:color w:val="000000"/>
          <w:sz w:val="28"/>
          <w:szCs w:val="28"/>
          <w:lang w:val="en-US" w:eastAsia="zh-CN"/>
        </w:rPr>
        <w:t>一、服务地点：</w:t>
      </w:r>
      <w:r>
        <w:rPr>
          <w:rFonts w:hint="eastAsia" w:ascii="华文仿宋" w:hAnsi="华文仿宋" w:cs="华文仿宋"/>
          <w:b w:val="0"/>
          <w:bCs w:val="0"/>
          <w:color w:val="000000"/>
          <w:sz w:val="28"/>
          <w:szCs w:val="28"/>
          <w:lang w:val="en-US" w:eastAsia="zh-CN"/>
        </w:rPr>
        <w:t xml:space="preserve">采购人指定地点。 </w:t>
      </w:r>
    </w:p>
    <w:p w14:paraId="40FA9290">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default" w:ascii="华文仿宋" w:hAnsi="华文仿宋" w:cs="华文仿宋"/>
          <w:b w:val="0"/>
          <w:bCs w:val="0"/>
          <w:color w:val="000000"/>
          <w:sz w:val="28"/>
          <w:szCs w:val="28"/>
          <w:lang w:val="en-US" w:eastAsia="zh-CN"/>
        </w:rPr>
      </w:pPr>
      <w:r>
        <w:rPr>
          <w:rFonts w:hint="eastAsia" w:ascii="华文仿宋" w:hAnsi="华文仿宋" w:cs="华文仿宋"/>
          <w:b/>
          <w:bCs/>
          <w:color w:val="000000"/>
          <w:sz w:val="28"/>
          <w:szCs w:val="28"/>
          <w:lang w:val="en-US" w:eastAsia="zh-CN"/>
        </w:rPr>
        <w:t>二、服务期限：</w:t>
      </w:r>
      <w:r>
        <w:rPr>
          <w:rFonts w:hint="default" w:ascii="华文仿宋" w:hAnsi="华文仿宋" w:cs="华文仿宋"/>
          <w:b w:val="0"/>
          <w:bCs w:val="0"/>
          <w:color w:val="000000"/>
          <w:sz w:val="28"/>
          <w:szCs w:val="28"/>
          <w:lang w:val="en-US" w:eastAsia="zh-CN"/>
        </w:rPr>
        <w:t>自合同签订之日起一年</w:t>
      </w:r>
    </w:p>
    <w:p w14:paraId="55422878">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bCs/>
          <w:color w:val="000000"/>
          <w:sz w:val="28"/>
          <w:szCs w:val="28"/>
          <w:lang w:val="en-US" w:eastAsia="zh-CN"/>
        </w:rPr>
        <w:t>三、合同总价：</w:t>
      </w:r>
      <w:r>
        <w:rPr>
          <w:rFonts w:hint="eastAsia" w:ascii="华文仿宋" w:hAnsi="华文仿宋" w:cs="华文仿宋"/>
          <w:b w:val="0"/>
          <w:bCs w:val="0"/>
          <w:color w:val="000000"/>
          <w:sz w:val="28"/>
          <w:szCs w:val="28"/>
          <w:lang w:val="en-US" w:eastAsia="zh-CN"/>
        </w:rPr>
        <w:t xml:space="preserve">合同总价即成交价格，包括：服务费用、税费、其他费用等相关的全部费用，在合同执行过程中不因其他因素进行变更。 </w:t>
      </w:r>
    </w:p>
    <w:p w14:paraId="70E021A3">
      <w:pPr>
        <w:keepNext w:val="0"/>
        <w:keepLines w:val="0"/>
        <w:pageBreakBefore w:val="0"/>
        <w:widowControl/>
        <w:numPr>
          <w:ilvl w:val="0"/>
          <w:numId w:val="0"/>
        </w:numPr>
        <w:kinsoku/>
        <w:wordWrap/>
        <w:overflowPunct/>
        <w:topLinePunct w:val="0"/>
        <w:bidi w:val="0"/>
        <w:spacing w:line="500" w:lineRule="exact"/>
        <w:ind w:firstLine="574" w:firstLineChars="200"/>
        <w:textAlignment w:val="auto"/>
        <w:outlineLvl w:val="9"/>
        <w:rPr>
          <w:rFonts w:hint="eastAsia" w:ascii="华文仿宋" w:hAnsi="华文仿宋" w:eastAsia="华文仿宋" w:cs="华文仿宋"/>
          <w:b/>
          <w:bCs/>
          <w:color w:val="000000"/>
          <w:spacing w:val="2"/>
          <w:kern w:val="0"/>
          <w:sz w:val="28"/>
          <w:szCs w:val="28"/>
        </w:rPr>
      </w:pPr>
      <w:r>
        <w:rPr>
          <w:rFonts w:hint="eastAsia" w:ascii="华文仿宋" w:hAnsi="华文仿宋" w:cs="华文仿宋"/>
          <w:b/>
          <w:bCs/>
          <w:color w:val="000000"/>
          <w:spacing w:val="2"/>
          <w:kern w:val="0"/>
          <w:sz w:val="28"/>
          <w:szCs w:val="28"/>
          <w:lang w:val="en-US" w:eastAsia="zh-CN"/>
        </w:rPr>
        <w:t>四、合同内容及金额：</w:t>
      </w:r>
      <w:r>
        <w:rPr>
          <w:rFonts w:hint="eastAsia" w:ascii="华文仿宋" w:hAnsi="华文仿宋" w:cs="华文仿宋"/>
          <w:b w:val="0"/>
          <w:bCs w:val="0"/>
          <w:color w:val="000000"/>
          <w:spacing w:val="2"/>
          <w:kern w:val="0"/>
          <w:sz w:val="28"/>
          <w:szCs w:val="28"/>
          <w:lang w:val="en-US" w:eastAsia="zh-CN"/>
        </w:rPr>
        <w:t>即成交人的投标内容及其成交总金额；其金额不受市场和工作量变化的影响。因政策原因造成物业权属发生变化，物业委托合同自动废止，相关费用由合同双方协商解决。</w:t>
      </w:r>
    </w:p>
    <w:p w14:paraId="46549F8E">
      <w:pPr>
        <w:keepNext w:val="0"/>
        <w:keepLines w:val="0"/>
        <w:pageBreakBefore w:val="0"/>
        <w:widowControl/>
        <w:numPr>
          <w:ilvl w:val="0"/>
          <w:numId w:val="0"/>
        </w:numPr>
        <w:kinsoku/>
        <w:wordWrap/>
        <w:overflowPunct/>
        <w:topLinePunct w:val="0"/>
        <w:autoSpaceDE w:val="0"/>
        <w:autoSpaceDN w:val="0"/>
        <w:bidi w:val="0"/>
        <w:adjustRightInd w:val="0"/>
        <w:snapToGrid w:val="0"/>
        <w:spacing w:line="500" w:lineRule="exact"/>
        <w:ind w:firstLine="566" w:firstLineChars="200"/>
        <w:textAlignment w:val="auto"/>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五、付款方式 </w:t>
      </w:r>
    </w:p>
    <w:p w14:paraId="75F193B3">
      <w:pPr>
        <w:keepNext w:val="0"/>
        <w:keepLines w:val="0"/>
        <w:pageBreakBefore w:val="0"/>
        <w:widowControl/>
        <w:numPr>
          <w:ilvl w:val="0"/>
          <w:numId w:val="0"/>
        </w:numPr>
        <w:kinsoku/>
        <w:wordWrap/>
        <w:overflowPunct/>
        <w:topLinePunct w:val="0"/>
        <w:autoSpaceDE w:val="0"/>
        <w:autoSpaceDN w:val="0"/>
        <w:bidi w:val="0"/>
        <w:adjustRightInd w:val="0"/>
        <w:snapToGrid w:val="0"/>
        <w:spacing w:line="500"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采购资金由采购人直接结算，具体参考付款方式如下： </w:t>
      </w:r>
    </w:p>
    <w:p w14:paraId="5F127C23">
      <w:pPr>
        <w:keepNext w:val="0"/>
        <w:keepLines w:val="0"/>
        <w:pageBreakBefore w:val="0"/>
        <w:widowControl/>
        <w:numPr>
          <w:ilvl w:val="0"/>
          <w:numId w:val="0"/>
        </w:numPr>
        <w:kinsoku/>
        <w:wordWrap/>
        <w:overflowPunct/>
        <w:topLinePunct w:val="0"/>
        <w:autoSpaceDE w:val="0"/>
        <w:autoSpaceDN w:val="0"/>
        <w:bidi w:val="0"/>
        <w:adjustRightInd w:val="0"/>
        <w:snapToGrid w:val="0"/>
        <w:spacing w:line="500"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1.支付方式：采购人直接进行支付；</w:t>
      </w:r>
    </w:p>
    <w:p w14:paraId="23D7828E">
      <w:pPr>
        <w:keepNext w:val="0"/>
        <w:keepLines w:val="0"/>
        <w:pageBreakBefore w:val="0"/>
        <w:widowControl/>
        <w:numPr>
          <w:ilvl w:val="0"/>
          <w:numId w:val="0"/>
        </w:numPr>
        <w:kinsoku/>
        <w:wordWrap/>
        <w:overflowPunct/>
        <w:topLinePunct w:val="0"/>
        <w:autoSpaceDE w:val="0"/>
        <w:autoSpaceDN w:val="0"/>
        <w:bidi w:val="0"/>
        <w:adjustRightInd w:val="0"/>
        <w:snapToGrid w:val="0"/>
        <w:spacing w:line="500"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实行按季度支付，每季度按实际服务工作量完成，成交人向采购人开具和交付发票后，采购人在10个工作日内支付本季度的服务费（即合同价款的25%），最后一个季度工作完成后，成交人向采购人开具和交付发票，采购人需在10个工作日内支付全部剩余款项。</w:t>
      </w:r>
    </w:p>
    <w:p w14:paraId="07857FE5">
      <w:pPr>
        <w:keepNext w:val="0"/>
        <w:keepLines w:val="0"/>
        <w:pageBreakBefore w:val="0"/>
        <w:widowControl/>
        <w:numPr>
          <w:ilvl w:val="0"/>
          <w:numId w:val="0"/>
        </w:numPr>
        <w:kinsoku/>
        <w:wordWrap/>
        <w:overflowPunct/>
        <w:topLinePunct w:val="0"/>
        <w:autoSpaceDE w:val="0"/>
        <w:autoSpaceDN w:val="0"/>
        <w:bidi w:val="0"/>
        <w:adjustRightInd w:val="0"/>
        <w:snapToGrid w:val="0"/>
        <w:spacing w:line="500" w:lineRule="exact"/>
        <w:ind w:firstLine="566" w:firstLineChars="200"/>
        <w:textAlignment w:val="auto"/>
        <w:rPr>
          <w:rFonts w:hint="eastAsia" w:ascii="宋体" w:hAnsi="宋体"/>
          <w:b w:val="0"/>
          <w:bCs w:val="0"/>
          <w:sz w:val="24"/>
        </w:rPr>
      </w:pPr>
      <w:r>
        <w:rPr>
          <w:rFonts w:hint="eastAsia" w:ascii="华文仿宋" w:hAnsi="华文仿宋" w:cs="华文仿宋"/>
          <w:b w:val="0"/>
          <w:bCs w:val="0"/>
          <w:color w:val="000000"/>
          <w:sz w:val="28"/>
          <w:szCs w:val="28"/>
          <w:lang w:val="en-US" w:eastAsia="zh-CN"/>
        </w:rPr>
        <w:t xml:space="preserve">注：采购人除以上服务费用之外不再承担其它任何费用，清洁人员、工程人员、保安人员的薪金、福利、休假日补贴、医疗费用等均由成交人负责，与采购人无关。 </w:t>
      </w:r>
    </w:p>
    <w:p w14:paraId="35CC3625">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bCs/>
          <w:color w:val="000000"/>
          <w:spacing w:val="2"/>
          <w:kern w:val="0"/>
          <w:sz w:val="28"/>
          <w:szCs w:val="28"/>
          <w:lang w:val="en-US" w:eastAsia="zh-CN"/>
        </w:rPr>
      </w:pPr>
      <w:r>
        <w:rPr>
          <w:rFonts w:hint="eastAsia" w:ascii="华文仿宋" w:hAnsi="华文仿宋" w:cs="华文仿宋"/>
          <w:b/>
          <w:bCs/>
          <w:color w:val="000000"/>
          <w:spacing w:val="2"/>
          <w:kern w:val="0"/>
          <w:sz w:val="28"/>
          <w:szCs w:val="28"/>
          <w:lang w:val="en-US" w:eastAsia="zh-CN"/>
        </w:rPr>
        <w:t>六、双方的权利和义务</w:t>
      </w:r>
    </w:p>
    <w:p w14:paraId="06AD075C">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bCs/>
          <w:color w:val="000000"/>
          <w:spacing w:val="2"/>
          <w:kern w:val="0"/>
          <w:sz w:val="28"/>
          <w:szCs w:val="28"/>
          <w:lang w:val="en-US" w:eastAsia="zh-CN"/>
        </w:rPr>
      </w:pPr>
      <w:r>
        <w:rPr>
          <w:rFonts w:hint="eastAsia" w:ascii="华文仿宋" w:hAnsi="华文仿宋" w:cs="华文仿宋"/>
          <w:b/>
          <w:bCs/>
          <w:color w:val="000000"/>
          <w:spacing w:val="2"/>
          <w:kern w:val="0"/>
          <w:sz w:val="28"/>
          <w:szCs w:val="28"/>
          <w:lang w:val="en-US" w:eastAsia="zh-CN"/>
        </w:rPr>
        <w:t xml:space="preserve">（一）采购人的权利和义务 </w:t>
      </w:r>
    </w:p>
    <w:p w14:paraId="3BE15848">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1.采购人对成交人进行统一管理，对成交人的经营活动享有管理、考核、检查、监督和处罚的权利； </w:t>
      </w:r>
    </w:p>
    <w:p w14:paraId="7E6013D4">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2.合同期内，因成交人管理不善且负主要责任，造成重大损失和影响，有下列情况之一的，采购人有权随时终止合同并收回服务权，经济损失和法律责任由成交人承担： </w:t>
      </w:r>
    </w:p>
    <w:p w14:paraId="64C675E3">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（1）成交人进行转包或分包的； </w:t>
      </w:r>
    </w:p>
    <w:p w14:paraId="735E6CDC">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（2）成交人超出服务范围或从事与物业无关的服务活动的； </w:t>
      </w:r>
    </w:p>
    <w:p w14:paraId="66F114B7">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（3）成交人有在超出指定区域安排从业人员； </w:t>
      </w:r>
    </w:p>
    <w:p w14:paraId="1BDEA28F">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（4）成交人违反相关管理规定或合同条款约定。 </w:t>
      </w:r>
    </w:p>
    <w:p w14:paraId="73BD9F84">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（二）成交人的权利与义务 </w:t>
      </w:r>
    </w:p>
    <w:p w14:paraId="12A8A570">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1.成交人享有责任范围内和合同期限内的服务权； </w:t>
      </w:r>
    </w:p>
    <w:p w14:paraId="7B4E3F7C">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2.成交人必须服从管理，保证所有办公工作场所顺利开展。服务标准按照采购人要求执行； </w:t>
      </w:r>
    </w:p>
    <w:p w14:paraId="57622308">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 xml:space="preserve">3.成交人的物业服务活动必须做到遵纪守法，诚信服务，科学管理，文明优质服务；严格执行法律法规及相关部门的规章制度； </w:t>
      </w:r>
    </w:p>
    <w:p w14:paraId="7D97A920">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74" w:firstLineChars="200"/>
        <w:textAlignment w:val="auto"/>
        <w:outlineLvl w:val="9"/>
        <w:rPr>
          <w:rFonts w:hint="eastAsia" w:ascii="华文仿宋" w:hAnsi="华文仿宋" w:cs="华文仿宋"/>
          <w:b/>
          <w:bCs/>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4.成交人如有达不到服务要求或有不服从管理的现象，采购人有权随时解除合同。</w:t>
      </w:r>
      <w:r>
        <w:rPr>
          <w:rFonts w:hint="eastAsia" w:ascii="华文仿宋" w:hAnsi="华文仿宋" w:cs="华文仿宋"/>
          <w:b/>
          <w:bCs/>
          <w:color w:val="000000"/>
          <w:spacing w:val="2"/>
          <w:kern w:val="0"/>
          <w:sz w:val="28"/>
          <w:szCs w:val="28"/>
          <w:lang w:val="en-US" w:eastAsia="zh-CN"/>
        </w:rPr>
        <w:t xml:space="preserve"> </w:t>
      </w:r>
    </w:p>
    <w:p w14:paraId="42B06E51">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七、质量管理和监督措施 </w:t>
      </w:r>
    </w:p>
    <w:p w14:paraId="01934E9F">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1.成交人须接受采购人的各类检查考核，采购人有权根据有关规定对质量考核标准及奖惩办法作相应的修改； </w:t>
      </w:r>
    </w:p>
    <w:p w14:paraId="1243BCAF">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2.合同期内，因成交人管理不善且负主要责任，造成重大损失和影响，采购人有权终止合同，经济损失和法律责任由成交人承担； </w:t>
      </w:r>
    </w:p>
    <w:p w14:paraId="383AEA4C">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3.质量目标：合格（需满足采购人的需求）。</w:t>
      </w:r>
    </w:p>
    <w:p w14:paraId="35309337">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八、服务缺陷的补救措施和索赔 </w:t>
      </w:r>
    </w:p>
    <w:p w14:paraId="119746F1">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如果成交人提供的服务不符合本合同约定以及招标文件、投标文件关于服务的要求和承诺，成交人应按照采购人同意的下列一种或几种方式结合起来解决索赔事宜: </w:t>
      </w:r>
    </w:p>
    <w:p w14:paraId="1F090101">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1.成交人同意将服务款项目退还给采购人，由此发生的一切费用和损失由成交人承担。如采购人以适当的条件和方法购买与未履约标的相类似的服务，成交人应负担新购买类似服务所超出的费用； </w:t>
      </w:r>
    </w:p>
    <w:p w14:paraId="7FDF5DF3">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2.如果在采购人发出索赔通知后 30 日内成交人未作答复，上述索赔应视为已被成交人接受。如果成交人未能在采购人发出索赔通知后 30 日内或采购人同意延长的期限内，按照上述规定的任何一种方法采取补救措施，采购人有权从应付服务款中扣除索赔金额，如不足以弥补采购人损失的，采购人有权进一步要求成交人赔偿。 </w:t>
      </w:r>
    </w:p>
    <w:p w14:paraId="15567CD3">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九、违约责任：</w:t>
      </w:r>
    </w:p>
    <w:p w14:paraId="58798777">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1. 按《中华人民共和国民法典》中的相关条款执行； </w:t>
      </w:r>
    </w:p>
    <w:p w14:paraId="7BE19747">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2.未按合同要求提供服务或服务质量不能满足合同要求，采购人有权依据《中华人民共和国民法典》、《中华人民共和国政府采购法》有关条款及合同约定终止合同，并要求成交人承担违约责任； </w:t>
      </w:r>
    </w:p>
    <w:p w14:paraId="0D1273B7">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3.成交人未能达到服务标准，采购人有权要求成交人限期整改，逾期不整改的采购人有权终止合同，造成采购人经济损失的，成交人应给予采购人经济赔偿； </w:t>
      </w:r>
    </w:p>
    <w:p w14:paraId="6EEC75F7">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4.成交人在服务期内，若发生争执、滋事、劳资纠纷、债务索赔安全事故，造成违法、违规和其它违犯社会治安条例，影响采购人稳定大局的事件，均由成交人自行承担一切责任与费用； </w:t>
      </w:r>
    </w:p>
    <w:p w14:paraId="2F5EE12B">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5.因采购人原因导致成交人未能达到服务标准，成交人有权要求采购人在一定期限内解决，逾期未解决造成成交人经济损失的，采购人应给予成交人经济赔偿。 </w:t>
      </w:r>
    </w:p>
    <w:p w14:paraId="626D05F9">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十、合同争议的解决：合同执行中发生争议的，当事人双方应协商解决，协商达不成一致时，可向采购人所在地的人民法院提请诉讼。 </w:t>
      </w:r>
    </w:p>
    <w:p w14:paraId="786A2137">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十二、合同一经签订，不得擅自变更、中止或者终止合同。对确需变更、调整或者中止、终止合同的，应按规定履行相应的手续。 </w:t>
      </w:r>
    </w:p>
    <w:p w14:paraId="641F1716">
      <w:pPr>
        <w:keepNext w:val="0"/>
        <w:keepLines w:val="0"/>
        <w:pageBreakBefore w:val="0"/>
        <w:widowControl/>
        <w:kinsoku/>
        <w:wordWrap/>
        <w:overflowPunct/>
        <w:topLinePunct w:val="0"/>
        <w:bidi w:val="0"/>
        <w:spacing w:line="5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十三、本合同从签订之日起生效，合同规定的全部事宜和程序结束后终止。合同份数不低于四份，具体份数由采购人和成交人依需商定。 </w:t>
      </w:r>
    </w:p>
    <w:p w14:paraId="085DA3B8">
      <w:pPr>
        <w:keepNext w:val="0"/>
        <w:keepLines w:val="0"/>
        <w:pageBreakBefore w:val="0"/>
        <w:widowControl/>
        <w:kinsoku/>
        <w:wordWrap/>
        <w:overflowPunct/>
        <w:topLinePunct w:val="0"/>
        <w:bidi w:val="0"/>
        <w:spacing w:line="5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十四、未尽事宜由双方在签订合同时具体明确，但不得超出磋商文件合同草案规定。 </w:t>
      </w:r>
    </w:p>
    <w:p w14:paraId="32784C97">
      <w:pPr>
        <w:keepNext w:val="0"/>
        <w:keepLines w:val="0"/>
        <w:pageBreakBefore w:val="0"/>
        <w:widowControl/>
        <w:kinsoku/>
        <w:wordWrap/>
        <w:overflowPunct/>
        <w:topLinePunct w:val="0"/>
        <w:bidi w:val="0"/>
        <w:spacing w:line="500" w:lineRule="exact"/>
        <w:ind w:firstLine="567"/>
        <w:textAlignment w:val="auto"/>
        <w:outlineLvl w:val="9"/>
        <w:rPr>
          <w:rFonts w:hint="eastAsia" w:ascii="黑体" w:hAnsi="黑体" w:cs="黑体"/>
          <w:b w:val="0"/>
          <w:color w:val="000000"/>
          <w:szCs w:val="32"/>
        </w:rPr>
      </w:pPr>
      <w:r>
        <w:rPr>
          <w:rFonts w:hint="eastAsia" w:ascii="华文仿宋" w:hAnsi="华文仿宋" w:cs="华文仿宋"/>
          <w:b/>
          <w:bCs/>
          <w:color w:val="000000"/>
          <w:sz w:val="28"/>
          <w:szCs w:val="28"/>
          <w:lang w:val="en-US" w:eastAsia="zh-CN"/>
        </w:rPr>
        <w:t>本合同须经中心确认，否则无效。</w:t>
      </w:r>
    </w:p>
    <w:p w14:paraId="026AC2D8">
      <w:pPr>
        <w:rPr>
          <w:rFonts w:hint="eastAsia" w:ascii="黑体" w:hAnsi="黑体" w:cs="黑体"/>
          <w:b w:val="0"/>
          <w:color w:val="000000"/>
          <w:szCs w:val="32"/>
        </w:rPr>
      </w:pPr>
    </w:p>
    <w:p w14:paraId="039319CB">
      <w:pPr>
        <w:pStyle w:val="10"/>
        <w:rPr>
          <w:rFonts w:hint="eastAsia" w:ascii="黑体" w:hAnsi="黑体" w:cs="黑体"/>
          <w:b w:val="0"/>
          <w:color w:val="000000"/>
          <w:szCs w:val="32"/>
        </w:rPr>
      </w:pPr>
    </w:p>
    <w:p w14:paraId="26F1EEDA">
      <w:pPr>
        <w:rPr>
          <w:rFonts w:hint="eastAsia" w:ascii="黑体" w:hAnsi="黑体" w:cs="黑体"/>
          <w:b w:val="0"/>
          <w:color w:val="000000"/>
          <w:szCs w:val="32"/>
        </w:rPr>
      </w:pPr>
    </w:p>
    <w:p w14:paraId="62ADE874">
      <w:pPr>
        <w:pStyle w:val="10"/>
        <w:rPr>
          <w:rFonts w:hint="eastAsia" w:ascii="黑体" w:hAnsi="黑体" w:cs="黑体"/>
          <w:b w:val="0"/>
          <w:color w:val="000000"/>
          <w:szCs w:val="32"/>
        </w:rPr>
      </w:pPr>
    </w:p>
    <w:p w14:paraId="207E871A">
      <w:pPr>
        <w:rPr>
          <w:rFonts w:hint="eastAsia" w:ascii="黑体" w:hAnsi="黑体" w:cs="黑体"/>
          <w:b w:val="0"/>
          <w:color w:val="000000"/>
          <w:szCs w:val="32"/>
        </w:rPr>
      </w:pPr>
    </w:p>
    <w:p w14:paraId="13114D36">
      <w:pPr>
        <w:rPr>
          <w:rFonts w:hint="eastAsia" w:ascii="黑体" w:hAnsi="黑体" w:cs="黑体"/>
          <w:b w:val="0"/>
          <w:color w:val="000000"/>
          <w:szCs w:val="32"/>
        </w:rPr>
      </w:pPr>
    </w:p>
    <w:p w14:paraId="1F4B94B5">
      <w:pPr>
        <w:pStyle w:val="3"/>
        <w:jc w:val="both"/>
        <w:rPr>
          <w:rFonts w:hint="eastAsia" w:ascii="黑体" w:hAnsi="黑体" w:cs="黑体"/>
          <w:b w:val="0"/>
          <w:color w:val="000000"/>
          <w:szCs w:val="32"/>
        </w:rPr>
      </w:pPr>
    </w:p>
    <w:p w14:paraId="081C4675">
      <w:pPr>
        <w:pStyle w:val="3"/>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0"/>
        <w:rPr>
          <w:color w:val="000000"/>
        </w:rPr>
      </w:pPr>
    </w:p>
    <w:p w14:paraId="00B4211B">
      <w:pPr>
        <w:pStyle w:val="30"/>
        <w:rPr>
          <w:color w:val="000000"/>
        </w:rPr>
      </w:pPr>
    </w:p>
    <w:p w14:paraId="406E5026">
      <w:pPr>
        <w:pStyle w:val="30"/>
        <w:rPr>
          <w:color w:val="000000"/>
        </w:rPr>
      </w:pPr>
    </w:p>
    <w:tbl>
      <w:tblPr>
        <w:tblStyle w:val="20"/>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0"/>
        <w:rPr>
          <w:color w:val="000000"/>
          <w:sz w:val="20"/>
        </w:rPr>
      </w:pPr>
    </w:p>
    <w:p w14:paraId="44F47F5A">
      <w:pPr>
        <w:pStyle w:val="27"/>
        <w:spacing w:line="240" w:lineRule="auto"/>
        <w:ind w:firstLine="253" w:firstLineChars="70"/>
        <w:jc w:val="center"/>
        <w:rPr>
          <w:rFonts w:ascii="宋体" w:hAnsi="宋体" w:eastAsia="宋体"/>
          <w:color w:val="000000"/>
          <w:sz w:val="36"/>
          <w:szCs w:val="36"/>
        </w:rPr>
      </w:pPr>
    </w:p>
    <w:p w14:paraId="37259556">
      <w:pPr>
        <w:pStyle w:val="27"/>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27"/>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4" w:name="_Toc257"/>
      <w:bookmarkStart w:id="145" w:name="_Toc26349"/>
      <w:bookmarkStart w:id="146" w:name="_Toc23235"/>
      <w:bookmarkStart w:id="147" w:name="_Toc10248"/>
      <w:bookmarkStart w:id="148" w:name="_Toc6132"/>
      <w:bookmarkStart w:id="149" w:name="_Toc26293"/>
      <w:bookmarkStart w:id="150" w:name="_Toc20830"/>
      <w:bookmarkStart w:id="151" w:name="_Toc24786"/>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4"/>
      <w:bookmarkEnd w:id="145"/>
      <w:bookmarkEnd w:id="146"/>
      <w:bookmarkEnd w:id="147"/>
      <w:bookmarkEnd w:id="148"/>
      <w:bookmarkEnd w:id="149"/>
      <w:bookmarkEnd w:id="150"/>
      <w:bookmarkEnd w:id="151"/>
    </w:p>
    <w:p w14:paraId="7D703E59">
      <w:pPr>
        <w:pStyle w:val="27"/>
        <w:spacing w:line="240" w:lineRule="auto"/>
        <w:ind w:firstLine="310" w:firstLineChars="70"/>
        <w:jc w:val="center"/>
        <w:rPr>
          <w:rFonts w:ascii="华文仿宋" w:hAnsi="华文仿宋" w:cs="华文仿宋"/>
          <w:color w:val="000000"/>
          <w:sz w:val="44"/>
          <w:szCs w:val="44"/>
        </w:rPr>
      </w:pPr>
    </w:p>
    <w:p w14:paraId="33B01BD2">
      <w:pPr>
        <w:pStyle w:val="27"/>
        <w:spacing w:line="240" w:lineRule="auto"/>
        <w:ind w:firstLine="253" w:firstLineChars="70"/>
        <w:jc w:val="center"/>
        <w:rPr>
          <w:rFonts w:ascii="华文仿宋" w:hAnsi="华文仿宋" w:cs="华文仿宋"/>
          <w:color w:val="000000"/>
          <w:sz w:val="36"/>
          <w:szCs w:val="36"/>
        </w:rPr>
      </w:pPr>
    </w:p>
    <w:p w14:paraId="698198C2">
      <w:pPr>
        <w:pStyle w:val="27"/>
        <w:spacing w:line="240" w:lineRule="auto"/>
        <w:ind w:firstLine="0" w:firstLineChars="0"/>
        <w:jc w:val="center"/>
        <w:rPr>
          <w:rFonts w:ascii="华文仿宋" w:hAnsi="华文仿宋" w:cs="华文仿宋"/>
          <w:color w:val="000000"/>
          <w:kern w:val="0"/>
          <w:sz w:val="96"/>
          <w:szCs w:val="96"/>
        </w:rPr>
      </w:pPr>
      <w:bookmarkStart w:id="152" w:name="_Toc13950"/>
      <w:bookmarkStart w:id="153" w:name="_Toc17700"/>
      <w:bookmarkStart w:id="154" w:name="_Toc20481"/>
      <w:bookmarkStart w:id="155" w:name="_Toc16362"/>
      <w:bookmarkStart w:id="156" w:name="_Toc19569"/>
      <w:bookmarkStart w:id="157" w:name="_Toc76"/>
      <w:bookmarkStart w:id="158" w:name="_Toc8257"/>
      <w:bookmarkStart w:id="159" w:name="_Toc26378"/>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2"/>
      <w:bookmarkEnd w:id="153"/>
      <w:bookmarkEnd w:id="154"/>
      <w:bookmarkEnd w:id="155"/>
      <w:bookmarkEnd w:id="156"/>
      <w:bookmarkEnd w:id="157"/>
      <w:bookmarkEnd w:id="158"/>
      <w:bookmarkEnd w:id="159"/>
    </w:p>
    <w:p w14:paraId="2ADCB4B5">
      <w:pPr>
        <w:pStyle w:val="27"/>
        <w:spacing w:line="240" w:lineRule="auto"/>
        <w:ind w:firstLine="0" w:firstLineChars="0"/>
        <w:jc w:val="center"/>
        <w:rPr>
          <w:rFonts w:ascii="华文仿宋" w:hAnsi="华文仿宋" w:cs="华文仿宋"/>
          <w:color w:val="000000"/>
          <w:sz w:val="36"/>
          <w:szCs w:val="36"/>
        </w:rPr>
      </w:pPr>
    </w:p>
    <w:p w14:paraId="26A6CD33">
      <w:pPr>
        <w:pStyle w:val="27"/>
        <w:spacing w:line="240" w:lineRule="auto"/>
        <w:ind w:firstLine="0" w:firstLineChars="0"/>
        <w:jc w:val="center"/>
        <w:rPr>
          <w:rFonts w:ascii="华文仿宋" w:hAnsi="华文仿宋" w:cs="华文仿宋"/>
          <w:color w:val="000000"/>
          <w:sz w:val="36"/>
          <w:szCs w:val="36"/>
        </w:rPr>
      </w:pPr>
    </w:p>
    <w:p w14:paraId="29B3B128">
      <w:pPr>
        <w:pStyle w:val="27"/>
        <w:spacing w:line="240" w:lineRule="auto"/>
        <w:ind w:firstLine="0" w:firstLineChars="0"/>
        <w:jc w:val="center"/>
        <w:rPr>
          <w:rFonts w:ascii="华文仿宋" w:hAnsi="华文仿宋" w:cs="华文仿宋"/>
          <w:color w:val="000000"/>
          <w:sz w:val="36"/>
          <w:szCs w:val="36"/>
        </w:rPr>
      </w:pPr>
    </w:p>
    <w:p w14:paraId="4DABFD41">
      <w:pPr>
        <w:pStyle w:val="27"/>
        <w:spacing w:line="240" w:lineRule="auto"/>
        <w:ind w:firstLine="0" w:firstLineChars="0"/>
        <w:jc w:val="center"/>
        <w:rPr>
          <w:rFonts w:ascii="华文仿宋" w:hAnsi="华文仿宋" w:cs="华文仿宋"/>
          <w:color w:val="000000"/>
          <w:sz w:val="36"/>
          <w:szCs w:val="36"/>
        </w:rPr>
      </w:pPr>
    </w:p>
    <w:p w14:paraId="77F7F5F4">
      <w:pPr>
        <w:pStyle w:val="27"/>
        <w:spacing w:line="240" w:lineRule="auto"/>
        <w:ind w:firstLine="0" w:firstLineChars="0"/>
        <w:jc w:val="center"/>
        <w:rPr>
          <w:rFonts w:ascii="华文仿宋" w:hAnsi="华文仿宋" w:cs="华文仿宋"/>
          <w:color w:val="000000"/>
          <w:sz w:val="36"/>
        </w:rPr>
      </w:pPr>
    </w:p>
    <w:p w14:paraId="5B5C0DD1">
      <w:pPr>
        <w:pStyle w:val="27"/>
        <w:spacing w:line="240" w:lineRule="auto"/>
        <w:ind w:firstLine="1452" w:firstLineChars="400"/>
        <w:rPr>
          <w:rFonts w:hint="default" w:ascii="仿宋" w:hAnsi="仿宋" w:eastAsia="仿宋" w:cs="仿宋"/>
          <w:b/>
          <w:color w:val="000000"/>
          <w:sz w:val="36"/>
          <w:szCs w:val="36"/>
          <w:u w:val="single"/>
          <w:lang w:val="en-US" w:eastAsia="zh-CN"/>
        </w:rPr>
      </w:pPr>
      <w:bookmarkStart w:id="160" w:name="_Toc2030"/>
      <w:bookmarkStart w:id="161" w:name="_Toc24486"/>
      <w:bookmarkStart w:id="162" w:name="_Toc21212"/>
      <w:bookmarkStart w:id="163" w:name="_Toc12627"/>
      <w:bookmarkStart w:id="164" w:name="_Toc24457"/>
      <w:bookmarkStart w:id="165" w:name="_Toc23171"/>
      <w:bookmarkStart w:id="166" w:name="_Toc22280"/>
      <w:bookmarkStart w:id="167" w:name="_Toc15354"/>
      <w:r>
        <w:rPr>
          <w:rFonts w:hint="eastAsia" w:ascii="仿宋" w:hAnsi="仿宋" w:eastAsia="仿宋" w:cs="仿宋"/>
          <w:bCs/>
          <w:color w:val="000000"/>
          <w:sz w:val="36"/>
          <w:szCs w:val="36"/>
        </w:rPr>
        <w:t>项目名称：</w:t>
      </w:r>
      <w:bookmarkEnd w:id="160"/>
      <w:bookmarkEnd w:id="161"/>
      <w:bookmarkEnd w:id="162"/>
      <w:bookmarkEnd w:id="163"/>
      <w:bookmarkEnd w:id="164"/>
      <w:bookmarkEnd w:id="165"/>
      <w:bookmarkEnd w:id="166"/>
      <w:bookmarkEnd w:id="167"/>
      <w:r>
        <w:rPr>
          <w:rFonts w:hint="eastAsia" w:ascii="仿宋" w:hAnsi="仿宋" w:eastAsia="仿宋" w:cs="仿宋"/>
          <w:bCs/>
          <w:color w:val="000000"/>
          <w:sz w:val="36"/>
          <w:szCs w:val="36"/>
          <w:u w:val="single"/>
          <w:lang w:val="en-US" w:eastAsia="zh-CN"/>
        </w:rPr>
        <w:t xml:space="preserve">             </w:t>
      </w:r>
    </w:p>
    <w:p w14:paraId="383331CB">
      <w:pPr>
        <w:pStyle w:val="27"/>
        <w:spacing w:line="240" w:lineRule="auto"/>
        <w:ind w:firstLine="1452" w:firstLineChars="400"/>
        <w:rPr>
          <w:rFonts w:hint="default" w:ascii="仿宋" w:hAnsi="仿宋" w:eastAsia="仿宋" w:cs="仿宋"/>
          <w:color w:val="000000"/>
          <w:sz w:val="36"/>
          <w:szCs w:val="36"/>
          <w:u w:val="single"/>
        </w:rPr>
      </w:pPr>
      <w:bookmarkStart w:id="168" w:name="_Toc13586"/>
      <w:bookmarkStart w:id="169" w:name="_Toc3140"/>
      <w:bookmarkStart w:id="170" w:name="_Toc10738"/>
      <w:bookmarkStart w:id="171" w:name="_Toc6740"/>
      <w:bookmarkStart w:id="172" w:name="_Toc4485"/>
      <w:bookmarkStart w:id="173" w:name="_Toc27644"/>
      <w:bookmarkStart w:id="174" w:name="_Toc346"/>
      <w:bookmarkStart w:id="175" w:name="_Toc12638"/>
      <w:r>
        <w:rPr>
          <w:rFonts w:hint="eastAsia" w:ascii="仿宋" w:hAnsi="仿宋" w:eastAsia="仿宋" w:cs="仿宋"/>
          <w:color w:val="000000"/>
          <w:sz w:val="36"/>
          <w:szCs w:val="36"/>
        </w:rPr>
        <w:t>项目编号：</w:t>
      </w:r>
      <w:bookmarkEnd w:id="168"/>
      <w:bookmarkEnd w:id="169"/>
      <w:bookmarkEnd w:id="170"/>
      <w:bookmarkEnd w:id="171"/>
      <w:bookmarkEnd w:id="172"/>
      <w:bookmarkEnd w:id="173"/>
      <w:bookmarkEnd w:id="174"/>
      <w:bookmarkEnd w:id="175"/>
      <w:r>
        <w:rPr>
          <w:rFonts w:hint="eastAsia" w:ascii="仿宋" w:hAnsi="仿宋" w:eastAsia="仿宋" w:cs="仿宋"/>
          <w:color w:val="000000"/>
          <w:sz w:val="36"/>
          <w:szCs w:val="36"/>
          <w:u w:val="single"/>
          <w:lang w:val="en-US" w:eastAsia="zh-CN"/>
        </w:rPr>
        <w:t xml:space="preserve">             </w:t>
      </w:r>
    </w:p>
    <w:p w14:paraId="3787610E">
      <w:pPr>
        <w:pStyle w:val="27"/>
        <w:spacing w:line="240" w:lineRule="auto"/>
        <w:ind w:firstLine="1452" w:firstLineChars="400"/>
        <w:rPr>
          <w:rFonts w:ascii="仿宋" w:hAnsi="仿宋" w:eastAsia="仿宋" w:cs="仿宋"/>
          <w:color w:val="000000"/>
          <w:sz w:val="36"/>
        </w:rPr>
      </w:pPr>
      <w:bookmarkStart w:id="176" w:name="_Toc21054"/>
      <w:bookmarkStart w:id="177" w:name="_Toc7640"/>
      <w:bookmarkStart w:id="178" w:name="_Toc29966"/>
      <w:bookmarkStart w:id="179" w:name="_Toc15987"/>
      <w:bookmarkStart w:id="180" w:name="_Toc22519"/>
      <w:bookmarkStart w:id="181" w:name="_Toc11267"/>
      <w:bookmarkStart w:id="182" w:name="_Toc1120"/>
      <w:bookmarkStart w:id="183" w:name="_Toc5428"/>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6"/>
      <w:bookmarkEnd w:id="177"/>
      <w:bookmarkEnd w:id="178"/>
      <w:bookmarkEnd w:id="179"/>
      <w:bookmarkEnd w:id="180"/>
      <w:bookmarkEnd w:id="181"/>
      <w:bookmarkEnd w:id="182"/>
      <w:bookmarkEnd w:id="183"/>
    </w:p>
    <w:p w14:paraId="23334FD4">
      <w:pPr>
        <w:pStyle w:val="27"/>
        <w:spacing w:line="240" w:lineRule="auto"/>
        <w:ind w:firstLine="1452" w:firstLineChars="400"/>
        <w:jc w:val="left"/>
        <w:rPr>
          <w:rFonts w:hint="default" w:ascii="仿宋" w:hAnsi="仿宋" w:eastAsia="仿宋" w:cs="仿宋"/>
          <w:color w:val="000000"/>
          <w:sz w:val="36"/>
          <w:szCs w:val="36"/>
          <w:u w:val="single"/>
          <w:lang w:val="en-US" w:eastAsia="zh-CN"/>
        </w:rPr>
      </w:pPr>
      <w:bookmarkStart w:id="184" w:name="_Toc880"/>
      <w:bookmarkStart w:id="185" w:name="_Toc15429"/>
      <w:bookmarkStart w:id="186" w:name="_Toc24294"/>
      <w:bookmarkStart w:id="187" w:name="_Toc26250"/>
      <w:bookmarkStart w:id="188" w:name="_Toc2899"/>
      <w:bookmarkStart w:id="189" w:name="_Toc5243"/>
      <w:bookmarkStart w:id="190" w:name="_Toc21702"/>
      <w:bookmarkStart w:id="191" w:name="_Toc7734"/>
      <w:r>
        <w:rPr>
          <w:rFonts w:hint="eastAsia" w:ascii="仿宋" w:hAnsi="仿宋" w:eastAsia="仿宋" w:cs="仿宋"/>
          <w:color w:val="000000"/>
          <w:sz w:val="36"/>
        </w:rPr>
        <w:t>时　  间：</w:t>
      </w:r>
      <w:bookmarkEnd w:id="184"/>
      <w:bookmarkEnd w:id="185"/>
      <w:bookmarkEnd w:id="186"/>
      <w:bookmarkEnd w:id="187"/>
      <w:bookmarkEnd w:id="188"/>
      <w:bookmarkEnd w:id="189"/>
      <w:bookmarkEnd w:id="190"/>
      <w:bookmarkEnd w:id="191"/>
      <w:r>
        <w:rPr>
          <w:rFonts w:hint="eastAsia" w:ascii="仿宋" w:hAnsi="仿宋" w:eastAsia="仿宋" w:cs="仿宋"/>
          <w:color w:val="000000"/>
          <w:sz w:val="36"/>
          <w:u w:val="single"/>
          <w:lang w:val="en-US" w:eastAsia="zh-CN"/>
        </w:rPr>
        <w:t xml:space="preserve">             </w:t>
      </w:r>
    </w:p>
    <w:p w14:paraId="29E59F5D">
      <w:pPr>
        <w:pStyle w:val="27"/>
        <w:spacing w:line="240" w:lineRule="auto"/>
        <w:ind w:firstLine="1452" w:firstLineChars="400"/>
        <w:jc w:val="left"/>
        <w:rPr>
          <w:rFonts w:ascii="仿宋" w:hAnsi="仿宋" w:eastAsia="仿宋" w:cs="仿宋"/>
          <w:color w:val="000000"/>
          <w:sz w:val="36"/>
          <w:szCs w:val="36"/>
          <w:u w:val="single"/>
        </w:rPr>
      </w:pPr>
    </w:p>
    <w:p w14:paraId="71FFB00B">
      <w:pPr>
        <w:pStyle w:val="31"/>
        <w:ind w:firstLine="888"/>
        <w:outlineLvl w:val="9"/>
        <w:rPr>
          <w:rFonts w:ascii="Calibri Light" w:hAnsi="Calibri Light"/>
          <w:color w:val="000000"/>
          <w:sz w:val="36"/>
          <w:szCs w:val="36"/>
        </w:rPr>
      </w:pPr>
      <w:bookmarkStart w:id="192" w:name="_Toc31082_WPSOffice_Level1"/>
      <w:bookmarkStart w:id="193" w:name="_Toc10193"/>
      <w:bookmarkStart w:id="194" w:name="_Toc21571_WPSOffice_Level1"/>
      <w:bookmarkStart w:id="195" w:name="_Toc3838"/>
      <w:bookmarkStart w:id="196" w:name="_Toc2071_WPSOffice_Level1"/>
      <w:bookmarkStart w:id="197" w:name="_Toc11156"/>
      <w:bookmarkStart w:id="198" w:name="_Toc23450"/>
      <w:bookmarkStart w:id="199" w:name="_Toc24906"/>
      <w:bookmarkStart w:id="200" w:name="_Toc22476_WPSOffice_Level1"/>
      <w:r>
        <w:rPr>
          <w:rFonts w:hint="eastAsia" w:ascii="华文仿宋" w:hAnsi="华文仿宋" w:cs="华文仿宋"/>
          <w:color w:val="000000"/>
          <w:sz w:val="44"/>
          <w:szCs w:val="44"/>
        </w:rPr>
        <w:br w:type="page"/>
      </w:r>
      <w:bookmarkStart w:id="201" w:name="_Toc580"/>
      <w:r>
        <w:rPr>
          <w:rFonts w:hint="eastAsia" w:ascii="华文仿宋" w:hAnsi="华文仿宋" w:cs="华文仿宋"/>
          <w:color w:val="000000"/>
          <w:sz w:val="44"/>
          <w:szCs w:val="44"/>
        </w:rPr>
        <w:t>目  录</w:t>
      </w:r>
      <w:bookmarkEnd w:id="192"/>
      <w:bookmarkEnd w:id="193"/>
      <w:bookmarkEnd w:id="194"/>
      <w:bookmarkEnd w:id="195"/>
      <w:bookmarkEnd w:id="196"/>
      <w:bookmarkEnd w:id="197"/>
      <w:bookmarkEnd w:id="198"/>
      <w:bookmarkEnd w:id="199"/>
      <w:bookmarkEnd w:id="200"/>
      <w:bookmarkEnd w:id="201"/>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2" w:name="_Toc19993_WPSOffice_Level1"/>
      <w:bookmarkStart w:id="203" w:name="_Toc8294_WPSOffice_Level1"/>
      <w:bookmarkStart w:id="204" w:name="_Toc26192_WPSOffice_Level1"/>
      <w:bookmarkStart w:id="205" w:name="_Toc25537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2"/>
      <w:bookmarkEnd w:id="203"/>
      <w:bookmarkEnd w:id="204"/>
      <w:bookmarkEnd w:id="205"/>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6" w:name="_Toc14464_WPSOffice_Level2"/>
      <w:bookmarkStart w:id="207" w:name="_Toc31082_WPSOffice_Level2"/>
      <w:bookmarkStart w:id="208" w:name="_Toc19993_WPSOffice_Level2"/>
      <w:bookmarkStart w:id="209" w:name="_Toc25969_WPSOffice_Level2"/>
      <w:r>
        <w:rPr>
          <w:rFonts w:hint="eastAsia"/>
          <w:color w:val="000000"/>
        </w:rPr>
        <w:t>一、营业执照等主体资格证明文件</w:t>
      </w:r>
      <w:r>
        <w:rPr>
          <w:color w:val="000000"/>
        </w:rPr>
        <w:tab/>
      </w:r>
      <w:r>
        <w:rPr>
          <w:color w:val="000000"/>
        </w:rPr>
        <w:t>X</w:t>
      </w:r>
      <w:bookmarkEnd w:id="206"/>
      <w:bookmarkEnd w:id="207"/>
      <w:bookmarkEnd w:id="208"/>
      <w:bookmarkEnd w:id="209"/>
    </w:p>
    <w:p w14:paraId="411713C2">
      <w:pPr>
        <w:tabs>
          <w:tab w:val="right" w:leader="hyphen" w:pos="8504"/>
        </w:tabs>
        <w:spacing w:line="500" w:lineRule="exact"/>
        <w:ind w:right="849" w:rightChars="300" w:firstLine="1415" w:firstLineChars="500"/>
        <w:rPr>
          <w:color w:val="000000"/>
        </w:rPr>
      </w:pPr>
      <w:bookmarkStart w:id="210" w:name="_Toc5830_WPSOffice_Level2"/>
      <w:bookmarkStart w:id="211" w:name="_Toc25537_WPSOffice_Level2"/>
      <w:bookmarkStart w:id="212" w:name="_Toc27026_WPSOffice_Level2"/>
      <w:bookmarkStart w:id="213" w:name="_Toc10078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0"/>
      <w:bookmarkEnd w:id="211"/>
      <w:bookmarkEnd w:id="212"/>
      <w:bookmarkEnd w:id="213"/>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default" w:eastAsia="华文仿宋"/>
          <w:color w:val="000000"/>
          <w:lang w:val="en-US" w:eastAsia="zh-CN"/>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4" w:name="_Toc183_WPSOffice_Level2"/>
      <w:bookmarkStart w:id="215" w:name="_Toc28631_WPSOffice_Level2"/>
      <w:bookmarkStart w:id="216" w:name="_Toc5795_WPSOffice_Level2"/>
      <w:bookmarkStart w:id="217" w:name="_Toc7348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4"/>
      <w:bookmarkEnd w:id="215"/>
      <w:bookmarkEnd w:id="216"/>
      <w:bookmarkEnd w:id="217"/>
    </w:p>
    <w:p w14:paraId="0486DC73">
      <w:pPr>
        <w:tabs>
          <w:tab w:val="right" w:leader="hyphen" w:pos="8504"/>
        </w:tabs>
        <w:spacing w:line="500" w:lineRule="exact"/>
        <w:ind w:right="849" w:rightChars="300" w:firstLine="1415" w:firstLineChars="500"/>
        <w:rPr>
          <w:rFonts w:hint="eastAsia"/>
          <w:color w:val="000000"/>
        </w:rPr>
      </w:pPr>
      <w:bookmarkStart w:id="218" w:name="_Toc9021_WPSOffice_Level2"/>
      <w:bookmarkStart w:id="219" w:name="_Toc8116_WPSOffice_Level2"/>
      <w:bookmarkStart w:id="220" w:name="_Toc1168_WPSOffice_Level2"/>
      <w:bookmarkStart w:id="221" w:name="_Toc27223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8"/>
      <w:bookmarkEnd w:id="219"/>
      <w:bookmarkEnd w:id="220"/>
      <w:bookmarkEnd w:id="221"/>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2" w:name="_Toc27170_WPSOffice_Level2"/>
      <w:bookmarkStart w:id="223" w:name="_Toc3525_WPSOffice_Level2"/>
      <w:bookmarkStart w:id="224" w:name="_Toc29414_WPSOffice_Level2"/>
      <w:bookmarkStart w:id="225" w:name="_Toc11630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2"/>
      <w:bookmarkEnd w:id="223"/>
      <w:bookmarkEnd w:id="224"/>
      <w:bookmarkEnd w:id="225"/>
    </w:p>
    <w:p w14:paraId="0E468E6A">
      <w:pPr>
        <w:tabs>
          <w:tab w:val="right" w:leader="hyphen" w:pos="8504"/>
        </w:tabs>
        <w:spacing w:line="480" w:lineRule="exact"/>
        <w:ind w:right="849" w:rightChars="300" w:firstLine="1415" w:firstLineChars="500"/>
        <w:rPr>
          <w:color w:val="000000"/>
        </w:rPr>
      </w:pPr>
      <w:bookmarkStart w:id="226" w:name="_Toc1782_WPSOffice_Level2"/>
      <w:bookmarkStart w:id="227" w:name="_Toc20504_WPSOffice_Level2"/>
      <w:bookmarkStart w:id="228" w:name="_Toc31457_WPSOffice_Level2"/>
      <w:bookmarkStart w:id="229" w:name="_Toc18811_WPSOffice_Level2"/>
      <w:r>
        <w:rPr>
          <w:rFonts w:hint="eastAsia"/>
          <w:color w:val="000000"/>
          <w:lang w:val="en-US" w:eastAsia="zh-CN"/>
        </w:rPr>
        <w:t>五</w:t>
      </w:r>
      <w:r>
        <w:rPr>
          <w:rFonts w:hint="eastAsia"/>
          <w:color w:val="000000"/>
        </w:rPr>
        <w:t>、</w:t>
      </w:r>
      <w:bookmarkEnd w:id="226"/>
      <w:bookmarkEnd w:id="227"/>
      <w:bookmarkEnd w:id="228"/>
      <w:bookmarkEnd w:id="229"/>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0" w:name="_Toc28279_WPSOffice_Level2"/>
      <w:bookmarkStart w:id="231" w:name="_Toc19486_WPSOffice_Level2"/>
      <w:bookmarkStart w:id="232" w:name="_Toc17428_WPSOffice_Level2"/>
      <w:bookmarkStart w:id="233" w:name="_Toc1325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0"/>
      <w:bookmarkEnd w:id="231"/>
      <w:bookmarkEnd w:id="232"/>
      <w:bookmarkEnd w:id="233"/>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4" w:name="_Toc27464_WPSOffice_Level1"/>
      <w:bookmarkStart w:id="235" w:name="_Toc23092_WPSOffice_Level1"/>
      <w:bookmarkStart w:id="236" w:name="_Toc21905_WPSOffice_Level1"/>
      <w:bookmarkStart w:id="237" w:name="_Toc22808_WPSOffice_Level1"/>
      <w:r>
        <w:rPr>
          <w:rFonts w:hint="eastAsia" w:ascii="黑体" w:hAnsi="黑体" w:eastAsia="黑体" w:cs="黑体"/>
          <w:color w:val="000000"/>
        </w:rPr>
        <w:t>第三部分  响应方案</w:t>
      </w:r>
      <w:bookmarkEnd w:id="234"/>
      <w:bookmarkEnd w:id="235"/>
      <w:bookmarkEnd w:id="236"/>
      <w:bookmarkEnd w:id="237"/>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8" w:name="_Toc7951_WPSOffice_Level2"/>
      <w:bookmarkStart w:id="239" w:name="_Toc980_WPSOffice_Level2"/>
      <w:bookmarkStart w:id="240" w:name="_Toc8316_WPSOffice_Level2"/>
      <w:bookmarkStart w:id="241" w:name="_Toc7544_WPSOffice_Level2"/>
      <w:r>
        <w:rPr>
          <w:rFonts w:hint="eastAsia"/>
          <w:color w:val="000000"/>
        </w:rPr>
        <w:t>一、供应</w:t>
      </w:r>
      <w:r>
        <w:rPr>
          <w:color w:val="000000"/>
        </w:rPr>
        <w:t>商</w:t>
      </w:r>
      <w:bookmarkEnd w:id="238"/>
      <w:r>
        <w:rPr>
          <w:rFonts w:hint="eastAsia"/>
          <w:color w:val="000000"/>
        </w:rPr>
        <w:t>概况</w:t>
      </w:r>
      <w:r>
        <w:rPr>
          <w:color w:val="000000"/>
        </w:rPr>
        <w:tab/>
      </w:r>
      <w:r>
        <w:rPr>
          <w:color w:val="000000"/>
        </w:rPr>
        <w:t>X</w:t>
      </w:r>
      <w:bookmarkEnd w:id="239"/>
      <w:bookmarkEnd w:id="240"/>
      <w:bookmarkEnd w:id="241"/>
    </w:p>
    <w:p w14:paraId="5A27765E">
      <w:pPr>
        <w:tabs>
          <w:tab w:val="right" w:leader="hyphen" w:pos="8504"/>
        </w:tabs>
        <w:spacing w:line="500" w:lineRule="exact"/>
        <w:ind w:left="849" w:leftChars="300" w:right="849" w:rightChars="300" w:firstLine="566" w:firstLineChars="200"/>
        <w:rPr>
          <w:color w:val="000000"/>
        </w:rPr>
      </w:pPr>
      <w:bookmarkStart w:id="242" w:name="_Toc2987_WPSOffice_Level2"/>
      <w:bookmarkStart w:id="243" w:name="_Toc2999_WPSOffice_Level2"/>
      <w:bookmarkStart w:id="244" w:name="_Toc10127_WPSOffice_Level2"/>
      <w:bookmarkStart w:id="245" w:name="_Toc15474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2"/>
      <w:bookmarkEnd w:id="243"/>
      <w:bookmarkEnd w:id="244"/>
      <w:bookmarkEnd w:id="245"/>
    </w:p>
    <w:p w14:paraId="40CA49D7">
      <w:pPr>
        <w:numPr>
          <w:ilvl w:val="0"/>
          <w:numId w:val="7"/>
        </w:numPr>
        <w:tabs>
          <w:tab w:val="right" w:leader="hyphen" w:pos="8504"/>
        </w:tabs>
        <w:spacing w:line="500" w:lineRule="exact"/>
        <w:ind w:left="1981" w:leftChars="500" w:right="849" w:rightChars="300" w:hanging="566" w:hangingChars="200"/>
        <w:rPr>
          <w:color w:val="000000"/>
        </w:rPr>
      </w:pPr>
      <w:bookmarkStart w:id="246" w:name="_Toc28542_WPSOffice_Level2"/>
      <w:bookmarkStart w:id="247" w:name="_Toc13401_WPSOffice_Level2"/>
      <w:bookmarkStart w:id="248" w:name="_Toc15492_WPSOffice_Level2"/>
      <w:bookmarkStart w:id="249" w:name="_Toc22913_WPSOffice_Level2"/>
      <w:r>
        <w:rPr>
          <w:rFonts w:hint="eastAsia"/>
          <w:color w:val="000000"/>
        </w:rPr>
        <w:t>参考样表</w:t>
      </w:r>
      <w:r>
        <w:rPr>
          <w:color w:val="000000"/>
        </w:rPr>
        <w:tab/>
      </w:r>
      <w:r>
        <w:rPr>
          <w:color w:val="000000"/>
        </w:rPr>
        <w:t>X</w:t>
      </w:r>
      <w:bookmarkEnd w:id="246"/>
      <w:bookmarkEnd w:id="247"/>
      <w:bookmarkEnd w:id="248"/>
      <w:bookmarkEnd w:id="249"/>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0" w:name="_Toc31057"/>
      <w:bookmarkStart w:id="251" w:name="_Toc1807"/>
      <w:bookmarkStart w:id="252" w:name="_Toc13654"/>
      <w:r>
        <w:rPr>
          <w:rStyle w:val="32"/>
          <w:rFonts w:hint="eastAsia" w:ascii="黑体" w:hAnsi="黑体" w:eastAsia="黑体"/>
          <w:b w:val="0"/>
          <w:bCs w:val="0"/>
          <w:color w:val="000000"/>
        </w:rPr>
        <w:t>第一部分  资格证明文件</w:t>
      </w:r>
      <w:bookmarkEnd w:id="250"/>
      <w:bookmarkEnd w:id="251"/>
      <w:bookmarkEnd w:id="252"/>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6C749B1D">
      <w:pPr>
        <w:spacing w:line="500" w:lineRule="exact"/>
        <w:ind w:firstLine="562"/>
        <w:outlineLvl w:val="2"/>
        <w:rPr>
          <w:rFonts w:hint="eastAsia" w:ascii="仿宋" w:hAnsi="仿宋" w:eastAsia="仿宋"/>
          <w:b/>
          <w:color w:val="000000"/>
        </w:rPr>
      </w:pPr>
    </w:p>
    <w:p w14:paraId="2B030A6F">
      <w:pPr>
        <w:spacing w:line="500" w:lineRule="exact"/>
        <w:ind w:firstLine="562"/>
        <w:outlineLvl w:val="2"/>
        <w:rPr>
          <w:rFonts w:hint="eastAsia" w:ascii="仿宋" w:hAnsi="仿宋" w:eastAsia="仿宋"/>
          <w:b/>
          <w:color w:val="000000"/>
        </w:rPr>
      </w:pPr>
    </w:p>
    <w:p w14:paraId="07F3B0B3">
      <w:pPr>
        <w:spacing w:line="500" w:lineRule="exact"/>
        <w:ind w:firstLine="562"/>
        <w:outlineLvl w:val="2"/>
        <w:rPr>
          <w:rFonts w:hint="eastAsia" w:ascii="仿宋" w:hAnsi="仿宋" w:eastAsia="仿宋"/>
          <w:b/>
          <w:color w:val="000000"/>
        </w:rPr>
      </w:pPr>
    </w:p>
    <w:p w14:paraId="416780A3">
      <w:pPr>
        <w:spacing w:line="500" w:lineRule="exact"/>
        <w:ind w:firstLine="562"/>
        <w:outlineLvl w:val="2"/>
        <w:rPr>
          <w:rFonts w:hint="eastAsia" w:ascii="仿宋" w:hAnsi="仿宋" w:eastAsia="仿宋"/>
          <w:b/>
          <w:color w:val="000000"/>
        </w:rPr>
      </w:pPr>
    </w:p>
    <w:p w14:paraId="2E9AAAEF">
      <w:pPr>
        <w:spacing w:line="500" w:lineRule="exact"/>
        <w:ind w:firstLine="562"/>
        <w:outlineLvl w:val="2"/>
        <w:rPr>
          <w:rFonts w:hint="eastAsia" w:ascii="仿宋" w:hAnsi="仿宋" w:eastAsia="仿宋"/>
          <w:b/>
          <w:color w:val="000000"/>
        </w:rPr>
      </w:pPr>
    </w:p>
    <w:p w14:paraId="67089A47">
      <w:pPr>
        <w:spacing w:line="500" w:lineRule="exact"/>
        <w:ind w:firstLine="562"/>
        <w:outlineLvl w:val="2"/>
        <w:rPr>
          <w:rFonts w:hint="eastAsia" w:ascii="仿宋" w:hAnsi="仿宋" w:eastAsia="仿宋"/>
          <w:b/>
          <w:color w:val="000000"/>
        </w:rPr>
      </w:pPr>
    </w:p>
    <w:p w14:paraId="6497BD03">
      <w:pPr>
        <w:spacing w:line="500" w:lineRule="exact"/>
        <w:ind w:firstLine="562"/>
        <w:outlineLvl w:val="2"/>
        <w:rPr>
          <w:rFonts w:hint="eastAsia" w:ascii="仿宋" w:hAnsi="仿宋" w:eastAsia="仿宋"/>
          <w:b/>
          <w:color w:val="000000"/>
        </w:rPr>
      </w:pPr>
    </w:p>
    <w:p w14:paraId="5A0E6617">
      <w:pPr>
        <w:spacing w:line="500" w:lineRule="exact"/>
        <w:ind w:firstLine="562"/>
        <w:outlineLvl w:val="2"/>
        <w:rPr>
          <w:rFonts w:hint="eastAsia" w:ascii="仿宋" w:hAnsi="仿宋" w:eastAsia="仿宋"/>
          <w:b/>
          <w:color w:val="000000"/>
        </w:rPr>
      </w:pPr>
    </w:p>
    <w:p w14:paraId="0E56F649">
      <w:pPr>
        <w:spacing w:line="500" w:lineRule="exact"/>
        <w:ind w:firstLine="562"/>
        <w:outlineLvl w:val="2"/>
        <w:rPr>
          <w:rFonts w:hint="eastAsia" w:ascii="仿宋" w:hAnsi="仿宋" w:eastAsia="仿宋"/>
          <w:b/>
          <w:color w:val="000000"/>
        </w:rPr>
      </w:pPr>
    </w:p>
    <w:p w14:paraId="16404BE5">
      <w:pPr>
        <w:spacing w:line="500" w:lineRule="exact"/>
        <w:ind w:firstLine="562"/>
        <w:outlineLvl w:val="2"/>
        <w:rPr>
          <w:rFonts w:hint="eastAsia" w:ascii="仿宋" w:hAnsi="仿宋" w:eastAsia="仿宋"/>
          <w:b/>
          <w:color w:val="000000"/>
        </w:rPr>
      </w:pPr>
    </w:p>
    <w:p w14:paraId="79E3F731">
      <w:pPr>
        <w:spacing w:line="500" w:lineRule="exact"/>
        <w:ind w:firstLine="562"/>
        <w:outlineLvl w:val="2"/>
        <w:rPr>
          <w:rFonts w:hint="eastAsia" w:ascii="仿宋" w:hAnsi="仿宋" w:eastAsia="仿宋"/>
          <w:b/>
          <w:color w:val="000000"/>
        </w:rPr>
      </w:pPr>
    </w:p>
    <w:p w14:paraId="7C700DD1">
      <w:pPr>
        <w:spacing w:line="500" w:lineRule="exact"/>
        <w:ind w:firstLine="562"/>
        <w:outlineLvl w:val="2"/>
        <w:rPr>
          <w:rFonts w:hint="eastAsia" w:ascii="仿宋" w:hAnsi="仿宋" w:eastAsia="仿宋"/>
          <w:b/>
          <w:color w:val="000000"/>
        </w:rPr>
      </w:pPr>
    </w:p>
    <w:p w14:paraId="38F13F1A">
      <w:pPr>
        <w:spacing w:line="500" w:lineRule="exact"/>
        <w:ind w:firstLine="562"/>
        <w:outlineLvl w:val="2"/>
        <w:rPr>
          <w:rFonts w:hint="eastAsia" w:ascii="仿宋" w:hAnsi="仿宋" w:eastAsia="仿宋"/>
          <w:b/>
          <w:color w:val="000000"/>
        </w:rPr>
      </w:pPr>
    </w:p>
    <w:p w14:paraId="0C49A0FD">
      <w:pPr>
        <w:spacing w:line="500" w:lineRule="exact"/>
        <w:ind w:firstLine="562"/>
        <w:outlineLvl w:val="2"/>
        <w:rPr>
          <w:rFonts w:hint="eastAsia" w:ascii="仿宋" w:hAnsi="仿宋" w:eastAsia="仿宋"/>
          <w:b/>
          <w:color w:val="000000"/>
        </w:rPr>
      </w:pPr>
    </w:p>
    <w:p w14:paraId="2E5804A7">
      <w:pPr>
        <w:spacing w:line="500" w:lineRule="exact"/>
        <w:ind w:firstLine="562"/>
        <w:outlineLvl w:val="2"/>
        <w:rPr>
          <w:rFonts w:hint="eastAsia" w:ascii="仿宋" w:hAnsi="仿宋" w:eastAsia="仿宋"/>
          <w:b/>
          <w:color w:val="000000"/>
        </w:rPr>
      </w:pPr>
    </w:p>
    <w:p w14:paraId="4AEEF3F9">
      <w:pPr>
        <w:spacing w:line="500" w:lineRule="exact"/>
        <w:ind w:firstLine="562"/>
        <w:outlineLvl w:val="2"/>
        <w:rPr>
          <w:rFonts w:hint="eastAsia" w:ascii="仿宋" w:hAnsi="仿宋" w:eastAsia="仿宋"/>
          <w:b/>
          <w:color w:val="000000"/>
        </w:rPr>
      </w:pPr>
    </w:p>
    <w:p w14:paraId="30735B57">
      <w:pPr>
        <w:spacing w:line="500" w:lineRule="exact"/>
        <w:outlineLvl w:val="2"/>
        <w:rPr>
          <w:rFonts w:hint="eastAsia" w:ascii="仿宋" w:hAnsi="仿宋" w:eastAsia="仿宋"/>
          <w:b/>
          <w:color w:val="000000"/>
        </w:rPr>
      </w:pP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10"/>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405C4D44">
      <w:pPr>
        <w:spacing w:line="500" w:lineRule="exact"/>
        <w:ind w:firstLine="566" w:firstLineChars="200"/>
        <w:outlineLvl w:val="2"/>
        <w:rPr>
          <w:rFonts w:hint="eastAsia"/>
          <w:b/>
          <w:bCs/>
          <w:color w:val="000000"/>
          <w:lang w:val="en-US" w:eastAsia="zh-CN"/>
        </w:rPr>
      </w:pPr>
    </w:p>
    <w:p w14:paraId="1DF3DE1D">
      <w:pPr>
        <w:spacing w:line="500" w:lineRule="exact"/>
        <w:ind w:firstLine="566" w:firstLineChars="200"/>
        <w:outlineLvl w:val="2"/>
        <w:rPr>
          <w:rFonts w:hint="eastAsia"/>
          <w:b/>
          <w:bCs/>
          <w:color w:val="000000"/>
          <w:lang w:val="en-US" w:eastAsia="zh-CN"/>
        </w:rPr>
      </w:pPr>
    </w:p>
    <w:p w14:paraId="11AF6304">
      <w:pPr>
        <w:spacing w:line="500" w:lineRule="exact"/>
        <w:ind w:firstLine="566" w:firstLineChars="200"/>
        <w:outlineLvl w:val="2"/>
        <w:rPr>
          <w:rFonts w:hint="eastAsia"/>
          <w:b/>
          <w:bCs/>
          <w:color w:val="000000"/>
          <w:lang w:val="en-US" w:eastAsia="zh-CN"/>
        </w:rPr>
      </w:pPr>
    </w:p>
    <w:p w14:paraId="1C791D63">
      <w:pPr>
        <w:spacing w:line="500" w:lineRule="exact"/>
        <w:ind w:firstLine="566" w:firstLineChars="200"/>
        <w:outlineLvl w:val="2"/>
        <w:rPr>
          <w:rFonts w:hint="eastAsia"/>
          <w:b/>
          <w:bCs/>
          <w:color w:val="000000"/>
          <w:lang w:val="en-US" w:eastAsia="zh-CN"/>
        </w:rPr>
      </w:pPr>
    </w:p>
    <w:p w14:paraId="5532BAEB">
      <w:pPr>
        <w:spacing w:line="500" w:lineRule="exact"/>
        <w:ind w:firstLine="566" w:firstLineChars="200"/>
        <w:outlineLvl w:val="2"/>
        <w:rPr>
          <w:rFonts w:hint="eastAsia"/>
          <w:b/>
          <w:bCs/>
          <w:color w:val="000000"/>
          <w:lang w:val="en-US" w:eastAsia="zh-CN"/>
        </w:rPr>
      </w:pPr>
    </w:p>
    <w:p w14:paraId="27925331">
      <w:pPr>
        <w:spacing w:line="500" w:lineRule="exact"/>
        <w:ind w:firstLine="566" w:firstLineChars="200"/>
        <w:outlineLvl w:val="2"/>
        <w:rPr>
          <w:rFonts w:hint="eastAsia"/>
          <w:b/>
          <w:bCs/>
          <w:color w:val="000000"/>
          <w:lang w:val="en-US" w:eastAsia="zh-CN"/>
        </w:rPr>
      </w:pPr>
    </w:p>
    <w:p w14:paraId="080D1E4E">
      <w:pPr>
        <w:spacing w:line="500" w:lineRule="exact"/>
        <w:ind w:firstLine="566" w:firstLineChars="200"/>
        <w:outlineLvl w:val="2"/>
        <w:rPr>
          <w:rFonts w:hint="eastAsia"/>
          <w:b/>
          <w:bCs/>
          <w:color w:val="000000"/>
          <w:lang w:val="en-US" w:eastAsia="zh-CN"/>
        </w:rPr>
      </w:pPr>
    </w:p>
    <w:p w14:paraId="23FE1189">
      <w:pPr>
        <w:spacing w:line="500" w:lineRule="exact"/>
        <w:ind w:firstLine="566" w:firstLineChars="200"/>
        <w:outlineLvl w:val="2"/>
        <w:rPr>
          <w:rFonts w:hint="eastAsia"/>
          <w:b/>
          <w:bCs/>
          <w:color w:val="000000"/>
          <w:lang w:val="en-US" w:eastAsia="zh-CN"/>
        </w:rPr>
      </w:pPr>
    </w:p>
    <w:p w14:paraId="1E852AA2">
      <w:pPr>
        <w:spacing w:line="500" w:lineRule="exact"/>
        <w:ind w:firstLine="566" w:firstLineChars="200"/>
        <w:outlineLvl w:val="2"/>
        <w:rPr>
          <w:rFonts w:hint="eastAsia"/>
          <w:b/>
          <w:bCs/>
          <w:color w:val="000000"/>
          <w:lang w:val="en-US" w:eastAsia="zh-CN"/>
        </w:rPr>
      </w:pPr>
    </w:p>
    <w:p w14:paraId="5A7FBE1F">
      <w:pPr>
        <w:spacing w:line="500" w:lineRule="exact"/>
        <w:ind w:firstLine="566" w:firstLineChars="200"/>
        <w:outlineLvl w:val="2"/>
        <w:rPr>
          <w:rFonts w:hint="eastAsia"/>
          <w:b/>
          <w:bCs/>
          <w:color w:val="000000"/>
          <w:lang w:val="en-US" w:eastAsia="zh-CN"/>
        </w:rPr>
      </w:pP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18"/>
        <w:ind w:firstLine="0" w:firstLineChars="0"/>
        <w:rPr>
          <w:rFonts w:ascii="仿宋" w:hAnsi="仿宋" w:eastAsia="仿宋"/>
          <w:b/>
          <w:color w:val="000000"/>
        </w:rPr>
      </w:pPr>
    </w:p>
    <w:p w14:paraId="03B7F4DA">
      <w:pPr>
        <w:pStyle w:val="33"/>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8"/>
        <w:rPr>
          <w:color w:val="000000"/>
          <w:sz w:val="30"/>
          <w:szCs w:val="30"/>
        </w:rPr>
      </w:pPr>
    </w:p>
    <w:p w14:paraId="5658270A">
      <w:pPr>
        <w:pStyle w:val="8"/>
        <w:rPr>
          <w:color w:val="000000"/>
          <w:sz w:val="30"/>
          <w:szCs w:val="30"/>
        </w:rPr>
      </w:pPr>
    </w:p>
    <w:p w14:paraId="2F791B12"/>
    <w:p w14:paraId="7E614B18">
      <w:pPr>
        <w:pStyle w:val="8"/>
        <w:rPr>
          <w:color w:val="000000"/>
          <w:sz w:val="30"/>
          <w:szCs w:val="30"/>
        </w:rPr>
      </w:pPr>
    </w:p>
    <w:p w14:paraId="4A206042">
      <w:pPr>
        <w:pStyle w:val="18"/>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18"/>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18"/>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0"/>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8"/>
        <w:rPr>
          <w:rFonts w:ascii="仿宋" w:hAnsi="仿宋" w:eastAsia="仿宋" w:cs="仿宋"/>
          <w:color w:val="auto"/>
        </w:rPr>
      </w:pPr>
    </w:p>
    <w:p w14:paraId="39F21E56">
      <w:pPr>
        <w:pStyle w:val="18"/>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18"/>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18"/>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18"/>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18"/>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10"/>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10"/>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3"/>
        <w:spacing w:line="500" w:lineRule="atLeast"/>
        <w:ind w:firstLine="607"/>
        <w:jc w:val="center"/>
        <w:outlineLvl w:val="9"/>
        <w:rPr>
          <w:rFonts w:cs="Times New Roman"/>
          <w:color w:val="000000"/>
          <w:szCs w:val="30"/>
        </w:rPr>
      </w:pPr>
      <w:bookmarkStart w:id="253" w:name="_Toc18044"/>
      <w:bookmarkStart w:id="254" w:name="_Toc15591"/>
      <w:bookmarkStart w:id="255" w:name="_Toc19326"/>
      <w:bookmarkStart w:id="256" w:name="_Toc29822"/>
      <w:bookmarkStart w:id="257" w:name="_Toc9004"/>
      <w:bookmarkStart w:id="258" w:name="_Toc12408"/>
      <w:bookmarkStart w:id="259" w:name="_Toc13312"/>
      <w:bookmarkStart w:id="260" w:name="_Toc17482"/>
      <w:r>
        <w:rPr>
          <w:rFonts w:hint="eastAsia" w:cs="华文仿宋"/>
          <w:color w:val="000000"/>
          <w:szCs w:val="30"/>
        </w:rPr>
        <w:t>法定代表人授权委托书</w:t>
      </w:r>
      <w:bookmarkEnd w:id="253"/>
      <w:bookmarkEnd w:id="254"/>
      <w:bookmarkEnd w:id="255"/>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6"/>
    </w:p>
    <w:bookmarkEnd w:id="257"/>
    <w:bookmarkEnd w:id="258"/>
    <w:bookmarkEnd w:id="259"/>
    <w:bookmarkEnd w:id="260"/>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0"/>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18"/>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0"/>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8"/>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8"/>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A7B9C09">
      <w:pPr>
        <w:pStyle w:val="18"/>
        <w:ind w:firstLine="0" w:firstLineChars="0"/>
        <w:rPr>
          <w:rFonts w:ascii="宋体" w:hAnsi="宋体" w:eastAsia="宋体" w:cs="宋体"/>
          <w:color w:val="000000"/>
          <w:sz w:val="21"/>
          <w:szCs w:val="21"/>
        </w:rPr>
      </w:pPr>
    </w:p>
    <w:p w14:paraId="4AC14BF5">
      <w:pPr>
        <w:pStyle w:val="31"/>
        <w:ind w:firstLine="0" w:firstLineChars="0"/>
        <w:rPr>
          <w:rFonts w:hint="eastAsia" w:ascii="黑体" w:hAnsi="黑体" w:eastAsia="黑体"/>
          <w:b w:val="0"/>
          <w:color w:val="000000"/>
        </w:rPr>
      </w:pPr>
      <w:bookmarkStart w:id="261" w:name="_Toc28770"/>
      <w:bookmarkStart w:id="262" w:name="_Toc16881"/>
    </w:p>
    <w:p w14:paraId="1A377BBF">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36B9CFC3">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71F908">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A2738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1A647E4">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73EE34E6">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C9938A2">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61BFA23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A089B0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1EFEA36">
      <w:pPr>
        <w:pStyle w:val="31"/>
        <w:ind w:firstLine="0" w:firstLineChars="0"/>
        <w:rPr>
          <w:rFonts w:ascii="黑体" w:hAnsi="黑体" w:eastAsia="黑体"/>
          <w:b w:val="0"/>
          <w:color w:val="000000"/>
        </w:rPr>
      </w:pPr>
      <w:bookmarkStart w:id="263" w:name="_Toc29074"/>
      <w:r>
        <w:rPr>
          <w:rFonts w:hint="eastAsia" w:ascii="黑体" w:hAnsi="黑体" w:eastAsia="黑体"/>
          <w:b w:val="0"/>
          <w:color w:val="000000"/>
        </w:rPr>
        <w:t>第二部分  符合性证明文件</w:t>
      </w:r>
      <w:bookmarkEnd w:id="261"/>
      <w:bookmarkEnd w:id="262"/>
      <w:bookmarkEnd w:id="263"/>
    </w:p>
    <w:p w14:paraId="4249899B">
      <w:pPr>
        <w:pStyle w:val="31"/>
        <w:ind w:firstLine="609"/>
        <w:jc w:val="both"/>
        <w:outlineLvl w:val="2"/>
        <w:rPr>
          <w:rFonts w:ascii="仿宋" w:hAnsi="仿宋" w:eastAsia="仿宋" w:cs="仿宋"/>
          <w:bCs w:val="0"/>
          <w:color w:val="000000"/>
        </w:rPr>
      </w:pPr>
      <w:bookmarkStart w:id="264" w:name="_Toc19788"/>
      <w:bookmarkStart w:id="265" w:name="_Toc14262"/>
      <w:bookmarkStart w:id="266" w:name="_Toc19195"/>
      <w:bookmarkStart w:id="267" w:name="_Toc2230"/>
      <w:r>
        <w:rPr>
          <w:rFonts w:hint="eastAsia" w:ascii="仿宋" w:hAnsi="仿宋" w:eastAsia="仿宋" w:cs="仿宋"/>
          <w:bCs w:val="0"/>
          <w:color w:val="000000"/>
        </w:rPr>
        <w:t>一、响应函格式</w:t>
      </w:r>
      <w:bookmarkEnd w:id="264"/>
      <w:bookmarkEnd w:id="265"/>
      <w:bookmarkEnd w:id="266"/>
      <w:bookmarkEnd w:id="267"/>
    </w:p>
    <w:p w14:paraId="58D43A13">
      <w:pPr>
        <w:pStyle w:val="27"/>
        <w:ind w:firstLine="0" w:firstLineChars="0"/>
        <w:jc w:val="center"/>
        <w:rPr>
          <w:rFonts w:ascii="黑体" w:hAnsi="黑体" w:eastAsia="黑体" w:cs="黑体"/>
          <w:color w:val="000000"/>
          <w:sz w:val="32"/>
          <w:szCs w:val="32"/>
        </w:rPr>
      </w:pPr>
      <w:bookmarkStart w:id="268" w:name="_Toc22777"/>
      <w:bookmarkStart w:id="269" w:name="_Toc23334"/>
      <w:bookmarkStart w:id="270" w:name="_Toc10617"/>
      <w:r>
        <w:rPr>
          <w:rFonts w:hint="eastAsia" w:ascii="黑体" w:hAnsi="黑体" w:eastAsia="黑体" w:cs="黑体"/>
          <w:color w:val="000000"/>
          <w:sz w:val="32"/>
          <w:szCs w:val="32"/>
        </w:rPr>
        <w:t>响应函</w:t>
      </w:r>
      <w:bookmarkEnd w:id="268"/>
      <w:bookmarkEnd w:id="269"/>
      <w:bookmarkEnd w:id="270"/>
    </w:p>
    <w:p w14:paraId="282EA6BA">
      <w:pPr>
        <w:pStyle w:val="27"/>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27"/>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27"/>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27"/>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0592A1D4">
      <w:pPr>
        <w:pStyle w:val="27"/>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27"/>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27"/>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27"/>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27"/>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27"/>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27"/>
        <w:spacing w:line="500" w:lineRule="exact"/>
        <w:ind w:firstLine="567"/>
        <w:rPr>
          <w:rFonts w:ascii="华文仿宋" w:hAnsi="华文仿宋" w:cs="华文仿宋"/>
          <w:color w:val="000000"/>
        </w:rPr>
      </w:pPr>
    </w:p>
    <w:p w14:paraId="209525BA">
      <w:pPr>
        <w:pStyle w:val="27"/>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27"/>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27"/>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27"/>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27"/>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27"/>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27"/>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27"/>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27"/>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27"/>
        <w:ind w:firstLine="0" w:firstLineChars="0"/>
        <w:rPr>
          <w:rFonts w:ascii="华文仿宋" w:hAnsi="华文仿宋" w:cs="华文仿宋"/>
          <w:color w:val="000000"/>
          <w:sz w:val="36"/>
        </w:rPr>
      </w:pPr>
    </w:p>
    <w:p w14:paraId="4C6D3F6B">
      <w:pPr>
        <w:pStyle w:val="27"/>
        <w:ind w:firstLine="0" w:firstLineChars="0"/>
        <w:rPr>
          <w:color w:val="000000"/>
          <w:sz w:val="36"/>
        </w:rPr>
      </w:pPr>
    </w:p>
    <w:p w14:paraId="70C7C9DE">
      <w:pPr>
        <w:pStyle w:val="27"/>
        <w:ind w:firstLine="0" w:firstLineChars="0"/>
        <w:rPr>
          <w:color w:val="000000"/>
          <w:sz w:val="24"/>
          <w:szCs w:val="24"/>
        </w:rPr>
      </w:pPr>
    </w:p>
    <w:p w14:paraId="1EE38841">
      <w:pPr>
        <w:pStyle w:val="27"/>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27"/>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1"/>
        <w:ind w:firstLine="609"/>
        <w:jc w:val="both"/>
        <w:outlineLvl w:val="9"/>
        <w:rPr>
          <w:rFonts w:ascii="仿宋" w:hAnsi="仿宋" w:eastAsia="仿宋" w:cs="仿宋"/>
          <w:bCs w:val="0"/>
          <w:color w:val="000000"/>
        </w:rPr>
      </w:pPr>
      <w:bookmarkStart w:id="271" w:name="_Toc6921"/>
      <w:bookmarkStart w:id="272" w:name="_Toc24876"/>
      <w:bookmarkStart w:id="273" w:name="_Toc23660"/>
    </w:p>
    <w:p w14:paraId="1AF40D03">
      <w:pPr>
        <w:pStyle w:val="31"/>
        <w:ind w:firstLine="609"/>
        <w:jc w:val="both"/>
        <w:outlineLvl w:val="9"/>
        <w:rPr>
          <w:rFonts w:ascii="仿宋" w:hAnsi="仿宋" w:eastAsia="仿宋" w:cs="仿宋"/>
          <w:bCs w:val="0"/>
          <w:color w:val="000000"/>
        </w:rPr>
      </w:pPr>
    </w:p>
    <w:p w14:paraId="12E6B8AB">
      <w:pPr>
        <w:pStyle w:val="31"/>
        <w:ind w:firstLine="609"/>
        <w:jc w:val="both"/>
        <w:outlineLvl w:val="9"/>
        <w:rPr>
          <w:rFonts w:ascii="仿宋" w:hAnsi="仿宋" w:eastAsia="仿宋" w:cs="仿宋"/>
          <w:bCs w:val="0"/>
          <w:color w:val="000000"/>
        </w:rPr>
      </w:pPr>
    </w:p>
    <w:p w14:paraId="65D75D7C">
      <w:pPr>
        <w:pStyle w:val="31"/>
        <w:ind w:firstLine="609"/>
        <w:jc w:val="both"/>
        <w:outlineLvl w:val="9"/>
        <w:rPr>
          <w:rFonts w:ascii="仿宋" w:hAnsi="仿宋" w:eastAsia="仿宋" w:cs="仿宋"/>
          <w:bCs w:val="0"/>
          <w:color w:val="000000"/>
        </w:rPr>
      </w:pPr>
    </w:p>
    <w:p w14:paraId="33FAB430">
      <w:pPr>
        <w:pStyle w:val="31"/>
        <w:ind w:firstLine="609"/>
        <w:jc w:val="both"/>
        <w:outlineLvl w:val="9"/>
        <w:rPr>
          <w:rFonts w:ascii="仿宋" w:hAnsi="仿宋" w:eastAsia="仿宋" w:cs="仿宋"/>
          <w:bCs w:val="0"/>
          <w:color w:val="000000"/>
        </w:rPr>
      </w:pPr>
    </w:p>
    <w:p w14:paraId="7E6641E9">
      <w:pPr>
        <w:pStyle w:val="31"/>
        <w:ind w:firstLine="609"/>
        <w:jc w:val="both"/>
        <w:outlineLvl w:val="9"/>
        <w:rPr>
          <w:rFonts w:ascii="仿宋" w:hAnsi="仿宋" w:eastAsia="仿宋" w:cs="仿宋"/>
          <w:bCs w:val="0"/>
          <w:color w:val="000000"/>
        </w:rPr>
      </w:pPr>
    </w:p>
    <w:p w14:paraId="32D911F3">
      <w:pPr>
        <w:pStyle w:val="31"/>
        <w:ind w:firstLine="609"/>
        <w:jc w:val="both"/>
        <w:outlineLvl w:val="9"/>
        <w:rPr>
          <w:rFonts w:ascii="仿宋" w:hAnsi="仿宋" w:eastAsia="仿宋" w:cs="仿宋"/>
          <w:bCs w:val="0"/>
          <w:color w:val="000000"/>
        </w:rPr>
      </w:pPr>
    </w:p>
    <w:p w14:paraId="0306B5D9">
      <w:pPr>
        <w:pStyle w:val="31"/>
        <w:ind w:firstLine="609"/>
        <w:jc w:val="both"/>
        <w:outlineLvl w:val="9"/>
        <w:rPr>
          <w:rFonts w:ascii="仿宋" w:hAnsi="仿宋" w:eastAsia="仿宋" w:cs="仿宋"/>
          <w:bCs w:val="0"/>
          <w:color w:val="000000"/>
        </w:rPr>
      </w:pPr>
    </w:p>
    <w:bookmarkEnd w:id="271"/>
    <w:bookmarkEnd w:id="272"/>
    <w:bookmarkEnd w:id="273"/>
    <w:p w14:paraId="52129943">
      <w:pPr>
        <w:spacing w:line="500" w:lineRule="exact"/>
        <w:ind w:firstLine="6460" w:firstLineChars="2000"/>
        <w:rPr>
          <w:rFonts w:ascii="宋体" w:hAnsi="宋体"/>
          <w:b/>
          <w:bCs/>
          <w:color w:val="000000"/>
          <w:sz w:val="32"/>
          <w:szCs w:val="32"/>
        </w:rPr>
      </w:pPr>
    </w:p>
    <w:p w14:paraId="47584442">
      <w:pPr>
        <w:spacing w:line="500" w:lineRule="exact"/>
        <w:rPr>
          <w:rFonts w:ascii="宋体" w:hAnsi="宋体"/>
          <w:b/>
          <w:bCs/>
          <w:color w:val="000000"/>
          <w:sz w:val="32"/>
          <w:szCs w:val="32"/>
        </w:rPr>
        <w:sectPr>
          <w:footerReference r:id="rId11" w:type="first"/>
          <w:headerReference r:id="rId9" w:type="default"/>
          <w:footerReference r:id="rId10" w:type="default"/>
          <w:pgSz w:w="11906" w:h="16838"/>
          <w:pgMar w:top="1304" w:right="1417" w:bottom="1304" w:left="1417" w:header="850" w:footer="624" w:gutter="0"/>
          <w:pgNumType w:fmt="numberInDash"/>
          <w:cols w:space="720" w:num="1"/>
          <w:docGrid w:type="linesAndChars" w:linePitch="381" w:charSpace="704"/>
        </w:sectPr>
      </w:pPr>
    </w:p>
    <w:p w14:paraId="78866ED1">
      <w:pPr>
        <w:pStyle w:val="31"/>
        <w:numPr>
          <w:ilvl w:val="0"/>
          <w:numId w:val="8"/>
        </w:numPr>
        <w:ind w:firstLine="609"/>
        <w:jc w:val="both"/>
        <w:outlineLvl w:val="2"/>
        <w:rPr>
          <w:rFonts w:hint="eastAsia" w:eastAsia="华文仿宋"/>
          <w:b/>
          <w:bCs/>
          <w:color w:val="000000"/>
          <w:sz w:val="30"/>
          <w:szCs w:val="30"/>
          <w:lang w:eastAsia="zh-CN"/>
        </w:rPr>
      </w:pPr>
      <w:bookmarkStart w:id="274" w:name="_Toc10520"/>
      <w:r>
        <w:rPr>
          <w:rFonts w:hint="eastAsia" w:ascii="仿宋" w:hAnsi="仿宋" w:eastAsia="仿宋" w:cs="仿宋"/>
          <w:color w:val="000000"/>
          <w:lang w:val="en-US" w:eastAsia="zh-CN"/>
        </w:rPr>
        <w:t>落实的政府采购政策</w:t>
      </w:r>
    </w:p>
    <w:p w14:paraId="0832D672">
      <w:pPr>
        <w:pStyle w:val="33"/>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bCs/>
          <w:color w:val="auto"/>
          <w:sz w:val="28"/>
          <w:szCs w:val="28"/>
          <w:u w:val="single"/>
          <w:lang w:val="en-US" w:eastAsia="zh-CN"/>
        </w:rPr>
        <w:t>物业管理</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3"/>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物业管理</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8"/>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18"/>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18"/>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18"/>
        <w:ind w:firstLine="426" w:firstLineChars="200"/>
        <w:rPr>
          <w:rFonts w:hint="eastAsia" w:ascii="宋体" w:hAnsi="宋体" w:eastAsia="宋体" w:cs="宋体"/>
          <w:color w:val="auto"/>
          <w:sz w:val="21"/>
          <w:szCs w:val="21"/>
          <w:highlight w:val="yellow"/>
        </w:rPr>
      </w:pPr>
    </w:p>
    <w:p w14:paraId="25313BFC">
      <w:pPr>
        <w:pStyle w:val="19"/>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6"/>
        <w:rPr>
          <w:rFonts w:hint="eastAsia" w:ascii="宋体" w:hAnsi="宋体" w:eastAsia="宋体" w:cs="宋体"/>
          <w:color w:val="auto"/>
          <w:sz w:val="21"/>
          <w:szCs w:val="21"/>
          <w:highlight w:val="yellow"/>
        </w:rPr>
      </w:pPr>
    </w:p>
    <w:p w14:paraId="34796666">
      <w:pPr>
        <w:rPr>
          <w:rFonts w:hint="eastAsia"/>
        </w:rPr>
      </w:pPr>
    </w:p>
    <w:p w14:paraId="00C5EF0B">
      <w:pPr>
        <w:pStyle w:val="19"/>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18"/>
        <w:ind w:firstLine="639" w:firstLineChars="300"/>
        <w:rPr>
          <w:rFonts w:ascii="宋体" w:hAnsi="宋体" w:eastAsia="宋体"/>
          <w:color w:val="000000"/>
          <w:sz w:val="21"/>
          <w:szCs w:val="21"/>
        </w:rPr>
      </w:pPr>
    </w:p>
    <w:p w14:paraId="1426432B">
      <w:pPr>
        <w:pStyle w:val="18"/>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18"/>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1"/>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4"/>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7"/>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0"/>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8"/>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8"/>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18"/>
              <w:ind w:firstLine="0" w:firstLineChars="0"/>
              <w:rPr>
                <w:rFonts w:ascii="仿宋" w:hAnsi="仿宋" w:eastAsia="仿宋" w:cs="仿宋"/>
                <w:color w:val="000000"/>
                <w:kern w:val="0"/>
                <w:sz w:val="28"/>
                <w:szCs w:val="24"/>
                <w:lang w:val="zh-CN"/>
              </w:rPr>
            </w:pPr>
          </w:p>
          <w:p w14:paraId="353DEC51">
            <w:pPr>
              <w:pStyle w:val="18"/>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A60F249">
      <w:pPr>
        <w:pStyle w:val="10"/>
        <w:ind w:firstLine="5377" w:firstLineChars="1900"/>
        <w:rPr>
          <w:color w:val="000000"/>
        </w:rPr>
        <w:sectPr>
          <w:pgSz w:w="11906" w:h="16838"/>
          <w:pgMar w:top="1417" w:right="1417" w:bottom="1417" w:left="1417" w:header="850" w:footer="992" w:gutter="0"/>
          <w:pgNumType w:fmt="numberInDash"/>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71796B2A">
      <w:pPr>
        <w:spacing w:beforeLines="50" w:afterLines="50" w:line="500" w:lineRule="exact"/>
        <w:jc w:val="center"/>
        <w:rPr>
          <w:rFonts w:ascii="华文仿宋" w:hAnsi="华文仿宋" w:cs="华文仿宋"/>
          <w:b/>
          <w:color w:val="000000"/>
        </w:rPr>
        <w:sectPr>
          <w:footerReference r:id="rId12" w:type="default"/>
          <w:type w:val="continuous"/>
          <w:pgSz w:w="11906" w:h="16838"/>
          <w:pgMar w:top="1417" w:right="1417" w:bottom="1417" w:left="1417" w:header="850" w:footer="992" w:gutter="0"/>
          <w:pgNumType w:fmt="numberInDash"/>
          <w:cols w:space="720" w:num="1"/>
          <w:docGrid w:type="linesAndChars" w:linePitch="381" w:charSpace="704"/>
        </w:sectPr>
      </w:pPr>
    </w:p>
    <w:p w14:paraId="03363BC8">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0"/>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43C19FE7">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2504F4EF">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7322D2A1">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3C7D6BD6">
            <w:pPr>
              <w:pStyle w:val="31"/>
              <w:widowControl w:val="0"/>
              <w:spacing w:line="240" w:lineRule="auto"/>
              <w:ind w:firstLine="0" w:firstLineChars="0"/>
              <w:rPr>
                <w:rFonts w:ascii="仿宋" w:hAnsi="仿宋" w:eastAsia="仿宋" w:cs="仿宋"/>
                <w:b w:val="0"/>
                <w:bCs w:val="0"/>
                <w:color w:val="000000"/>
                <w:kern w:val="0"/>
                <w:sz w:val="24"/>
                <w:szCs w:val="24"/>
              </w:rPr>
            </w:pPr>
            <w:bookmarkStart w:id="275" w:name="_Toc16202"/>
            <w:bookmarkStart w:id="276" w:name="_Toc32559"/>
            <w:bookmarkStart w:id="277" w:name="_Toc28616"/>
            <w:bookmarkStart w:id="278" w:name="_Toc16359"/>
            <w:r>
              <w:rPr>
                <w:rFonts w:hint="eastAsia" w:ascii="仿宋" w:hAnsi="仿宋" w:eastAsia="仿宋" w:cs="仿宋"/>
                <w:bCs w:val="0"/>
                <w:color w:val="000000"/>
                <w:sz w:val="24"/>
                <w:szCs w:val="24"/>
              </w:rPr>
              <w:t>计量单位</w:t>
            </w:r>
            <w:bookmarkEnd w:id="275"/>
            <w:bookmarkEnd w:id="276"/>
            <w:bookmarkEnd w:id="277"/>
            <w:bookmarkEnd w:id="278"/>
          </w:p>
        </w:tc>
        <w:tc>
          <w:tcPr>
            <w:tcW w:w="1265" w:type="dxa"/>
            <w:tcBorders>
              <w:top w:val="single" w:color="000000" w:sz="8" w:space="0"/>
              <w:left w:val="single" w:color="000000" w:sz="6" w:space="0"/>
              <w:bottom w:val="single" w:color="000000" w:sz="6" w:space="0"/>
              <w:right w:val="single" w:color="000000" w:sz="6" w:space="0"/>
            </w:tcBorders>
            <w:vAlign w:val="center"/>
          </w:tcPr>
          <w:p w14:paraId="2E4761B3">
            <w:pPr>
              <w:pStyle w:val="31"/>
              <w:widowControl w:val="0"/>
              <w:spacing w:line="240" w:lineRule="auto"/>
              <w:ind w:firstLine="0" w:firstLineChars="0"/>
              <w:rPr>
                <w:rFonts w:ascii="仿宋" w:hAnsi="仿宋" w:eastAsia="仿宋" w:cs="仿宋"/>
                <w:b w:val="0"/>
                <w:bCs w:val="0"/>
                <w:color w:val="000000"/>
                <w:kern w:val="0"/>
                <w:sz w:val="24"/>
                <w:szCs w:val="24"/>
                <w:lang w:val="zh-CN"/>
              </w:rPr>
            </w:pPr>
            <w:bookmarkStart w:id="279" w:name="_Toc5340"/>
            <w:bookmarkStart w:id="280" w:name="_Toc26417"/>
            <w:bookmarkStart w:id="281" w:name="_Toc4371"/>
            <w:bookmarkStart w:id="282" w:name="_Toc29236"/>
            <w:r>
              <w:rPr>
                <w:rFonts w:hint="eastAsia" w:ascii="仿宋" w:hAnsi="仿宋" w:eastAsia="仿宋" w:cs="仿宋"/>
                <w:bCs w:val="0"/>
                <w:color w:val="000000"/>
                <w:sz w:val="24"/>
                <w:szCs w:val="24"/>
              </w:rPr>
              <w:t>具体要求说明</w:t>
            </w:r>
            <w:bookmarkEnd w:id="279"/>
            <w:bookmarkEnd w:id="280"/>
            <w:bookmarkEnd w:id="281"/>
            <w:bookmarkEnd w:id="282"/>
          </w:p>
        </w:tc>
        <w:tc>
          <w:tcPr>
            <w:tcW w:w="1124" w:type="dxa"/>
            <w:tcBorders>
              <w:top w:val="single" w:color="000000" w:sz="8" w:space="0"/>
              <w:left w:val="single" w:color="000000" w:sz="6" w:space="0"/>
              <w:bottom w:val="single" w:color="000000" w:sz="6" w:space="0"/>
              <w:right w:val="single" w:color="auto" w:sz="4" w:space="0"/>
            </w:tcBorders>
            <w:vAlign w:val="center"/>
          </w:tcPr>
          <w:p w14:paraId="09CC1A90">
            <w:pPr>
              <w:pStyle w:val="31"/>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w:t>
            </w:r>
            <w:r>
              <w:rPr>
                <w:rFonts w:hint="eastAsia" w:ascii="仿宋" w:hAnsi="仿宋" w:eastAsia="仿宋" w:cs="仿宋"/>
                <w:bCs w:val="0"/>
                <w:sz w:val="24"/>
                <w:szCs w:val="24"/>
                <w:lang w:eastAsia="zh-CN"/>
              </w:rPr>
              <w:t>（</w:t>
            </w:r>
            <w:r>
              <w:rPr>
                <w:rFonts w:hint="eastAsia" w:ascii="仿宋" w:hAnsi="仿宋" w:eastAsia="仿宋" w:cs="仿宋"/>
                <w:bCs w:val="0"/>
                <w:sz w:val="24"/>
                <w:szCs w:val="24"/>
              </w:rPr>
              <w:t>元）</w:t>
            </w:r>
          </w:p>
        </w:tc>
        <w:tc>
          <w:tcPr>
            <w:tcW w:w="839" w:type="dxa"/>
            <w:tcBorders>
              <w:top w:val="single" w:color="000000" w:sz="8" w:space="0"/>
              <w:left w:val="single" w:color="auto" w:sz="4" w:space="0"/>
              <w:bottom w:val="single" w:color="000000" w:sz="6" w:space="0"/>
              <w:right w:val="single" w:color="auto" w:sz="4" w:space="0"/>
            </w:tcBorders>
            <w:vAlign w:val="center"/>
          </w:tcPr>
          <w:p w14:paraId="7A7E210C">
            <w:pPr>
              <w:pStyle w:val="31"/>
              <w:widowControl w:val="0"/>
              <w:spacing w:line="240" w:lineRule="auto"/>
              <w:ind w:firstLine="0" w:firstLineChars="0"/>
              <w:rPr>
                <w:rFonts w:ascii="仿宋" w:hAnsi="仿宋" w:eastAsia="仿宋" w:cs="仿宋"/>
                <w:bCs w:val="0"/>
                <w:color w:val="000000"/>
                <w:sz w:val="24"/>
                <w:szCs w:val="24"/>
              </w:rPr>
            </w:pPr>
            <w:bookmarkStart w:id="283" w:name="_Toc24317"/>
            <w:bookmarkStart w:id="284" w:name="_Toc18908"/>
            <w:bookmarkStart w:id="285" w:name="_Toc14670"/>
            <w:bookmarkStart w:id="286" w:name="_Toc9206"/>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45027D4E">
            <w:pPr>
              <w:pStyle w:val="31"/>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w:t>
            </w:r>
            <w:r>
              <w:rPr>
                <w:rFonts w:hint="eastAsia" w:ascii="仿宋" w:hAnsi="仿宋" w:eastAsia="仿宋" w:cs="仿宋"/>
                <w:bCs w:val="0"/>
                <w:color w:val="000000"/>
                <w:sz w:val="24"/>
                <w:szCs w:val="24"/>
                <w:lang w:eastAsia="zh-CN"/>
              </w:rPr>
              <w:t>（</w:t>
            </w:r>
            <w:r>
              <w:rPr>
                <w:rFonts w:hint="eastAsia" w:ascii="仿宋" w:hAnsi="仿宋" w:eastAsia="仿宋" w:cs="仿宋"/>
                <w:bCs w:val="0"/>
                <w:color w:val="000000"/>
                <w:sz w:val="24"/>
                <w:szCs w:val="24"/>
              </w:rPr>
              <w:t>元）</w:t>
            </w:r>
          </w:p>
        </w:tc>
        <w:tc>
          <w:tcPr>
            <w:tcW w:w="921" w:type="dxa"/>
            <w:tcBorders>
              <w:top w:val="single" w:color="000000" w:sz="8" w:space="0"/>
              <w:left w:val="single" w:color="000000" w:sz="6" w:space="0"/>
              <w:bottom w:val="single" w:color="000000" w:sz="6" w:space="0"/>
              <w:right w:val="single" w:color="000000" w:sz="8" w:space="0"/>
            </w:tcBorders>
            <w:vAlign w:val="center"/>
          </w:tcPr>
          <w:p w14:paraId="091C74F7">
            <w:pPr>
              <w:pStyle w:val="31"/>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3"/>
            <w:bookmarkEnd w:id="284"/>
            <w:bookmarkEnd w:id="285"/>
            <w:bookmarkEnd w:id="286"/>
          </w:p>
        </w:tc>
      </w:tr>
      <w:tr w14:paraId="180556F8">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DF4F93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781D95F9">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BD34BB6">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2B2E789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86A1B7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914BFA">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0A11037">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25708FF">
            <w:pPr>
              <w:autoSpaceDE w:val="0"/>
              <w:autoSpaceDN w:val="0"/>
              <w:spacing w:line="240" w:lineRule="auto"/>
              <w:jc w:val="center"/>
              <w:rPr>
                <w:rFonts w:ascii="仿宋" w:hAnsi="仿宋" w:eastAsia="仿宋" w:cs="仿宋"/>
                <w:color w:val="000000"/>
                <w:kern w:val="0"/>
                <w:sz w:val="24"/>
                <w:szCs w:val="24"/>
                <w:lang w:val="zh-CN"/>
              </w:rPr>
            </w:pPr>
          </w:p>
        </w:tc>
      </w:tr>
      <w:tr w14:paraId="4CEA7173">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41794900">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777DBB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727AE3B1">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D82816">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562895">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C9A052">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31D222D">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16D1CE6B">
            <w:pPr>
              <w:autoSpaceDE w:val="0"/>
              <w:autoSpaceDN w:val="0"/>
              <w:spacing w:line="240" w:lineRule="auto"/>
              <w:jc w:val="center"/>
              <w:rPr>
                <w:rFonts w:ascii="仿宋" w:hAnsi="仿宋" w:eastAsia="仿宋" w:cs="仿宋"/>
                <w:color w:val="000000"/>
                <w:kern w:val="0"/>
                <w:sz w:val="24"/>
                <w:szCs w:val="24"/>
                <w:lang w:val="zh-CN"/>
              </w:rPr>
            </w:pPr>
          </w:p>
        </w:tc>
      </w:tr>
      <w:tr w14:paraId="65D6F0D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CA5A764">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7683E3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8A9BC94">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22FB1A">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5CCFD274">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5A2AABC4">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FCB97B6">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00782BC">
            <w:pPr>
              <w:autoSpaceDE w:val="0"/>
              <w:autoSpaceDN w:val="0"/>
              <w:spacing w:line="240" w:lineRule="auto"/>
              <w:jc w:val="center"/>
              <w:rPr>
                <w:rFonts w:ascii="仿宋" w:hAnsi="仿宋" w:eastAsia="仿宋" w:cs="仿宋"/>
                <w:color w:val="000000"/>
                <w:kern w:val="0"/>
                <w:sz w:val="24"/>
                <w:szCs w:val="24"/>
                <w:lang w:val="zh-CN"/>
              </w:rPr>
            </w:pPr>
          </w:p>
        </w:tc>
      </w:tr>
      <w:tr w14:paraId="28512DC6">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09CF979E">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w:t>
            </w:r>
            <w:r>
              <w:rPr>
                <w:rFonts w:hint="eastAsia" w:ascii="仿宋" w:hAnsi="仿宋" w:eastAsia="仿宋" w:cs="仿宋"/>
                <w:b/>
                <w:bCs/>
                <w:color w:val="000000"/>
                <w:kern w:val="0"/>
                <w:sz w:val="24"/>
                <w:szCs w:val="24"/>
                <w:lang w:eastAsia="zh-CN"/>
              </w:rPr>
              <w:t>（</w:t>
            </w:r>
            <w:r>
              <w:rPr>
                <w:rFonts w:hint="eastAsia" w:ascii="仿宋" w:hAnsi="仿宋" w:eastAsia="仿宋" w:cs="仿宋"/>
                <w:b/>
                <w:bCs/>
                <w:color w:val="000000"/>
                <w:kern w:val="0"/>
                <w:sz w:val="24"/>
                <w:szCs w:val="24"/>
              </w:rPr>
              <w:t>元）：</w:t>
            </w:r>
          </w:p>
        </w:tc>
      </w:tr>
      <w:tr w14:paraId="57C13A56">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464A3384">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09DC888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zh-CN"/>
              </w:rPr>
              <w:t>小写：</w:t>
            </w:r>
            <w:r>
              <w:rPr>
                <w:rFonts w:hint="eastAsia" w:ascii="仿宋" w:hAnsi="仿宋" w:eastAsia="仿宋" w:cs="仿宋"/>
                <w:color w:val="000000"/>
                <w:kern w:val="0"/>
                <w:sz w:val="24"/>
                <w:szCs w:val="24"/>
                <w:lang w:val="zh-CN"/>
              </w:rPr>
              <w:br w:type="textWrapping"/>
            </w:r>
            <w:r>
              <w:rPr>
                <w:rFonts w:hint="eastAsia" w:ascii="仿宋" w:hAnsi="仿宋" w:eastAsia="仿宋" w:cs="仿宋"/>
                <w:color w:val="000000"/>
                <w:kern w:val="0"/>
                <w:sz w:val="24"/>
                <w:szCs w:val="24"/>
                <w:lang w:val="en-US" w:eastAsia="zh-CN"/>
              </w:rPr>
              <w:t>大写：</w:t>
            </w:r>
          </w:p>
          <w:p w14:paraId="231D1117">
            <w:pPr>
              <w:wordWrap w:val="0"/>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r>
              <w:rPr>
                <w:rFonts w:hint="eastAsia" w:ascii="仿宋" w:hAnsi="仿宋" w:eastAsia="仿宋" w:cs="仿宋"/>
                <w:color w:val="000000"/>
                <w:sz w:val="24"/>
                <w:szCs w:val="24"/>
                <w:lang w:val="en-US" w:eastAsia="zh-CN"/>
              </w:rPr>
              <w:t xml:space="preserve"> </w:t>
            </w:r>
          </w:p>
        </w:tc>
      </w:tr>
    </w:tbl>
    <w:p w14:paraId="03694193">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6B2D60D2">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09E46F6C">
      <w:pPr>
        <w:pStyle w:val="10"/>
        <w:spacing w:after="190"/>
        <w:rPr>
          <w:rFonts w:eastAsia="宋体"/>
          <w:color w:val="000000"/>
        </w:rPr>
      </w:pPr>
    </w:p>
    <w:p w14:paraId="42C84729">
      <w:pPr>
        <w:widowControl w:val="0"/>
        <w:autoSpaceDE w:val="0"/>
        <w:autoSpaceDN w:val="0"/>
        <w:spacing w:line="240" w:lineRule="auto"/>
        <w:ind w:firstLine="1065" w:firstLineChars="500"/>
        <w:rPr>
          <w:rFonts w:ascii="宋体" w:hAnsi="宋体" w:eastAsia="宋体" w:cs="宋体"/>
          <w:color w:val="000000"/>
          <w:kern w:val="0"/>
          <w:sz w:val="21"/>
          <w:szCs w:val="21"/>
        </w:rPr>
      </w:pPr>
    </w:p>
    <w:p w14:paraId="191061F9">
      <w:pPr>
        <w:spacing w:line="500" w:lineRule="exact"/>
        <w:ind w:firstLine="566" w:firstLineChars="200"/>
        <w:rPr>
          <w:rFonts w:ascii="仿宋" w:hAnsi="仿宋" w:eastAsia="仿宋" w:cs="Calibri"/>
          <w:b/>
          <w:bCs/>
          <w:color w:val="000000"/>
        </w:rPr>
      </w:pPr>
    </w:p>
    <w:p w14:paraId="68E031F9">
      <w:pPr>
        <w:pStyle w:val="10"/>
        <w:rPr>
          <w:color w:val="000000"/>
        </w:rPr>
      </w:pPr>
    </w:p>
    <w:p w14:paraId="2DE02B16">
      <w:pPr>
        <w:pStyle w:val="10"/>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lang w:eastAsia="zh-CN"/>
        </w:rPr>
        <w:t>（</w:t>
      </w:r>
      <w:r>
        <w:rPr>
          <w:rFonts w:hint="eastAsia" w:ascii="华文仿宋" w:hAnsi="华文仿宋" w:cs="华文仿宋"/>
          <w:bCs/>
          <w:color w:val="000000"/>
          <w:szCs w:val="32"/>
        </w:rPr>
        <w:t>加盖公章）</w:t>
      </w:r>
      <w:r>
        <w:rPr>
          <w:rFonts w:ascii="仿宋" w:hAnsi="仿宋" w:eastAsia="仿宋"/>
          <w:bCs/>
          <w:color w:val="000000"/>
        </w:rPr>
        <w:tab/>
      </w:r>
    </w:p>
    <w:p w14:paraId="5C2A4941">
      <w:pPr>
        <w:spacing w:line="500" w:lineRule="exact"/>
        <w:ind w:firstLine="5377" w:firstLineChars="1900"/>
        <w:rPr>
          <w:rFonts w:ascii="宋体" w:hAnsi="宋体"/>
          <w:b/>
          <w:bCs/>
          <w:color w:val="000000"/>
          <w:sz w:val="32"/>
          <w:szCs w:val="32"/>
        </w:rPr>
        <w:sectPr>
          <w:headerReference r:id="rId13" w:type="default"/>
          <w:footerReference r:id="rId14" w:type="default"/>
          <w:type w:val="continuous"/>
          <w:pgSz w:w="11906" w:h="16838"/>
          <w:pgMar w:top="1417" w:right="1417" w:bottom="1417" w:left="1417" w:header="850" w:footer="992" w:gutter="0"/>
          <w:pgNumType w:fmt="numberInDash"/>
          <w:cols w:space="720" w:num="1"/>
          <w:docGrid w:type="linesAndChars" w:linePitch="381" w:charSpace="704"/>
        </w:sectPr>
      </w:pPr>
      <w:r>
        <w:rPr>
          <w:color w:val="000000"/>
        </w:rPr>
        <w:t>日期：　年　月　</w:t>
      </w:r>
      <w:r>
        <w:rPr>
          <w:rFonts w:hint="eastAsia"/>
          <w:color w:val="000000"/>
        </w:rPr>
        <w:t xml:space="preserve"> 日</w:t>
      </w:r>
    </w:p>
    <w:p w14:paraId="071719C9">
      <w:pPr>
        <w:pStyle w:val="31"/>
        <w:ind w:firstLine="609"/>
        <w:jc w:val="both"/>
        <w:outlineLvl w:val="2"/>
        <w:rPr>
          <w:rFonts w:ascii="仿宋" w:hAnsi="仿宋" w:eastAsia="仿宋" w:cs="仿宋"/>
          <w:bCs w:val="0"/>
          <w:color w:val="000000"/>
        </w:rPr>
      </w:pPr>
      <w:bookmarkStart w:id="287" w:name="_Toc27738"/>
      <w:bookmarkStart w:id="288" w:name="_Toc19377"/>
      <w:bookmarkStart w:id="289" w:name="_Toc31382"/>
      <w:r>
        <w:rPr>
          <w:rFonts w:hint="eastAsia" w:ascii="仿宋" w:hAnsi="仿宋" w:eastAsia="仿宋" w:cs="仿宋"/>
          <w:color w:val="000000"/>
        </w:rPr>
        <w:br w:type="page"/>
      </w:r>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0" w:name="_Toc20905"/>
      <w:r>
        <w:rPr>
          <w:rFonts w:hint="eastAsia" w:ascii="仿宋" w:hAnsi="仿宋" w:eastAsia="仿宋" w:cs="仿宋"/>
          <w:bCs w:val="0"/>
          <w:color w:val="000000"/>
        </w:rPr>
        <w:t>供应商</w:t>
      </w:r>
      <w:bookmarkEnd w:id="287"/>
      <w:bookmarkEnd w:id="288"/>
      <w:bookmarkEnd w:id="289"/>
      <w:r>
        <w:rPr>
          <w:rFonts w:hint="eastAsia" w:ascii="仿宋" w:hAnsi="仿宋" w:eastAsia="仿宋" w:cs="仿宋"/>
          <w:bCs w:val="0"/>
          <w:color w:val="000000"/>
        </w:rPr>
        <w:t>承诺书</w:t>
      </w:r>
      <w:bookmarkEnd w:id="290"/>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2"/>
        <w:rPr>
          <w:rFonts w:hint="eastAsia"/>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2"/>
        <w:rPr>
          <w:rFonts w:hint="eastAsia"/>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eastAsia="华文仿宋"/>
                <w:sz w:val="24"/>
                <w:lang w:eastAsia="zh-CN"/>
              </w:rPr>
            </w:pPr>
            <w:r>
              <w:rPr>
                <w:rFonts w:hint="eastAsia" w:ascii="宋体" w:hAnsi="宋体"/>
                <w:sz w:val="24"/>
                <w:lang w:eastAsia="zh-CN"/>
              </w:rPr>
              <w:t>供应商</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4"/>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0"/>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w:t>
      </w:r>
      <w:r>
        <w:rPr>
          <w:rFonts w:hint="eastAsia" w:ascii="宋体" w:hAnsi="宋体" w:eastAsia="宋体" w:cs="宋体"/>
          <w:b/>
          <w:bCs/>
          <w:color w:val="auto"/>
          <w:sz w:val="21"/>
          <w:szCs w:val="21"/>
          <w:lang w:eastAsia="zh-CN"/>
        </w:rPr>
        <w:t>响应文件</w:t>
      </w:r>
      <w:r>
        <w:rPr>
          <w:rFonts w:hint="eastAsia" w:ascii="宋体" w:hAnsi="宋体" w:eastAsia="宋体" w:cs="宋体"/>
          <w:b/>
          <w:bCs/>
          <w:color w:val="auto"/>
          <w:sz w:val="21"/>
          <w:szCs w:val="21"/>
        </w:rPr>
        <w:t>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10"/>
        <w:spacing w:line="500" w:lineRule="exact"/>
        <w:rPr>
          <w:rFonts w:ascii="华文仿宋" w:hAnsi="华文仿宋" w:cs="华文仿宋"/>
          <w:color w:val="auto"/>
        </w:rPr>
      </w:pPr>
    </w:p>
    <w:p w14:paraId="1FF89DEB">
      <w:pPr>
        <w:pStyle w:val="10"/>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10"/>
        <w:spacing w:after="190"/>
        <w:rPr>
          <w:color w:val="auto"/>
        </w:rPr>
      </w:pPr>
    </w:p>
    <w:p w14:paraId="442F3DEA">
      <w:pPr>
        <w:pStyle w:val="10"/>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18"/>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18"/>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18"/>
        <w:ind w:firstLine="183"/>
        <w:rPr>
          <w:color w:val="000000"/>
        </w:rPr>
      </w:pPr>
    </w:p>
    <w:p w14:paraId="3E6FD9AD">
      <w:pPr>
        <w:pStyle w:val="31"/>
        <w:ind w:firstLine="0" w:firstLineChars="0"/>
        <w:rPr>
          <w:rFonts w:ascii="黑体" w:hAnsi="黑体" w:eastAsia="黑体"/>
          <w:b w:val="0"/>
          <w:color w:val="000000"/>
        </w:rPr>
      </w:pPr>
      <w:r>
        <w:rPr>
          <w:rFonts w:ascii="黑体" w:hAnsi="黑体" w:eastAsia="黑体"/>
          <w:b w:val="0"/>
          <w:color w:val="000000"/>
        </w:rPr>
        <w:br w:type="page"/>
      </w:r>
      <w:bookmarkStart w:id="291" w:name="_Toc525"/>
      <w:bookmarkStart w:id="292" w:name="_Toc11295"/>
      <w:bookmarkStart w:id="293" w:name="_Toc15586"/>
      <w:bookmarkStart w:id="294" w:name="_Toc18795"/>
      <w:bookmarkStart w:id="295" w:name="_Toc12899"/>
      <w:r>
        <w:rPr>
          <w:rFonts w:hint="eastAsia" w:ascii="黑体" w:hAnsi="黑体" w:eastAsia="黑体"/>
          <w:b w:val="0"/>
          <w:color w:val="000000"/>
          <w:sz w:val="32"/>
          <w:szCs w:val="36"/>
        </w:rPr>
        <w:t>第三部分  响应方案</w:t>
      </w:r>
      <w:bookmarkEnd w:id="291"/>
      <w:bookmarkEnd w:id="292"/>
      <w:bookmarkEnd w:id="293"/>
      <w:bookmarkEnd w:id="294"/>
      <w:bookmarkEnd w:id="295"/>
    </w:p>
    <w:p w14:paraId="397633A1">
      <w:pPr>
        <w:pStyle w:val="31"/>
        <w:ind w:firstLine="609"/>
        <w:jc w:val="both"/>
        <w:outlineLvl w:val="2"/>
        <w:rPr>
          <w:rFonts w:ascii="仿宋" w:hAnsi="仿宋" w:eastAsia="仿宋" w:cs="仿宋"/>
          <w:bCs w:val="0"/>
          <w:color w:val="000000"/>
        </w:rPr>
      </w:pPr>
      <w:bookmarkStart w:id="296" w:name="_Toc9079"/>
      <w:bookmarkStart w:id="297" w:name="_Toc15660_WPSOffice_Level2"/>
      <w:bookmarkStart w:id="298" w:name="_Toc11555"/>
      <w:bookmarkStart w:id="299" w:name="_Toc29975_WPSOffice_Level2"/>
      <w:bookmarkStart w:id="300" w:name="_Toc24887"/>
      <w:bookmarkStart w:id="301" w:name="_Toc17062_WPSOffice_Level2"/>
      <w:bookmarkStart w:id="302" w:name="_Toc17621"/>
      <w:bookmarkStart w:id="303" w:name="_Toc7989"/>
      <w:bookmarkStart w:id="304" w:name="_Toc9337_WPSOffice_Level2"/>
      <w:bookmarkStart w:id="305" w:name="_Toc28702"/>
      <w:bookmarkStart w:id="306" w:name="_Toc7732"/>
      <w:r>
        <w:rPr>
          <w:rFonts w:hint="eastAsia" w:ascii="仿宋" w:hAnsi="仿宋" w:eastAsia="仿宋" w:cs="仿宋"/>
          <w:bCs w:val="0"/>
          <w:color w:val="000000"/>
        </w:rPr>
        <w:t>一、供应商概况</w:t>
      </w:r>
      <w:bookmarkEnd w:id="296"/>
      <w:bookmarkEnd w:id="297"/>
      <w:bookmarkEnd w:id="298"/>
      <w:bookmarkEnd w:id="299"/>
      <w:bookmarkEnd w:id="300"/>
      <w:bookmarkEnd w:id="301"/>
      <w:bookmarkEnd w:id="302"/>
      <w:bookmarkEnd w:id="303"/>
      <w:bookmarkEnd w:id="304"/>
      <w:bookmarkEnd w:id="305"/>
      <w:bookmarkEnd w:id="306"/>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1"/>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0"/>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0"/>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type w:val="continuous"/>
      <w:pgSz w:w="11906" w:h="16838"/>
      <w:pgMar w:top="1417" w:right="1417" w:bottom="1417" w:left="1417" w:header="850" w:footer="992" w:gutter="0"/>
      <w:pgNumType w:fmt="numberInDash"/>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7EECD">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2"/>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A0BFA">
    <w:pPr>
      <w:spacing w:line="169" w:lineRule="auto"/>
      <w:ind w:left="4453"/>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5459A5">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5459A5">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- 11 -</w:t>
                    </w:r>
                    <w:r>
                      <w:rPr>
                        <w:rFonts w:hint="eastAsia" w:ascii="宋体" w:hAnsi="宋体" w:eastAsia="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3"/>
      <w:rPr>
        <w:rFonts w:hint="eastAsia"/>
        <w:b w:val="0"/>
        <w:bCs w:val="0"/>
        <w:color w:val="auto"/>
        <w:lang w:eastAsia="zh-CN"/>
      </w:rPr>
    </w:pPr>
    <w:r>
      <w:rPr>
        <w:rFonts w:hint="eastAsia"/>
        <w:b w:val="0"/>
        <w:bCs w:val="0"/>
        <w:color w:val="auto"/>
        <w:lang w:eastAsia="zh-CN"/>
      </w:rPr>
      <w:t>延安凤凰山革命旧址管理处（中国人民抗日军政大学纪念馆）物业服务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3"/>
    </w:pPr>
    <w:r>
      <w:rPr>
        <w:rFonts w:hint="eastAsia"/>
        <w:color w:val="000000"/>
        <w:lang w:val="en-US" w:eastAsia="zh-CN"/>
      </w:rPr>
      <w:t>延安凤凰山革命旧址管理处（中国人民抗日军政大学纪念馆）物业服务</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3"/>
      <w:tabs>
        <w:tab w:val="left" w:pos="368"/>
      </w:tabs>
      <w:jc w:val="center"/>
    </w:pPr>
    <w:r>
      <w:rPr>
        <w:rFonts w:hint="eastAsia"/>
        <w:b w:val="0"/>
        <w:bCs w:val="0"/>
        <w:color w:val="auto"/>
        <w:lang w:eastAsia="zh-CN"/>
      </w:rPr>
      <w:t>延安凤凰山革命旧址管理处（中国人民抗日军政大学纪念馆）物业服务</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CB39DB9"/>
    <w:multiLevelType w:val="singleLevel"/>
    <w:tmpl w:val="1CB39DB9"/>
    <w:lvl w:ilvl="0" w:tentative="0">
      <w:start w:val="7"/>
      <w:numFmt w:val="decimal"/>
      <w:lvlText w:val="%1."/>
      <w:lvlJc w:val="left"/>
      <w:pPr>
        <w:tabs>
          <w:tab w:val="left" w:pos="312"/>
        </w:tabs>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2B06B147"/>
    <w:multiLevelType w:val="singleLevel"/>
    <w:tmpl w:val="2B06B147"/>
    <w:lvl w:ilvl="0" w:tentative="0">
      <w:start w:val="1"/>
      <w:numFmt w:val="chineseCounting"/>
      <w:suff w:val="nothing"/>
      <w:lvlText w:val="%1、"/>
      <w:lvlJc w:val="left"/>
      <w:rPr>
        <w:rFonts w:hint="eastAsia"/>
      </w:rPr>
    </w:lvl>
  </w:abstractNum>
  <w:abstractNum w:abstractNumId="5">
    <w:nsid w:val="42179092"/>
    <w:multiLevelType w:val="singleLevel"/>
    <w:tmpl w:val="42179092"/>
    <w:lvl w:ilvl="0" w:tentative="0">
      <w:start w:val="1"/>
      <w:numFmt w:val="decimal"/>
      <w:pStyle w:val="7"/>
      <w:lvlText w:val="%1."/>
      <w:lvlJc w:val="left"/>
      <w:pPr>
        <w:tabs>
          <w:tab w:val="left" w:pos="780"/>
        </w:tabs>
        <w:ind w:left="780" w:hanging="360"/>
      </w:pPr>
    </w:lvl>
  </w:abstractNum>
  <w:abstractNum w:abstractNumId="6">
    <w:nsid w:val="6B23FC29"/>
    <w:multiLevelType w:val="multilevel"/>
    <w:tmpl w:val="6B23FC2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7">
    <w:nsid w:val="700C5CB2"/>
    <w:multiLevelType w:val="singleLevel"/>
    <w:tmpl w:val="700C5CB2"/>
    <w:lvl w:ilvl="0" w:tentative="0">
      <w:start w:val="2"/>
      <w:numFmt w:val="chineseCounting"/>
      <w:suff w:val="nothing"/>
      <w:lvlText w:val="%1、"/>
      <w:lvlJc w:val="left"/>
      <w:rPr>
        <w:rFonts w:hint="eastAsia"/>
      </w:rPr>
    </w:lvl>
  </w:abstractNum>
  <w:num w:numId="1">
    <w:abstractNumId w:val="5"/>
  </w:num>
  <w:num w:numId="2">
    <w:abstractNumId w:val="0"/>
  </w:num>
  <w:num w:numId="3">
    <w:abstractNumId w:val="2"/>
  </w:num>
  <w:num w:numId="4">
    <w:abstractNumId w:val="3"/>
  </w:num>
  <w:num w:numId="5">
    <w:abstractNumId w:val="6"/>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C4D2E"/>
    <w:rsid w:val="00606382"/>
    <w:rsid w:val="006836D3"/>
    <w:rsid w:val="007C717F"/>
    <w:rsid w:val="00885B23"/>
    <w:rsid w:val="008C6C96"/>
    <w:rsid w:val="00FD6FFF"/>
    <w:rsid w:val="0106590A"/>
    <w:rsid w:val="0153724B"/>
    <w:rsid w:val="017E6B98"/>
    <w:rsid w:val="018B236D"/>
    <w:rsid w:val="018E1CDD"/>
    <w:rsid w:val="01995B0E"/>
    <w:rsid w:val="01A422D2"/>
    <w:rsid w:val="01E6443F"/>
    <w:rsid w:val="01EE19B6"/>
    <w:rsid w:val="020A0DA8"/>
    <w:rsid w:val="02183E82"/>
    <w:rsid w:val="02457A2C"/>
    <w:rsid w:val="026B3007"/>
    <w:rsid w:val="029562D6"/>
    <w:rsid w:val="02CD1F13"/>
    <w:rsid w:val="02D13556"/>
    <w:rsid w:val="02D768EE"/>
    <w:rsid w:val="02E80AFB"/>
    <w:rsid w:val="02F6579D"/>
    <w:rsid w:val="032F5083"/>
    <w:rsid w:val="03351867"/>
    <w:rsid w:val="03AE3AF3"/>
    <w:rsid w:val="03D42E2E"/>
    <w:rsid w:val="03FB660C"/>
    <w:rsid w:val="04115E30"/>
    <w:rsid w:val="041E4679"/>
    <w:rsid w:val="045C7680"/>
    <w:rsid w:val="0482288A"/>
    <w:rsid w:val="04867C52"/>
    <w:rsid w:val="0490144A"/>
    <w:rsid w:val="04AD3DAA"/>
    <w:rsid w:val="04B663D0"/>
    <w:rsid w:val="04B74C29"/>
    <w:rsid w:val="04B90AB9"/>
    <w:rsid w:val="04C46E30"/>
    <w:rsid w:val="04ED064B"/>
    <w:rsid w:val="04FD0162"/>
    <w:rsid w:val="053C0609"/>
    <w:rsid w:val="05465EBB"/>
    <w:rsid w:val="055B7A87"/>
    <w:rsid w:val="05985572"/>
    <w:rsid w:val="059C797B"/>
    <w:rsid w:val="05CA26AE"/>
    <w:rsid w:val="05CC0260"/>
    <w:rsid w:val="061213B6"/>
    <w:rsid w:val="0620235A"/>
    <w:rsid w:val="06500E91"/>
    <w:rsid w:val="06571C6C"/>
    <w:rsid w:val="067E4BBE"/>
    <w:rsid w:val="067F52D3"/>
    <w:rsid w:val="069279F6"/>
    <w:rsid w:val="06B55971"/>
    <w:rsid w:val="06FC4B75"/>
    <w:rsid w:val="07267E44"/>
    <w:rsid w:val="074810B3"/>
    <w:rsid w:val="075F6A10"/>
    <w:rsid w:val="07660241"/>
    <w:rsid w:val="07CF1388"/>
    <w:rsid w:val="08161C67"/>
    <w:rsid w:val="08602EE2"/>
    <w:rsid w:val="086A3D60"/>
    <w:rsid w:val="08A92ADB"/>
    <w:rsid w:val="08B01682"/>
    <w:rsid w:val="08E6531C"/>
    <w:rsid w:val="09000221"/>
    <w:rsid w:val="090E293E"/>
    <w:rsid w:val="092E0A33"/>
    <w:rsid w:val="093700E7"/>
    <w:rsid w:val="09420839"/>
    <w:rsid w:val="0969226A"/>
    <w:rsid w:val="09945156"/>
    <w:rsid w:val="09B41737"/>
    <w:rsid w:val="09F00295"/>
    <w:rsid w:val="0A964B9E"/>
    <w:rsid w:val="0AFD2C6A"/>
    <w:rsid w:val="0B2E1E80"/>
    <w:rsid w:val="0B6A3BEB"/>
    <w:rsid w:val="0B6E78D8"/>
    <w:rsid w:val="0B753148"/>
    <w:rsid w:val="0B8769D7"/>
    <w:rsid w:val="0B892750"/>
    <w:rsid w:val="0B931ED3"/>
    <w:rsid w:val="0B9A495D"/>
    <w:rsid w:val="0BAF665A"/>
    <w:rsid w:val="0BBE6B6A"/>
    <w:rsid w:val="0BCB0FBA"/>
    <w:rsid w:val="0C3A3E75"/>
    <w:rsid w:val="0C5B233E"/>
    <w:rsid w:val="0C7B17EF"/>
    <w:rsid w:val="0CA37841"/>
    <w:rsid w:val="0CE265BB"/>
    <w:rsid w:val="0CF42CB0"/>
    <w:rsid w:val="0CFD33F5"/>
    <w:rsid w:val="0D26294C"/>
    <w:rsid w:val="0D4B6583"/>
    <w:rsid w:val="0DCB34F3"/>
    <w:rsid w:val="0DD71E98"/>
    <w:rsid w:val="0DE73C50"/>
    <w:rsid w:val="0DFB64F3"/>
    <w:rsid w:val="0DFC0475"/>
    <w:rsid w:val="0E0302A0"/>
    <w:rsid w:val="0E484619"/>
    <w:rsid w:val="0E9465F6"/>
    <w:rsid w:val="0E990EFC"/>
    <w:rsid w:val="0EA07F83"/>
    <w:rsid w:val="0EB65F51"/>
    <w:rsid w:val="0EC51CF1"/>
    <w:rsid w:val="0EE320D8"/>
    <w:rsid w:val="0F40581B"/>
    <w:rsid w:val="0F5A4B1A"/>
    <w:rsid w:val="0F8A342F"/>
    <w:rsid w:val="0F8C5352"/>
    <w:rsid w:val="0FB75ADD"/>
    <w:rsid w:val="0FCB7000"/>
    <w:rsid w:val="10480E2B"/>
    <w:rsid w:val="104F55B9"/>
    <w:rsid w:val="1111746F"/>
    <w:rsid w:val="111D59F8"/>
    <w:rsid w:val="115A7068"/>
    <w:rsid w:val="117D2D56"/>
    <w:rsid w:val="11991213"/>
    <w:rsid w:val="11B92B3A"/>
    <w:rsid w:val="11C72224"/>
    <w:rsid w:val="11CB5870"/>
    <w:rsid w:val="12163D18"/>
    <w:rsid w:val="12266F4A"/>
    <w:rsid w:val="12693030"/>
    <w:rsid w:val="12BA4725"/>
    <w:rsid w:val="12C31B2A"/>
    <w:rsid w:val="13113756"/>
    <w:rsid w:val="13426006"/>
    <w:rsid w:val="13483D9B"/>
    <w:rsid w:val="13485EDB"/>
    <w:rsid w:val="134A310C"/>
    <w:rsid w:val="13631E88"/>
    <w:rsid w:val="13830225"/>
    <w:rsid w:val="13C0517C"/>
    <w:rsid w:val="13C82EBD"/>
    <w:rsid w:val="13F41F7E"/>
    <w:rsid w:val="13F56BD4"/>
    <w:rsid w:val="13F923DF"/>
    <w:rsid w:val="14014803"/>
    <w:rsid w:val="14072DAB"/>
    <w:rsid w:val="145204CA"/>
    <w:rsid w:val="148625B0"/>
    <w:rsid w:val="14A423A8"/>
    <w:rsid w:val="14A75F77"/>
    <w:rsid w:val="14C30A80"/>
    <w:rsid w:val="14EA2EBE"/>
    <w:rsid w:val="14FE41AE"/>
    <w:rsid w:val="154D47EE"/>
    <w:rsid w:val="155344FA"/>
    <w:rsid w:val="15787B7C"/>
    <w:rsid w:val="15CA5B4B"/>
    <w:rsid w:val="15D867AD"/>
    <w:rsid w:val="15EC2259"/>
    <w:rsid w:val="16297009"/>
    <w:rsid w:val="166167A3"/>
    <w:rsid w:val="167364D6"/>
    <w:rsid w:val="16D74786"/>
    <w:rsid w:val="1743234C"/>
    <w:rsid w:val="175E666B"/>
    <w:rsid w:val="17640690"/>
    <w:rsid w:val="177B15A9"/>
    <w:rsid w:val="17887D5F"/>
    <w:rsid w:val="17A22A5A"/>
    <w:rsid w:val="18147845"/>
    <w:rsid w:val="18185636"/>
    <w:rsid w:val="182305D6"/>
    <w:rsid w:val="182932F0"/>
    <w:rsid w:val="185B4FDD"/>
    <w:rsid w:val="185F6D12"/>
    <w:rsid w:val="186C7681"/>
    <w:rsid w:val="189831C8"/>
    <w:rsid w:val="18C80D5B"/>
    <w:rsid w:val="18D771F0"/>
    <w:rsid w:val="18DD40DB"/>
    <w:rsid w:val="18F558C8"/>
    <w:rsid w:val="190C006F"/>
    <w:rsid w:val="191044B0"/>
    <w:rsid w:val="19191C06"/>
    <w:rsid w:val="1934019F"/>
    <w:rsid w:val="195D0575"/>
    <w:rsid w:val="196A1E12"/>
    <w:rsid w:val="196F11D7"/>
    <w:rsid w:val="196F567B"/>
    <w:rsid w:val="19752927"/>
    <w:rsid w:val="198A7DBF"/>
    <w:rsid w:val="19974BFE"/>
    <w:rsid w:val="19A05834"/>
    <w:rsid w:val="19A50AE7"/>
    <w:rsid w:val="19B2653C"/>
    <w:rsid w:val="19F210D5"/>
    <w:rsid w:val="19FD4AA7"/>
    <w:rsid w:val="1A4B2A44"/>
    <w:rsid w:val="1A6E76E0"/>
    <w:rsid w:val="1A7A42D7"/>
    <w:rsid w:val="1A845156"/>
    <w:rsid w:val="1A972B45"/>
    <w:rsid w:val="1A9B2128"/>
    <w:rsid w:val="1ABF7590"/>
    <w:rsid w:val="1AC55423"/>
    <w:rsid w:val="1AC6751C"/>
    <w:rsid w:val="1ADC289C"/>
    <w:rsid w:val="1AF220BF"/>
    <w:rsid w:val="1AF851FC"/>
    <w:rsid w:val="1B0F3646"/>
    <w:rsid w:val="1B1D686F"/>
    <w:rsid w:val="1B281F85"/>
    <w:rsid w:val="1B361E84"/>
    <w:rsid w:val="1B6805D3"/>
    <w:rsid w:val="1B854CE1"/>
    <w:rsid w:val="1BBD18E9"/>
    <w:rsid w:val="1BF72592"/>
    <w:rsid w:val="1C24274C"/>
    <w:rsid w:val="1C273FEB"/>
    <w:rsid w:val="1C2F10F1"/>
    <w:rsid w:val="1C3A34E8"/>
    <w:rsid w:val="1C3D650C"/>
    <w:rsid w:val="1C533032"/>
    <w:rsid w:val="1C5E5533"/>
    <w:rsid w:val="1C6E12C2"/>
    <w:rsid w:val="1C6E7E6B"/>
    <w:rsid w:val="1C7A30C4"/>
    <w:rsid w:val="1CA928D6"/>
    <w:rsid w:val="1CE35C57"/>
    <w:rsid w:val="1D231C99"/>
    <w:rsid w:val="1D2616DA"/>
    <w:rsid w:val="1D4665DA"/>
    <w:rsid w:val="1DE96F38"/>
    <w:rsid w:val="1DEA52D0"/>
    <w:rsid w:val="1DF148B0"/>
    <w:rsid w:val="1E2A7DC2"/>
    <w:rsid w:val="1E2E3FC6"/>
    <w:rsid w:val="1E45667C"/>
    <w:rsid w:val="1E6F3A27"/>
    <w:rsid w:val="1E8864A6"/>
    <w:rsid w:val="1EA47B74"/>
    <w:rsid w:val="1ED1023E"/>
    <w:rsid w:val="1EDF295B"/>
    <w:rsid w:val="1F3233D2"/>
    <w:rsid w:val="1F4727DA"/>
    <w:rsid w:val="1F511C17"/>
    <w:rsid w:val="1F5B337D"/>
    <w:rsid w:val="1F745799"/>
    <w:rsid w:val="1F797010"/>
    <w:rsid w:val="1F8C6655"/>
    <w:rsid w:val="1F971571"/>
    <w:rsid w:val="1FD803B0"/>
    <w:rsid w:val="1FE90BAE"/>
    <w:rsid w:val="1FEC17D3"/>
    <w:rsid w:val="1FEF4E1F"/>
    <w:rsid w:val="20026C99"/>
    <w:rsid w:val="200603BB"/>
    <w:rsid w:val="20370574"/>
    <w:rsid w:val="20604F13"/>
    <w:rsid w:val="208843C1"/>
    <w:rsid w:val="20A41DC5"/>
    <w:rsid w:val="20F23661"/>
    <w:rsid w:val="21020B82"/>
    <w:rsid w:val="21983295"/>
    <w:rsid w:val="219C0FD7"/>
    <w:rsid w:val="21B3498B"/>
    <w:rsid w:val="21B37336"/>
    <w:rsid w:val="21C423B0"/>
    <w:rsid w:val="21E8421C"/>
    <w:rsid w:val="21E964A3"/>
    <w:rsid w:val="221E7C3E"/>
    <w:rsid w:val="2248284A"/>
    <w:rsid w:val="22944E50"/>
    <w:rsid w:val="22EA60CD"/>
    <w:rsid w:val="22FF181D"/>
    <w:rsid w:val="231449BC"/>
    <w:rsid w:val="233249CF"/>
    <w:rsid w:val="2351194D"/>
    <w:rsid w:val="235D02F2"/>
    <w:rsid w:val="236930C6"/>
    <w:rsid w:val="23952182"/>
    <w:rsid w:val="23B2156E"/>
    <w:rsid w:val="23C13D4C"/>
    <w:rsid w:val="23C23472"/>
    <w:rsid w:val="24054F32"/>
    <w:rsid w:val="243A65CE"/>
    <w:rsid w:val="244514B2"/>
    <w:rsid w:val="24455956"/>
    <w:rsid w:val="246700A8"/>
    <w:rsid w:val="24763D61"/>
    <w:rsid w:val="24D97E4C"/>
    <w:rsid w:val="24DE36B4"/>
    <w:rsid w:val="24E851E9"/>
    <w:rsid w:val="24ED0555"/>
    <w:rsid w:val="250A44A9"/>
    <w:rsid w:val="251F3B5B"/>
    <w:rsid w:val="254F72FB"/>
    <w:rsid w:val="25546F0C"/>
    <w:rsid w:val="25633D82"/>
    <w:rsid w:val="25804B6B"/>
    <w:rsid w:val="258C3110"/>
    <w:rsid w:val="259049AF"/>
    <w:rsid w:val="25B974F6"/>
    <w:rsid w:val="25BF3B7E"/>
    <w:rsid w:val="25D845A8"/>
    <w:rsid w:val="261C34E9"/>
    <w:rsid w:val="26321976"/>
    <w:rsid w:val="264D2300"/>
    <w:rsid w:val="26561446"/>
    <w:rsid w:val="2666593A"/>
    <w:rsid w:val="268564DD"/>
    <w:rsid w:val="26882E12"/>
    <w:rsid w:val="26E36D60"/>
    <w:rsid w:val="27190A70"/>
    <w:rsid w:val="272555CB"/>
    <w:rsid w:val="272D447F"/>
    <w:rsid w:val="277D3506"/>
    <w:rsid w:val="27BC6787"/>
    <w:rsid w:val="280E605F"/>
    <w:rsid w:val="28371501"/>
    <w:rsid w:val="285717B4"/>
    <w:rsid w:val="285B2042"/>
    <w:rsid w:val="287A7186"/>
    <w:rsid w:val="28B36B23"/>
    <w:rsid w:val="28C36E49"/>
    <w:rsid w:val="28D472A8"/>
    <w:rsid w:val="28F23FA6"/>
    <w:rsid w:val="28F6721F"/>
    <w:rsid w:val="29172C46"/>
    <w:rsid w:val="291C47A3"/>
    <w:rsid w:val="29307688"/>
    <w:rsid w:val="29310257"/>
    <w:rsid w:val="294A1318"/>
    <w:rsid w:val="298962E5"/>
    <w:rsid w:val="299B6DD5"/>
    <w:rsid w:val="29B844D4"/>
    <w:rsid w:val="29CB726B"/>
    <w:rsid w:val="29CC3486"/>
    <w:rsid w:val="29DA269C"/>
    <w:rsid w:val="29E4176D"/>
    <w:rsid w:val="29E7300B"/>
    <w:rsid w:val="29EE7EF6"/>
    <w:rsid w:val="29FF0355"/>
    <w:rsid w:val="2A246AEB"/>
    <w:rsid w:val="2A2C0A1E"/>
    <w:rsid w:val="2A473886"/>
    <w:rsid w:val="2A573CED"/>
    <w:rsid w:val="2A596061"/>
    <w:rsid w:val="2A7C3754"/>
    <w:rsid w:val="2A930A9D"/>
    <w:rsid w:val="2AAF1D7B"/>
    <w:rsid w:val="2ADE62B2"/>
    <w:rsid w:val="2B6D12EE"/>
    <w:rsid w:val="2B7D7783"/>
    <w:rsid w:val="2BB331A5"/>
    <w:rsid w:val="2BC60FC8"/>
    <w:rsid w:val="2BFD6B16"/>
    <w:rsid w:val="2C0C4D3C"/>
    <w:rsid w:val="2C197C11"/>
    <w:rsid w:val="2C273B93"/>
    <w:rsid w:val="2C2B3B1E"/>
    <w:rsid w:val="2C484235"/>
    <w:rsid w:val="2C526E62"/>
    <w:rsid w:val="2C962226"/>
    <w:rsid w:val="2CB45044"/>
    <w:rsid w:val="2CBA2FBD"/>
    <w:rsid w:val="2CCE7FC5"/>
    <w:rsid w:val="2CD755B9"/>
    <w:rsid w:val="2CE90A48"/>
    <w:rsid w:val="2CF9552F"/>
    <w:rsid w:val="2CFD01DC"/>
    <w:rsid w:val="2D306A77"/>
    <w:rsid w:val="2D3447B9"/>
    <w:rsid w:val="2D630BFB"/>
    <w:rsid w:val="2D9D235F"/>
    <w:rsid w:val="2DAA6A56"/>
    <w:rsid w:val="2DBF5292"/>
    <w:rsid w:val="2DD85145"/>
    <w:rsid w:val="2DF45CF7"/>
    <w:rsid w:val="2E0942AF"/>
    <w:rsid w:val="2E0B6E95"/>
    <w:rsid w:val="2E100D83"/>
    <w:rsid w:val="2E314855"/>
    <w:rsid w:val="2E861045"/>
    <w:rsid w:val="2E87708A"/>
    <w:rsid w:val="2E9F03ED"/>
    <w:rsid w:val="2EA25C4E"/>
    <w:rsid w:val="2EF1054D"/>
    <w:rsid w:val="2F44743E"/>
    <w:rsid w:val="2F472CFA"/>
    <w:rsid w:val="2F603644"/>
    <w:rsid w:val="2F6F1AD9"/>
    <w:rsid w:val="2F8A246F"/>
    <w:rsid w:val="2F8C268B"/>
    <w:rsid w:val="2FD26B56"/>
    <w:rsid w:val="2FF16992"/>
    <w:rsid w:val="2FF26187"/>
    <w:rsid w:val="30110DE2"/>
    <w:rsid w:val="302503E9"/>
    <w:rsid w:val="3041203C"/>
    <w:rsid w:val="305D7B83"/>
    <w:rsid w:val="30915A7F"/>
    <w:rsid w:val="30A9101A"/>
    <w:rsid w:val="30C32657"/>
    <w:rsid w:val="30EC4205"/>
    <w:rsid w:val="30EF69E4"/>
    <w:rsid w:val="311606DB"/>
    <w:rsid w:val="312132A7"/>
    <w:rsid w:val="313A0BD1"/>
    <w:rsid w:val="31404725"/>
    <w:rsid w:val="31440D43"/>
    <w:rsid w:val="31552F50"/>
    <w:rsid w:val="31615451"/>
    <w:rsid w:val="316867E0"/>
    <w:rsid w:val="31905D36"/>
    <w:rsid w:val="31E076C1"/>
    <w:rsid w:val="32021C86"/>
    <w:rsid w:val="32A63A63"/>
    <w:rsid w:val="32CE4D68"/>
    <w:rsid w:val="32D83228"/>
    <w:rsid w:val="32E04BAD"/>
    <w:rsid w:val="330D3A5D"/>
    <w:rsid w:val="339733AC"/>
    <w:rsid w:val="339935C8"/>
    <w:rsid w:val="33D2532E"/>
    <w:rsid w:val="33D47D4F"/>
    <w:rsid w:val="349C4646"/>
    <w:rsid w:val="34AF2977"/>
    <w:rsid w:val="34B43C68"/>
    <w:rsid w:val="34E40B78"/>
    <w:rsid w:val="34FC4643"/>
    <w:rsid w:val="355A2DB4"/>
    <w:rsid w:val="355B6BD8"/>
    <w:rsid w:val="35672FFF"/>
    <w:rsid w:val="356A5862"/>
    <w:rsid w:val="3581411C"/>
    <w:rsid w:val="35867B7C"/>
    <w:rsid w:val="3599165E"/>
    <w:rsid w:val="359E1ADF"/>
    <w:rsid w:val="35E653C6"/>
    <w:rsid w:val="36392E40"/>
    <w:rsid w:val="364745B3"/>
    <w:rsid w:val="365D6B2F"/>
    <w:rsid w:val="367B236C"/>
    <w:rsid w:val="3692250F"/>
    <w:rsid w:val="36B97711"/>
    <w:rsid w:val="36BD312A"/>
    <w:rsid w:val="36E0506A"/>
    <w:rsid w:val="36E21696"/>
    <w:rsid w:val="36E903C3"/>
    <w:rsid w:val="36F122E3"/>
    <w:rsid w:val="371E68C5"/>
    <w:rsid w:val="374E46CA"/>
    <w:rsid w:val="376C4B50"/>
    <w:rsid w:val="37936580"/>
    <w:rsid w:val="37DC4F30"/>
    <w:rsid w:val="37DD0AAA"/>
    <w:rsid w:val="37ED7A3F"/>
    <w:rsid w:val="38455ACD"/>
    <w:rsid w:val="384E39BC"/>
    <w:rsid w:val="384E5558"/>
    <w:rsid w:val="38827FB0"/>
    <w:rsid w:val="388B6AFB"/>
    <w:rsid w:val="38960E85"/>
    <w:rsid w:val="38A34BF8"/>
    <w:rsid w:val="38DD49D6"/>
    <w:rsid w:val="38E5105E"/>
    <w:rsid w:val="39344543"/>
    <w:rsid w:val="39785A2E"/>
    <w:rsid w:val="399C796E"/>
    <w:rsid w:val="39A17917"/>
    <w:rsid w:val="39DE60E9"/>
    <w:rsid w:val="39E15381"/>
    <w:rsid w:val="3A2C2CB0"/>
    <w:rsid w:val="3A2D6818"/>
    <w:rsid w:val="3A3473AE"/>
    <w:rsid w:val="3A6A35C8"/>
    <w:rsid w:val="3A743A5B"/>
    <w:rsid w:val="3A861B09"/>
    <w:rsid w:val="3A8E6472"/>
    <w:rsid w:val="3A993FEF"/>
    <w:rsid w:val="3A9B73CB"/>
    <w:rsid w:val="3ACC3E45"/>
    <w:rsid w:val="3AD52E6E"/>
    <w:rsid w:val="3B0E3CCE"/>
    <w:rsid w:val="3B163750"/>
    <w:rsid w:val="3B2C2F74"/>
    <w:rsid w:val="3B3E6803"/>
    <w:rsid w:val="3B410244"/>
    <w:rsid w:val="3C17152E"/>
    <w:rsid w:val="3C371BD0"/>
    <w:rsid w:val="3C687483"/>
    <w:rsid w:val="3C9F71B8"/>
    <w:rsid w:val="3CB13731"/>
    <w:rsid w:val="3CB13CE3"/>
    <w:rsid w:val="3CBF05CA"/>
    <w:rsid w:val="3CD13DD3"/>
    <w:rsid w:val="3CE31410"/>
    <w:rsid w:val="3CF16DC5"/>
    <w:rsid w:val="3D1E2D4B"/>
    <w:rsid w:val="3D3407AF"/>
    <w:rsid w:val="3D453E79"/>
    <w:rsid w:val="3D4B66A5"/>
    <w:rsid w:val="3D8F3471"/>
    <w:rsid w:val="3DD77D43"/>
    <w:rsid w:val="3DDA0A65"/>
    <w:rsid w:val="3DEF0578"/>
    <w:rsid w:val="3E0C4997"/>
    <w:rsid w:val="3E0D4CB7"/>
    <w:rsid w:val="3E1F291C"/>
    <w:rsid w:val="3E264AF2"/>
    <w:rsid w:val="3E4405D4"/>
    <w:rsid w:val="3E614CE2"/>
    <w:rsid w:val="3E771726"/>
    <w:rsid w:val="3E832EAB"/>
    <w:rsid w:val="3ECD2378"/>
    <w:rsid w:val="3ED44742"/>
    <w:rsid w:val="3EE74323"/>
    <w:rsid w:val="3F18759E"/>
    <w:rsid w:val="3F422D66"/>
    <w:rsid w:val="3F685210"/>
    <w:rsid w:val="3F7D3D9E"/>
    <w:rsid w:val="3F8051EC"/>
    <w:rsid w:val="3FFC1167"/>
    <w:rsid w:val="400172BB"/>
    <w:rsid w:val="40273D0A"/>
    <w:rsid w:val="407E7DCE"/>
    <w:rsid w:val="408847A8"/>
    <w:rsid w:val="408E0186"/>
    <w:rsid w:val="40C17CBA"/>
    <w:rsid w:val="410302D3"/>
    <w:rsid w:val="41057DE0"/>
    <w:rsid w:val="41214F2E"/>
    <w:rsid w:val="413E755D"/>
    <w:rsid w:val="41695BD4"/>
    <w:rsid w:val="41881F15"/>
    <w:rsid w:val="41911D83"/>
    <w:rsid w:val="41B63597"/>
    <w:rsid w:val="41BB6E00"/>
    <w:rsid w:val="41F262B9"/>
    <w:rsid w:val="42051E29"/>
    <w:rsid w:val="420B38E3"/>
    <w:rsid w:val="42440BA3"/>
    <w:rsid w:val="424B0183"/>
    <w:rsid w:val="424C7EC7"/>
    <w:rsid w:val="427F607F"/>
    <w:rsid w:val="42813BA5"/>
    <w:rsid w:val="42837B1B"/>
    <w:rsid w:val="42935686"/>
    <w:rsid w:val="42CD0B98"/>
    <w:rsid w:val="42CF2B62"/>
    <w:rsid w:val="42D77C69"/>
    <w:rsid w:val="42FF2625"/>
    <w:rsid w:val="43156CC7"/>
    <w:rsid w:val="432D1637"/>
    <w:rsid w:val="43591D9B"/>
    <w:rsid w:val="436A4639"/>
    <w:rsid w:val="43747266"/>
    <w:rsid w:val="43A4388B"/>
    <w:rsid w:val="43AF64F0"/>
    <w:rsid w:val="43BE3225"/>
    <w:rsid w:val="43C35D74"/>
    <w:rsid w:val="43FD36FF"/>
    <w:rsid w:val="446A2417"/>
    <w:rsid w:val="447D75CD"/>
    <w:rsid w:val="4488746D"/>
    <w:rsid w:val="44B340F3"/>
    <w:rsid w:val="44B74F0C"/>
    <w:rsid w:val="44DF70AD"/>
    <w:rsid w:val="44E421C9"/>
    <w:rsid w:val="44F468B0"/>
    <w:rsid w:val="45062140"/>
    <w:rsid w:val="4545710C"/>
    <w:rsid w:val="456377EE"/>
    <w:rsid w:val="456652D4"/>
    <w:rsid w:val="456D0411"/>
    <w:rsid w:val="4577128F"/>
    <w:rsid w:val="45783434"/>
    <w:rsid w:val="45C67123"/>
    <w:rsid w:val="45FF45A2"/>
    <w:rsid w:val="460D6DA0"/>
    <w:rsid w:val="461E572A"/>
    <w:rsid w:val="46601D24"/>
    <w:rsid w:val="466435C2"/>
    <w:rsid w:val="470703F1"/>
    <w:rsid w:val="470E79D1"/>
    <w:rsid w:val="475D3DA8"/>
    <w:rsid w:val="478E45D4"/>
    <w:rsid w:val="47A27C1D"/>
    <w:rsid w:val="47BB30B2"/>
    <w:rsid w:val="47C85DD2"/>
    <w:rsid w:val="47D72A0D"/>
    <w:rsid w:val="47FF0499"/>
    <w:rsid w:val="486C49B0"/>
    <w:rsid w:val="486F44A0"/>
    <w:rsid w:val="487C33E9"/>
    <w:rsid w:val="4893018E"/>
    <w:rsid w:val="48AB372A"/>
    <w:rsid w:val="48EF52FC"/>
    <w:rsid w:val="48F830FD"/>
    <w:rsid w:val="48FD7CFE"/>
    <w:rsid w:val="49211C3E"/>
    <w:rsid w:val="492653E3"/>
    <w:rsid w:val="49386D6A"/>
    <w:rsid w:val="49553BA0"/>
    <w:rsid w:val="495A6EFE"/>
    <w:rsid w:val="496438D9"/>
    <w:rsid w:val="49A62143"/>
    <w:rsid w:val="49A63EF1"/>
    <w:rsid w:val="49C23456"/>
    <w:rsid w:val="4A035B0E"/>
    <w:rsid w:val="4A0A26D2"/>
    <w:rsid w:val="4A325785"/>
    <w:rsid w:val="4A6A6D04"/>
    <w:rsid w:val="4A8F2BD7"/>
    <w:rsid w:val="4AC26B09"/>
    <w:rsid w:val="4ACC5BD9"/>
    <w:rsid w:val="4ADE0EEB"/>
    <w:rsid w:val="4AF241A0"/>
    <w:rsid w:val="4B2B2900"/>
    <w:rsid w:val="4B3612A5"/>
    <w:rsid w:val="4B501DBF"/>
    <w:rsid w:val="4B6B0F4E"/>
    <w:rsid w:val="4B7F0E9E"/>
    <w:rsid w:val="4BE551A5"/>
    <w:rsid w:val="4C067917"/>
    <w:rsid w:val="4C115F9A"/>
    <w:rsid w:val="4C46543A"/>
    <w:rsid w:val="4C6E2B99"/>
    <w:rsid w:val="4C856040"/>
    <w:rsid w:val="4C8E4F10"/>
    <w:rsid w:val="4CB608EF"/>
    <w:rsid w:val="4CB701C3"/>
    <w:rsid w:val="4CC0176E"/>
    <w:rsid w:val="4CFB09F8"/>
    <w:rsid w:val="4D0B2FD8"/>
    <w:rsid w:val="4D1D44CA"/>
    <w:rsid w:val="4D3637DE"/>
    <w:rsid w:val="4D5A571F"/>
    <w:rsid w:val="4D623393"/>
    <w:rsid w:val="4D704F42"/>
    <w:rsid w:val="4D9F3131"/>
    <w:rsid w:val="4E4D0DDF"/>
    <w:rsid w:val="4E5321ED"/>
    <w:rsid w:val="4E6016D6"/>
    <w:rsid w:val="4E6D76D3"/>
    <w:rsid w:val="4E7E71EB"/>
    <w:rsid w:val="4E816CDB"/>
    <w:rsid w:val="4E8C5DAC"/>
    <w:rsid w:val="4EBE7F2F"/>
    <w:rsid w:val="4EE554BC"/>
    <w:rsid w:val="4F18038A"/>
    <w:rsid w:val="4F22226C"/>
    <w:rsid w:val="4F2C6C47"/>
    <w:rsid w:val="4F4F4D7D"/>
    <w:rsid w:val="4F587A3C"/>
    <w:rsid w:val="4F711F6A"/>
    <w:rsid w:val="4F813C30"/>
    <w:rsid w:val="4FBA06F6"/>
    <w:rsid w:val="4FBA78D0"/>
    <w:rsid w:val="4FCB6460"/>
    <w:rsid w:val="4FCE5E25"/>
    <w:rsid w:val="500951DA"/>
    <w:rsid w:val="504D3319"/>
    <w:rsid w:val="506D39BB"/>
    <w:rsid w:val="510A2FB8"/>
    <w:rsid w:val="512E314A"/>
    <w:rsid w:val="515B426C"/>
    <w:rsid w:val="516F2F3E"/>
    <w:rsid w:val="51C27D36"/>
    <w:rsid w:val="51D75590"/>
    <w:rsid w:val="520F7138"/>
    <w:rsid w:val="5214298C"/>
    <w:rsid w:val="522C72C3"/>
    <w:rsid w:val="524A1938"/>
    <w:rsid w:val="526C6007"/>
    <w:rsid w:val="52B92EE7"/>
    <w:rsid w:val="52BE6184"/>
    <w:rsid w:val="52CA50F4"/>
    <w:rsid w:val="52E02222"/>
    <w:rsid w:val="53654E1D"/>
    <w:rsid w:val="538151F6"/>
    <w:rsid w:val="5382777D"/>
    <w:rsid w:val="53886B25"/>
    <w:rsid w:val="53AA2830"/>
    <w:rsid w:val="53C32D17"/>
    <w:rsid w:val="53D02F06"/>
    <w:rsid w:val="53FA37B7"/>
    <w:rsid w:val="53FB3961"/>
    <w:rsid w:val="5411012E"/>
    <w:rsid w:val="54224ABC"/>
    <w:rsid w:val="544C2E0C"/>
    <w:rsid w:val="544F3B03"/>
    <w:rsid w:val="545869BF"/>
    <w:rsid w:val="54616C3C"/>
    <w:rsid w:val="54617C92"/>
    <w:rsid w:val="54684BC5"/>
    <w:rsid w:val="548136DA"/>
    <w:rsid w:val="54833FB9"/>
    <w:rsid w:val="548B3E72"/>
    <w:rsid w:val="54981636"/>
    <w:rsid w:val="54CF07A0"/>
    <w:rsid w:val="55614BA6"/>
    <w:rsid w:val="556E716E"/>
    <w:rsid w:val="55EB160A"/>
    <w:rsid w:val="56091B70"/>
    <w:rsid w:val="56215531"/>
    <w:rsid w:val="5627460C"/>
    <w:rsid w:val="56286D65"/>
    <w:rsid w:val="56363768"/>
    <w:rsid w:val="564B20A8"/>
    <w:rsid w:val="5653734D"/>
    <w:rsid w:val="566B274A"/>
    <w:rsid w:val="569F11EB"/>
    <w:rsid w:val="56A21888"/>
    <w:rsid w:val="56C34335"/>
    <w:rsid w:val="56EF3408"/>
    <w:rsid w:val="57016C0B"/>
    <w:rsid w:val="575A3F96"/>
    <w:rsid w:val="57672713"/>
    <w:rsid w:val="577613A7"/>
    <w:rsid w:val="577A36AD"/>
    <w:rsid w:val="577C0670"/>
    <w:rsid w:val="57A37CC2"/>
    <w:rsid w:val="57B16AC2"/>
    <w:rsid w:val="57B91294"/>
    <w:rsid w:val="57BD1AF6"/>
    <w:rsid w:val="57BF6720"/>
    <w:rsid w:val="57EE718F"/>
    <w:rsid w:val="582C5F09"/>
    <w:rsid w:val="585316E8"/>
    <w:rsid w:val="585D4315"/>
    <w:rsid w:val="586E207E"/>
    <w:rsid w:val="588C69A8"/>
    <w:rsid w:val="58AC2CC7"/>
    <w:rsid w:val="58AD0DF8"/>
    <w:rsid w:val="58BF0649"/>
    <w:rsid w:val="590514CA"/>
    <w:rsid w:val="591730EE"/>
    <w:rsid w:val="591A58A7"/>
    <w:rsid w:val="593212FE"/>
    <w:rsid w:val="59451AAD"/>
    <w:rsid w:val="5946546B"/>
    <w:rsid w:val="59555DCC"/>
    <w:rsid w:val="59815DE1"/>
    <w:rsid w:val="59840DC3"/>
    <w:rsid w:val="59877FFD"/>
    <w:rsid w:val="598F49A2"/>
    <w:rsid w:val="59C56616"/>
    <w:rsid w:val="59D92725"/>
    <w:rsid w:val="5A205E72"/>
    <w:rsid w:val="5A225816"/>
    <w:rsid w:val="5A492DA3"/>
    <w:rsid w:val="5A655C07"/>
    <w:rsid w:val="5A690D4F"/>
    <w:rsid w:val="5A7A2F5C"/>
    <w:rsid w:val="5A8B77DE"/>
    <w:rsid w:val="5ABC3575"/>
    <w:rsid w:val="5ADB4098"/>
    <w:rsid w:val="5AEB18DC"/>
    <w:rsid w:val="5B227EAF"/>
    <w:rsid w:val="5B264E92"/>
    <w:rsid w:val="5B501F0F"/>
    <w:rsid w:val="5B5D17D4"/>
    <w:rsid w:val="5B7A35BA"/>
    <w:rsid w:val="5C1650EC"/>
    <w:rsid w:val="5CAE15E3"/>
    <w:rsid w:val="5CDA5F34"/>
    <w:rsid w:val="5CE21AED"/>
    <w:rsid w:val="5D1F1D64"/>
    <w:rsid w:val="5D3722DC"/>
    <w:rsid w:val="5D3C099D"/>
    <w:rsid w:val="5D570AB1"/>
    <w:rsid w:val="5D59154F"/>
    <w:rsid w:val="5D600B2F"/>
    <w:rsid w:val="5D6D59AB"/>
    <w:rsid w:val="5D9C143B"/>
    <w:rsid w:val="5DA86032"/>
    <w:rsid w:val="5DCB6083"/>
    <w:rsid w:val="5DD230AF"/>
    <w:rsid w:val="5DE132F2"/>
    <w:rsid w:val="5DE54B90"/>
    <w:rsid w:val="5DF001EB"/>
    <w:rsid w:val="5DFE3EA4"/>
    <w:rsid w:val="5E055233"/>
    <w:rsid w:val="5E0D72B8"/>
    <w:rsid w:val="5E4775F9"/>
    <w:rsid w:val="5E5C6BAC"/>
    <w:rsid w:val="5E6A778C"/>
    <w:rsid w:val="5EB82C97"/>
    <w:rsid w:val="5EBE2D22"/>
    <w:rsid w:val="5EC94306"/>
    <w:rsid w:val="5EE57DEF"/>
    <w:rsid w:val="5F245B8C"/>
    <w:rsid w:val="5F29040C"/>
    <w:rsid w:val="5F3479DF"/>
    <w:rsid w:val="5F4010A7"/>
    <w:rsid w:val="5F721AF0"/>
    <w:rsid w:val="5F9B12AB"/>
    <w:rsid w:val="5FAA23A3"/>
    <w:rsid w:val="5FD82C61"/>
    <w:rsid w:val="5FFA1614"/>
    <w:rsid w:val="5FFE63DD"/>
    <w:rsid w:val="600E3E55"/>
    <w:rsid w:val="601D5BCF"/>
    <w:rsid w:val="6041144F"/>
    <w:rsid w:val="60432042"/>
    <w:rsid w:val="60583D40"/>
    <w:rsid w:val="60681AA9"/>
    <w:rsid w:val="606C1599"/>
    <w:rsid w:val="6074044E"/>
    <w:rsid w:val="60786190"/>
    <w:rsid w:val="607E307A"/>
    <w:rsid w:val="60A823BF"/>
    <w:rsid w:val="60A83445"/>
    <w:rsid w:val="60C6562D"/>
    <w:rsid w:val="60D82466"/>
    <w:rsid w:val="612F2105"/>
    <w:rsid w:val="615F4C5A"/>
    <w:rsid w:val="61677FB2"/>
    <w:rsid w:val="616F002F"/>
    <w:rsid w:val="61730705"/>
    <w:rsid w:val="617F354E"/>
    <w:rsid w:val="61970898"/>
    <w:rsid w:val="62022F83"/>
    <w:rsid w:val="62175534"/>
    <w:rsid w:val="621E4B15"/>
    <w:rsid w:val="625C786C"/>
    <w:rsid w:val="62773F76"/>
    <w:rsid w:val="627E15CF"/>
    <w:rsid w:val="6283706E"/>
    <w:rsid w:val="628801E0"/>
    <w:rsid w:val="62D804DD"/>
    <w:rsid w:val="62DE2463"/>
    <w:rsid w:val="63471E49"/>
    <w:rsid w:val="637114CE"/>
    <w:rsid w:val="638B61DA"/>
    <w:rsid w:val="638E67FA"/>
    <w:rsid w:val="645667E8"/>
    <w:rsid w:val="64866BD9"/>
    <w:rsid w:val="64A37118"/>
    <w:rsid w:val="654F4FE5"/>
    <w:rsid w:val="65D57BE0"/>
    <w:rsid w:val="66212E26"/>
    <w:rsid w:val="662B15AE"/>
    <w:rsid w:val="6632293D"/>
    <w:rsid w:val="66342B59"/>
    <w:rsid w:val="6635067F"/>
    <w:rsid w:val="663D0055"/>
    <w:rsid w:val="66521231"/>
    <w:rsid w:val="66693888"/>
    <w:rsid w:val="666A0329"/>
    <w:rsid w:val="66707909"/>
    <w:rsid w:val="66D67FB8"/>
    <w:rsid w:val="66E3632D"/>
    <w:rsid w:val="66ED7E03"/>
    <w:rsid w:val="66F72064"/>
    <w:rsid w:val="675608AD"/>
    <w:rsid w:val="676A3084"/>
    <w:rsid w:val="67725465"/>
    <w:rsid w:val="677A27ED"/>
    <w:rsid w:val="67AA29A7"/>
    <w:rsid w:val="67C670CB"/>
    <w:rsid w:val="68093B71"/>
    <w:rsid w:val="683055A2"/>
    <w:rsid w:val="6846007D"/>
    <w:rsid w:val="6848469A"/>
    <w:rsid w:val="686A4F9A"/>
    <w:rsid w:val="68F22857"/>
    <w:rsid w:val="69664A0F"/>
    <w:rsid w:val="69841BF6"/>
    <w:rsid w:val="69A74526"/>
    <w:rsid w:val="69D331BE"/>
    <w:rsid w:val="69EB1FDC"/>
    <w:rsid w:val="69FA3354"/>
    <w:rsid w:val="69FE4B1A"/>
    <w:rsid w:val="6A165180"/>
    <w:rsid w:val="6A1F767C"/>
    <w:rsid w:val="6A9516EC"/>
    <w:rsid w:val="6AB42873"/>
    <w:rsid w:val="6AC81AC2"/>
    <w:rsid w:val="6AD064F1"/>
    <w:rsid w:val="6B317667"/>
    <w:rsid w:val="6B5A6D4C"/>
    <w:rsid w:val="6B8A60F8"/>
    <w:rsid w:val="6BA8544F"/>
    <w:rsid w:val="6BD56BBF"/>
    <w:rsid w:val="6BED613A"/>
    <w:rsid w:val="6C3D64DF"/>
    <w:rsid w:val="6C3E7464"/>
    <w:rsid w:val="6C452082"/>
    <w:rsid w:val="6C5506F2"/>
    <w:rsid w:val="6C5C0714"/>
    <w:rsid w:val="6CA65E33"/>
    <w:rsid w:val="6CAD73D6"/>
    <w:rsid w:val="6CB73B9C"/>
    <w:rsid w:val="6CE93F71"/>
    <w:rsid w:val="6D166FC6"/>
    <w:rsid w:val="6D2A0812"/>
    <w:rsid w:val="6D34343E"/>
    <w:rsid w:val="6D6F008C"/>
    <w:rsid w:val="6D7221B9"/>
    <w:rsid w:val="6D7D3037"/>
    <w:rsid w:val="6DB36A59"/>
    <w:rsid w:val="6E076DA5"/>
    <w:rsid w:val="6E2830B5"/>
    <w:rsid w:val="6E3E2600"/>
    <w:rsid w:val="6E423939"/>
    <w:rsid w:val="6E427879"/>
    <w:rsid w:val="6E533D98"/>
    <w:rsid w:val="6E7837FF"/>
    <w:rsid w:val="6E7A034A"/>
    <w:rsid w:val="6E85086A"/>
    <w:rsid w:val="6E9F59DB"/>
    <w:rsid w:val="6EB8009F"/>
    <w:rsid w:val="6F143527"/>
    <w:rsid w:val="6F7E6BF3"/>
    <w:rsid w:val="6F831E19"/>
    <w:rsid w:val="6FAC7C04"/>
    <w:rsid w:val="6FDE58E3"/>
    <w:rsid w:val="6FEE1FCA"/>
    <w:rsid w:val="6FEF189F"/>
    <w:rsid w:val="6FEF5D43"/>
    <w:rsid w:val="6FEF7AF1"/>
    <w:rsid w:val="6FFD40FB"/>
    <w:rsid w:val="700C2451"/>
    <w:rsid w:val="70221C74"/>
    <w:rsid w:val="702A28D7"/>
    <w:rsid w:val="702B1782"/>
    <w:rsid w:val="704A7F86"/>
    <w:rsid w:val="705645D9"/>
    <w:rsid w:val="70A628A5"/>
    <w:rsid w:val="70A95AA7"/>
    <w:rsid w:val="70B4218C"/>
    <w:rsid w:val="70C07837"/>
    <w:rsid w:val="70E46F2A"/>
    <w:rsid w:val="71436346"/>
    <w:rsid w:val="7162370E"/>
    <w:rsid w:val="71703B38"/>
    <w:rsid w:val="71C12C62"/>
    <w:rsid w:val="71D1496D"/>
    <w:rsid w:val="71D74828"/>
    <w:rsid w:val="721101F2"/>
    <w:rsid w:val="72440D47"/>
    <w:rsid w:val="729F603C"/>
    <w:rsid w:val="72AC2792"/>
    <w:rsid w:val="72AE1098"/>
    <w:rsid w:val="72B1108D"/>
    <w:rsid w:val="72BA43E6"/>
    <w:rsid w:val="72F378F8"/>
    <w:rsid w:val="730B63E9"/>
    <w:rsid w:val="731D4975"/>
    <w:rsid w:val="731F06ED"/>
    <w:rsid w:val="73261A7B"/>
    <w:rsid w:val="732955BF"/>
    <w:rsid w:val="73426189"/>
    <w:rsid w:val="73966C01"/>
    <w:rsid w:val="73A11102"/>
    <w:rsid w:val="73FD3E81"/>
    <w:rsid w:val="743106D8"/>
    <w:rsid w:val="745D5BD7"/>
    <w:rsid w:val="747800B5"/>
    <w:rsid w:val="747F58E7"/>
    <w:rsid w:val="74890514"/>
    <w:rsid w:val="74921493"/>
    <w:rsid w:val="749D7B1B"/>
    <w:rsid w:val="74C257D9"/>
    <w:rsid w:val="74E43169"/>
    <w:rsid w:val="751678CE"/>
    <w:rsid w:val="75175143"/>
    <w:rsid w:val="751F5BF6"/>
    <w:rsid w:val="754932A6"/>
    <w:rsid w:val="754D5AF9"/>
    <w:rsid w:val="755A3C5E"/>
    <w:rsid w:val="75703482"/>
    <w:rsid w:val="75E63744"/>
    <w:rsid w:val="76085468"/>
    <w:rsid w:val="761171BF"/>
    <w:rsid w:val="76124539"/>
    <w:rsid w:val="76676633"/>
    <w:rsid w:val="768A0384"/>
    <w:rsid w:val="76A315AA"/>
    <w:rsid w:val="76BB697E"/>
    <w:rsid w:val="76E11E70"/>
    <w:rsid w:val="76E9529A"/>
    <w:rsid w:val="77514BED"/>
    <w:rsid w:val="779D6084"/>
    <w:rsid w:val="77B75398"/>
    <w:rsid w:val="77CB0E43"/>
    <w:rsid w:val="77D62D81"/>
    <w:rsid w:val="77DE0B76"/>
    <w:rsid w:val="77F24622"/>
    <w:rsid w:val="77F9775E"/>
    <w:rsid w:val="780A196C"/>
    <w:rsid w:val="78342545"/>
    <w:rsid w:val="785710BA"/>
    <w:rsid w:val="787B3118"/>
    <w:rsid w:val="788D60F9"/>
    <w:rsid w:val="78AF5E4F"/>
    <w:rsid w:val="78E1046A"/>
    <w:rsid w:val="78F26496"/>
    <w:rsid w:val="79077C59"/>
    <w:rsid w:val="79184530"/>
    <w:rsid w:val="792870F3"/>
    <w:rsid w:val="792D3AAE"/>
    <w:rsid w:val="793A6280"/>
    <w:rsid w:val="794732B8"/>
    <w:rsid w:val="79B25E17"/>
    <w:rsid w:val="79B92E6D"/>
    <w:rsid w:val="7A0A78E2"/>
    <w:rsid w:val="7A1963AB"/>
    <w:rsid w:val="7A362615"/>
    <w:rsid w:val="7A3902E6"/>
    <w:rsid w:val="7A435E4B"/>
    <w:rsid w:val="7A460C55"/>
    <w:rsid w:val="7A524009"/>
    <w:rsid w:val="7A5B056F"/>
    <w:rsid w:val="7A996FD7"/>
    <w:rsid w:val="7AA634A2"/>
    <w:rsid w:val="7ABD0F17"/>
    <w:rsid w:val="7ACD0A2E"/>
    <w:rsid w:val="7AD63D87"/>
    <w:rsid w:val="7AFF3BA5"/>
    <w:rsid w:val="7B1F65CA"/>
    <w:rsid w:val="7B493A62"/>
    <w:rsid w:val="7B6E3FBF"/>
    <w:rsid w:val="7B6E5D6D"/>
    <w:rsid w:val="7BAD5E8E"/>
    <w:rsid w:val="7BB11EB4"/>
    <w:rsid w:val="7BB120FE"/>
    <w:rsid w:val="7BF9373B"/>
    <w:rsid w:val="7C064A88"/>
    <w:rsid w:val="7C66113B"/>
    <w:rsid w:val="7C745605"/>
    <w:rsid w:val="7C961804"/>
    <w:rsid w:val="7CB24380"/>
    <w:rsid w:val="7CB9570E"/>
    <w:rsid w:val="7CF14EA8"/>
    <w:rsid w:val="7D2708CA"/>
    <w:rsid w:val="7D781125"/>
    <w:rsid w:val="7D9677FD"/>
    <w:rsid w:val="7DCC7E3B"/>
    <w:rsid w:val="7DD00F61"/>
    <w:rsid w:val="7DD81BC4"/>
    <w:rsid w:val="7DFA5FDE"/>
    <w:rsid w:val="7E6D00CA"/>
    <w:rsid w:val="7EB025C7"/>
    <w:rsid w:val="7EB02B41"/>
    <w:rsid w:val="7EE76EDF"/>
    <w:rsid w:val="7EEF5417"/>
    <w:rsid w:val="7F2F7F0A"/>
    <w:rsid w:val="7F470F98"/>
    <w:rsid w:val="7FE72592"/>
    <w:rsid w:val="7FE81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3">
    <w:name w:val="heading 1"/>
    <w:basedOn w:val="1"/>
    <w:next w:val="1"/>
    <w:link w:val="29"/>
    <w:autoRedefine/>
    <w:qFormat/>
    <w:uiPriority w:val="0"/>
    <w:pPr>
      <w:keepNext/>
      <w:keepLines/>
      <w:spacing w:line="240" w:lineRule="auto"/>
      <w:jc w:val="center"/>
      <w:outlineLvl w:val="0"/>
    </w:pPr>
    <w:rPr>
      <w:rFonts w:eastAsia="黑体"/>
      <w:b/>
      <w:bCs/>
      <w:color w:val="000000"/>
      <w:kern w:val="44"/>
      <w:sz w:val="32"/>
      <w:szCs w:val="36"/>
    </w:rPr>
  </w:style>
  <w:style w:type="paragraph" w:styleId="4">
    <w:name w:val="heading 2"/>
    <w:basedOn w:val="1"/>
    <w:next w:val="1"/>
    <w:link w:val="32"/>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5">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6">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2">
    <w:name w:val="Default Paragraph Font"/>
    <w:autoRedefine/>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2">
    <w:name w:val="Plain Text"/>
    <w:basedOn w:val="1"/>
    <w:autoRedefine/>
    <w:qFormat/>
    <w:uiPriority w:val="0"/>
    <w:rPr>
      <w:rFonts w:ascii="宋体" w:hAnsi="Courier New" w:cs="Courier New"/>
      <w:szCs w:val="21"/>
    </w:rPr>
  </w:style>
  <w:style w:type="paragraph" w:styleId="7">
    <w:name w:val="List Number 2"/>
    <w:basedOn w:val="1"/>
    <w:autoRedefine/>
    <w:qFormat/>
    <w:uiPriority w:val="0"/>
    <w:pPr>
      <w:numPr>
        <w:ilvl w:val="0"/>
        <w:numId w:val="1"/>
      </w:numPr>
    </w:pPr>
  </w:style>
  <w:style w:type="paragraph" w:styleId="8">
    <w:name w:val="Normal Indent"/>
    <w:basedOn w:val="1"/>
    <w:next w:val="1"/>
    <w:autoRedefine/>
    <w:qFormat/>
    <w:uiPriority w:val="99"/>
    <w:pPr>
      <w:ind w:firstLine="420"/>
    </w:pPr>
  </w:style>
  <w:style w:type="paragraph" w:styleId="9">
    <w:name w:val="index 6"/>
    <w:basedOn w:val="1"/>
    <w:next w:val="1"/>
    <w:autoRedefine/>
    <w:qFormat/>
    <w:uiPriority w:val="0"/>
    <w:pPr>
      <w:ind w:left="1000" w:leftChars="1000"/>
    </w:pPr>
    <w:rPr>
      <w:rFonts w:ascii="Calibri" w:hAnsi="Calibri" w:eastAsia="宋体" w:cs="Times New Roman"/>
    </w:rPr>
  </w:style>
  <w:style w:type="paragraph" w:styleId="10">
    <w:name w:val="Body Text"/>
    <w:basedOn w:val="1"/>
    <w:next w:val="1"/>
    <w:autoRedefine/>
    <w:qFormat/>
    <w:uiPriority w:val="0"/>
  </w:style>
  <w:style w:type="paragraph" w:styleId="11">
    <w:name w:val="Body Text Indent"/>
    <w:basedOn w:val="1"/>
    <w:autoRedefine/>
    <w:qFormat/>
    <w:uiPriority w:val="0"/>
    <w:pPr>
      <w:ind w:firstLine="830" w:firstLineChars="352"/>
    </w:pPr>
    <w:rPr>
      <w:rFonts w:ascii="仿宋_GB2312" w:eastAsia="仿宋_GB2312"/>
      <w:sz w:val="32"/>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2"/>
    <w:basedOn w:val="1"/>
    <w:next w:val="1"/>
    <w:autoRedefine/>
    <w:unhideWhenUsed/>
    <w:qFormat/>
    <w:uiPriority w:val="39"/>
    <w:pPr>
      <w:ind w:left="420" w:leftChars="200"/>
    </w:pPr>
  </w:style>
  <w:style w:type="paragraph" w:styleId="16">
    <w:name w:val="HTML Preformatted"/>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7">
    <w:name w:val="Normal (Web)"/>
    <w:basedOn w:val="1"/>
    <w:autoRedefine/>
    <w:qFormat/>
    <w:uiPriority w:val="99"/>
    <w:pPr>
      <w:spacing w:beforeAutospacing="1" w:afterAutospacing="1"/>
      <w:jc w:val="left"/>
    </w:pPr>
    <w:rPr>
      <w:rFonts w:cs="Times New Roman"/>
      <w:kern w:val="0"/>
      <w:sz w:val="24"/>
    </w:rPr>
  </w:style>
  <w:style w:type="paragraph" w:styleId="18">
    <w:name w:val="Body Text First Indent"/>
    <w:basedOn w:val="10"/>
    <w:next w:val="19"/>
    <w:autoRedefine/>
    <w:unhideWhenUsed/>
    <w:qFormat/>
    <w:uiPriority w:val="0"/>
    <w:pPr>
      <w:spacing w:line="240" w:lineRule="auto"/>
      <w:ind w:firstLine="420" w:firstLineChars="100"/>
    </w:pPr>
    <w:rPr>
      <w:rFonts w:ascii="Times New Roman" w:hAnsi="Times New Roman"/>
      <w:sz w:val="18"/>
      <w:szCs w:val="18"/>
    </w:rPr>
  </w:style>
  <w:style w:type="paragraph" w:styleId="19">
    <w:name w:val="Body Text First Indent 2"/>
    <w:basedOn w:val="11"/>
    <w:next w:val="1"/>
    <w:autoRedefine/>
    <w:qFormat/>
    <w:uiPriority w:val="0"/>
    <w:pPr>
      <w:spacing w:line="240" w:lineRule="auto"/>
      <w:ind w:firstLine="420" w:firstLineChars="200"/>
    </w:pPr>
    <w:rPr>
      <w:rFonts w:eastAsia="楷体_GB2312"/>
      <w:b/>
      <w:szCs w:val="24"/>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Hyperlink"/>
    <w:autoRedefine/>
    <w:qFormat/>
    <w:uiPriority w:val="99"/>
    <w:rPr>
      <w:color w:val="000000"/>
      <w:sz w:val="18"/>
      <w:szCs w:val="18"/>
      <w:u w:val="none"/>
    </w:rPr>
  </w:style>
  <w:style w:type="paragraph" w:customStyle="1" w:styleId="25">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
    <w:name w:val="正文缩进1"/>
    <w:basedOn w:val="1"/>
    <w:autoRedefine/>
    <w:qFormat/>
    <w:uiPriority w:val="0"/>
    <w:pPr>
      <w:ind w:firstLine="420" w:firstLineChars="200"/>
    </w:pPr>
  </w:style>
  <w:style w:type="paragraph" w:customStyle="1" w:styleId="27">
    <w:name w:val="正文（缩进 2 字符）"/>
    <w:basedOn w:val="1"/>
    <w:autoRedefine/>
    <w:qFormat/>
    <w:uiPriority w:val="0"/>
    <w:pPr>
      <w:ind w:firstLine="200" w:firstLineChars="200"/>
    </w:pPr>
  </w:style>
  <w:style w:type="paragraph" w:customStyle="1" w:styleId="28">
    <w:name w:val="正文（缩进 4 字符）"/>
    <w:basedOn w:val="1"/>
    <w:autoRedefine/>
    <w:qFormat/>
    <w:uiPriority w:val="0"/>
    <w:pPr>
      <w:ind w:firstLine="1134" w:firstLineChars="400"/>
    </w:pPr>
  </w:style>
  <w:style w:type="character" w:customStyle="1" w:styleId="29">
    <w:name w:val="标题 1 Char1"/>
    <w:link w:val="3"/>
    <w:autoRedefine/>
    <w:qFormat/>
    <w:uiPriority w:val="9"/>
    <w:rPr>
      <w:rFonts w:eastAsia="黑体"/>
      <w:b/>
      <w:bCs/>
      <w:color w:val="000000"/>
      <w:kern w:val="44"/>
      <w:sz w:val="32"/>
      <w:szCs w:val="36"/>
    </w:rPr>
  </w:style>
  <w:style w:type="paragraph" w:customStyle="1" w:styleId="30">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1">
    <w:name w:val="标题 2（投标文件）"/>
    <w:basedOn w:val="4"/>
    <w:autoRedefine/>
    <w:qFormat/>
    <w:uiPriority w:val="0"/>
    <w:pPr>
      <w:jc w:val="center"/>
    </w:pPr>
  </w:style>
  <w:style w:type="character" w:customStyle="1" w:styleId="32">
    <w:name w:val="标题 2 Char"/>
    <w:link w:val="4"/>
    <w:autoRedefine/>
    <w:qFormat/>
    <w:uiPriority w:val="9"/>
    <w:rPr>
      <w:rFonts w:ascii="Calibri" w:hAnsi="Calibri" w:cs="Calibri"/>
      <w:b/>
      <w:bCs/>
      <w:sz w:val="30"/>
      <w:szCs w:val="32"/>
    </w:rPr>
  </w:style>
  <w:style w:type="paragraph" w:customStyle="1" w:styleId="33">
    <w:name w:val="标题 3（投标文件）"/>
    <w:basedOn w:val="5"/>
    <w:autoRedefine/>
    <w:qFormat/>
    <w:uiPriority w:val="0"/>
    <w:pPr>
      <w:jc w:val="left"/>
    </w:pPr>
  </w:style>
  <w:style w:type="paragraph" w:customStyle="1" w:styleId="34">
    <w:name w:val="正文文本 31"/>
    <w:basedOn w:val="1"/>
    <w:autoRedefine/>
    <w:qFormat/>
    <w:uiPriority w:val="0"/>
    <w:rPr>
      <w:sz w:val="16"/>
      <w:szCs w:val="16"/>
    </w:rPr>
  </w:style>
  <w:style w:type="character" w:customStyle="1" w:styleId="35">
    <w:name w:val="NormalCharacter"/>
    <w:autoRedefine/>
    <w:qFormat/>
    <w:uiPriority w:val="0"/>
    <w:rPr>
      <w:kern w:val="2"/>
      <w:sz w:val="21"/>
      <w:szCs w:val="22"/>
      <w:lang w:val="en-US" w:eastAsia="zh-CN" w:bidi="ar-SA"/>
    </w:rPr>
  </w:style>
  <w:style w:type="character" w:customStyle="1" w:styleId="36">
    <w:name w:val="UserStyle_0"/>
    <w:autoRedefine/>
    <w:semiHidden/>
    <w:qFormat/>
    <w:uiPriority w:val="0"/>
  </w:style>
  <w:style w:type="paragraph" w:customStyle="1" w:styleId="37">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38">
    <w:name w:val="Table Normal"/>
    <w:autoRedefine/>
    <w:qFormat/>
    <w:uiPriority w:val="0"/>
    <w:tblPr>
      <w:tblCellMar>
        <w:top w:w="0" w:type="dxa"/>
        <w:left w:w="0" w:type="dxa"/>
        <w:bottom w:w="0" w:type="dxa"/>
        <w:right w:w="0" w:type="dxa"/>
      </w:tblCellMar>
    </w:tblPr>
  </w:style>
  <w:style w:type="character" w:customStyle="1" w:styleId="39">
    <w:name w:val="15"/>
    <w:basedOn w:val="22"/>
    <w:qFormat/>
    <w:uiPriority w:val="0"/>
    <w:rPr>
      <w:rFonts w:hint="eastAsia" w:ascii="宋体" w:hAnsi="宋体" w:eastAsia="宋体"/>
      <w:color w:val="000000"/>
      <w:sz w:val="22"/>
      <w:szCs w:val="22"/>
    </w:rPr>
  </w:style>
  <w:style w:type="paragraph" w:customStyle="1" w:styleId="40">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1121</Words>
  <Characters>1218</Characters>
  <Lines>0</Lines>
  <Paragraphs>0</Paragraphs>
  <TotalTime>10</TotalTime>
  <ScaleCrop>false</ScaleCrop>
  <LinksUpToDate>false</LinksUpToDate>
  <CharactersWithSpaces>1290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卜芥</cp:lastModifiedBy>
  <cp:lastPrinted>2026-07-23T09:09:00Z</cp:lastPrinted>
  <dcterms:modified xsi:type="dcterms:W3CDTF">2026-07-27T03:12:44Z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57564B1FD8F74468BB30EF871D83CAE9_13</vt:lpwstr>
  </property>
  <property fmtid="{D5CDD505-2E9C-101B-9397-08002B2CF9AE}" pid="4" name="KSOTemplateDocerSaveRecord">
    <vt:lpwstr>eyJoZGlkIjoiNTk2NTQyNTIxYmJlZDI0Njc3YjJmN2VlN2U0ZmY1NzQiLCJ1c2VySWQiOiI0NjA4MTI4MzkifQ==</vt:lpwstr>
  </property>
</Properties>
</file>