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版本号：ZBZB-2026-2952.1B120260707001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卫生间改造、部室装修及地下室屋顶漏水维修项目(二次)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ZBZB-2026-2952.1B1</w:t>
      </w:r>
      <w:r>
        <w:br/>
      </w:r>
      <w:r>
        <w:br/>
      </w:r>
      <w:r>
        <w:br/>
      </w:r>
    </w:p>
    <w:p>
      <w:pPr>
        <w:pStyle w:val="null3"/>
        <w:jc w:val="center"/>
        <w:outlineLvl w:val="2"/>
      </w:pPr>
      <w:r>
        <w:rPr>
          <w:rFonts w:ascii="仿宋_GB2312" w:hAnsi="仿宋_GB2312" w:cs="仿宋_GB2312" w:eastAsia="仿宋_GB2312"/>
          <w:sz w:val="28"/>
          <w:b/>
        </w:rPr>
        <w:t>西安市雁塔区第九幼儿园</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西安市雁塔区第九幼儿园</w:t>
      </w:r>
      <w:r>
        <w:rPr>
          <w:rFonts w:ascii="仿宋_GB2312" w:hAnsi="仿宋_GB2312" w:cs="仿宋_GB2312" w:eastAsia="仿宋_GB2312"/>
        </w:rPr>
        <w:t>委托，拟对</w:t>
      </w:r>
      <w:r>
        <w:rPr>
          <w:rFonts w:ascii="仿宋_GB2312" w:hAnsi="仿宋_GB2312" w:cs="仿宋_GB2312" w:eastAsia="仿宋_GB2312"/>
        </w:rPr>
        <w:t>卫生间改造、部室装修及地下室屋顶漏水维修项目(二次)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ZBZB-2026-2952.1B1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卫生间改造、部室装修及地下室屋顶漏水维修项目(二次)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西安市雁塔区第九幼儿园卫生间改造、部室装修及地下室屋顶漏水维修项目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采购包1（西安市雁塔区第九幼儿园卫生间改造、部室装修及地下室屋顶漏水维修项目）：属于专门面向小微企业采购。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主体证明：具有独立承担民事责任能力的法人、其他组织或自然人，并出具合法有效的统一社会信用代码的营业执照或事业单位法人证书等国家规定的相关证明，自然人参与的提供其身份证明；并进行电子签章。</w:t>
      </w:r>
    </w:p>
    <w:p>
      <w:pPr>
        <w:pStyle w:val="null3"/>
      </w:pPr>
      <w:r>
        <w:rPr>
          <w:rFonts w:ascii="仿宋_GB2312" w:hAnsi="仿宋_GB2312" w:cs="仿宋_GB2312" w:eastAsia="仿宋_GB2312"/>
        </w:rPr>
        <w:t>2、授权函：法定代表人授权书（附法定代表人身份证复印件）及被授权人身份证（法定代表人直接参加磋商只须提供法定代表人身份证）；并进行电子签章。</w:t>
      </w:r>
    </w:p>
    <w:p>
      <w:pPr>
        <w:pStyle w:val="null3"/>
      </w:pPr>
      <w:r>
        <w:rPr>
          <w:rFonts w:ascii="仿宋_GB2312" w:hAnsi="仿宋_GB2312" w:cs="仿宋_GB2312" w:eastAsia="仿宋_GB2312"/>
        </w:rPr>
        <w:t>3、财务状况：提供2024年度或2025年度经审计的财务审计报告（成立时间至提交磋商响应文件截止时间不足一年的可提供成立后任意时段的资产负债表），或其开标前六个月内基本存款账户开户银行出具的资信证明；并进行电子签章。</w:t>
      </w:r>
    </w:p>
    <w:p>
      <w:pPr>
        <w:pStyle w:val="null3"/>
      </w:pPr>
      <w:r>
        <w:rPr>
          <w:rFonts w:ascii="仿宋_GB2312" w:hAnsi="仿宋_GB2312" w:cs="仿宋_GB2312" w:eastAsia="仿宋_GB2312"/>
        </w:rPr>
        <w:t>4、完税证明：提供2025年6月至今已缴纳的至少三个月的纳税证明或完税证明，依法免税的单位应提供相关证明材料；并进行电子签章。</w:t>
      </w:r>
    </w:p>
    <w:p>
      <w:pPr>
        <w:pStyle w:val="null3"/>
      </w:pPr>
      <w:r>
        <w:rPr>
          <w:rFonts w:ascii="仿宋_GB2312" w:hAnsi="仿宋_GB2312" w:cs="仿宋_GB2312" w:eastAsia="仿宋_GB2312"/>
        </w:rPr>
        <w:t>5、社保缴纳情况：提供2025年6月至今已缴纳的至少三个月的社会保障资金缴存单据或社保机构开具的社会保险参保缴费情况证明，依法不需要缴纳社会保障资金的单位应提供相关证明材料；并进行电子签章。</w:t>
      </w:r>
    </w:p>
    <w:p>
      <w:pPr>
        <w:pStyle w:val="null3"/>
      </w:pPr>
      <w:r>
        <w:rPr>
          <w:rFonts w:ascii="仿宋_GB2312" w:hAnsi="仿宋_GB2312" w:cs="仿宋_GB2312" w:eastAsia="仿宋_GB2312"/>
        </w:rPr>
        <w:t>6、没有重大违法记录声明：参加本次政府采购活动前三年内，在经营活动中没有重大违法记录声明；并进行电子签章。</w:t>
      </w:r>
    </w:p>
    <w:p>
      <w:pPr>
        <w:pStyle w:val="null3"/>
      </w:pPr>
      <w:r>
        <w:rPr>
          <w:rFonts w:ascii="仿宋_GB2312" w:hAnsi="仿宋_GB2312" w:cs="仿宋_GB2312" w:eastAsia="仿宋_GB2312"/>
        </w:rPr>
        <w:t>7、所必需的设备和专业技术能力的承诺函：提供具有履行合同所必需的设备和专业技术能力的承诺函（格式自拟）；并进行电子签章。</w:t>
      </w:r>
    </w:p>
    <w:p>
      <w:pPr>
        <w:pStyle w:val="null3"/>
      </w:pPr>
      <w:r>
        <w:rPr>
          <w:rFonts w:ascii="仿宋_GB2312" w:hAnsi="仿宋_GB2312" w:cs="仿宋_GB2312" w:eastAsia="仿宋_GB2312"/>
        </w:rPr>
        <w:t>8、信用查询：供应商未被信用中国网站列入失信被执行人和重大税收违法案件名单；未被列入“中国政府采购网”政府采购严重违法失信行为记录名单。并进行电子签章。</w:t>
      </w:r>
    </w:p>
    <w:p>
      <w:pPr>
        <w:pStyle w:val="null3"/>
      </w:pPr>
      <w:r>
        <w:rPr>
          <w:rFonts w:ascii="仿宋_GB2312" w:hAnsi="仿宋_GB2312" w:cs="仿宋_GB2312" w:eastAsia="仿宋_GB2312"/>
        </w:rPr>
        <w:t>9、资质：供应商须具备建设行政主管部门核发的建筑装修装饰工程专业承包二级及以上(含二级)资质或建筑工程施工总承包三级（含三级）及以上资质，并且具备有效的安全生产许可证。并进行电子签章。</w:t>
      </w:r>
    </w:p>
    <w:p>
      <w:pPr>
        <w:pStyle w:val="null3"/>
      </w:pPr>
      <w:r>
        <w:rPr>
          <w:rFonts w:ascii="仿宋_GB2312" w:hAnsi="仿宋_GB2312" w:cs="仿宋_GB2312" w:eastAsia="仿宋_GB2312"/>
        </w:rPr>
        <w:t>10、拟派项目经理：拟派项目经理须具备建筑工程专业注册二级（含二级）及以上注册建造师执业资格证，提供有效的安全生产考核B证，在本单位注册且无在建证明（提供无在建项目承诺书）。并进行电子签章。</w:t>
      </w:r>
    </w:p>
    <w:p>
      <w:pPr>
        <w:pStyle w:val="null3"/>
      </w:pPr>
      <w:r>
        <w:rPr>
          <w:rFonts w:ascii="仿宋_GB2312" w:hAnsi="仿宋_GB2312" w:cs="仿宋_GB2312" w:eastAsia="仿宋_GB2312"/>
        </w:rPr>
        <w:t>11、控股关系：供应商负责人为同一人或者存在直接控股、管理关系的不同供应商，不得同时参加本项目磋商，提供承诺书；并进行电子签章。</w:t>
      </w:r>
    </w:p>
    <w:p>
      <w:pPr>
        <w:pStyle w:val="null3"/>
      </w:pPr>
      <w:r>
        <w:rPr>
          <w:rFonts w:ascii="仿宋_GB2312" w:hAnsi="仿宋_GB2312" w:cs="仿宋_GB2312" w:eastAsia="仿宋_GB2312"/>
        </w:rPr>
        <w:t>12、中⼩企业声明函：本项⽬专⻔⾯向小微企业采购，提供小微企业声明函。并进行电子签章。</w:t>
      </w:r>
    </w:p>
    <w:p>
      <w:pPr>
        <w:pStyle w:val="null3"/>
      </w:pPr>
      <w:r>
        <w:rPr>
          <w:rFonts w:ascii="仿宋_GB2312" w:hAnsi="仿宋_GB2312" w:cs="仿宋_GB2312" w:eastAsia="仿宋_GB2312"/>
        </w:rPr>
        <w:t>13、不允许联合体投标：本项目不允许联合体投标。并进行电子签章。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西安市雁塔区第九幼儿园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西安市雁塔区大寨路19号西北方向140米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15829299533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 69 号长丰园三区 5 号楼 9 层 9006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029-85578186-831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采购包1：519,581.24元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大便器、小便器、水龙头、电热水器</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代理服务费收费标准：参照国家发展和改⾰委员会办公厅发改办价格【2003】857号⽂的规定 ，经协商由中标⼈按国家发展和改⾰委员发改价格【2011】534号⽂规定取费标准向采购代理 机构⽀付招标代理服务费（包含“招标代理费、会务费（如有）”），如本项⽬各包服务费不⾜伍仟元则供应商按伍仟元⽀付服务费。 缴费渠道名称：陕西正邦招标有限责任公司 开⼾⾏： 平安银⾏股西安分⾏营业部/平安银⾏西安分⾏ 账 号：30205380002114 备注：请注明费⽤ 信息“ZBZB-2026-2952.1B1 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西安市雁塔区第九幼儿园</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西安市雁塔区第九幼儿园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西安市雁塔区第九幼儿园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联系电话：029-85578186-831</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519,581.24</w:t>
      </w:r>
    </w:p>
    <w:p>
      <w:pPr>
        <w:pStyle w:val="null3"/>
      </w:pPr>
      <w:r>
        <w:rPr>
          <w:rFonts w:ascii="仿宋_GB2312" w:hAnsi="仿宋_GB2312" w:cs="仿宋_GB2312" w:eastAsia="仿宋_GB2312"/>
        </w:rPr>
        <w:t>采购包最高限价（元）: 519,581.24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完成幼儿园卫生间改造、部室装修及地下室屋顶漏水维修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519,581.24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标的名称：完成幼儿园卫生间改造、部室装修及地下室屋顶漏水维修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1.工期：</w:t>
            </w:r>
            <w:r>
              <w:rPr>
                <w:rFonts w:ascii="仿宋_GB2312" w:hAnsi="仿宋_GB2312" w:cs="仿宋_GB2312" w:eastAsia="仿宋_GB2312"/>
                <w:sz w:val="21"/>
              </w:rPr>
              <w:t>45</w:t>
            </w:r>
            <w:r>
              <w:rPr>
                <w:rFonts w:ascii="仿宋_GB2312" w:hAnsi="仿宋_GB2312" w:cs="仿宋_GB2312" w:eastAsia="仿宋_GB2312"/>
                <w:sz w:val="21"/>
              </w:rPr>
              <w:t>日历天</w:t>
            </w:r>
            <w:r>
              <w:br/>
            </w:r>
            <w:r>
              <w:rPr>
                <w:rFonts w:ascii="仿宋_GB2312" w:hAnsi="仿宋_GB2312" w:cs="仿宋_GB2312" w:eastAsia="仿宋_GB2312"/>
                <w:sz w:val="21"/>
              </w:rPr>
              <w:t xml:space="preserve"> 2.工程质量、质保期：</w:t>
            </w:r>
          </w:p>
          <w:p>
            <w:pPr>
              <w:pStyle w:val="null3"/>
            </w:pPr>
            <w:r>
              <w:rPr>
                <w:rFonts w:ascii="仿宋_GB2312" w:hAnsi="仿宋_GB2312" w:cs="仿宋_GB2312" w:eastAsia="仿宋_GB2312"/>
              </w:rPr>
              <w:t>2-1工程质量：符合国家验收相关</w:t>
            </w:r>
            <w:r>
              <w:rPr>
                <w:rFonts w:ascii="仿宋_GB2312" w:hAnsi="仿宋_GB2312" w:cs="仿宋_GB2312" w:eastAsia="仿宋_GB2312"/>
              </w:rPr>
              <w:t>标准，并达到合格标准</w:t>
            </w:r>
          </w:p>
          <w:p>
            <w:pPr>
              <w:pStyle w:val="null3"/>
            </w:pPr>
            <w:r>
              <w:rPr>
                <w:rFonts w:ascii="仿宋_GB2312" w:hAnsi="仿宋_GB2312" w:cs="仿宋_GB2312" w:eastAsia="仿宋_GB2312"/>
              </w:rPr>
              <w:t>2-2质保期：</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）地下室屋顶防水、卫生间防水防渗工程：5年；</w:t>
            </w:r>
          </w:p>
          <w:p>
            <w:pPr>
              <w:pStyle w:val="null3"/>
            </w:pPr>
            <w:r>
              <w:rPr>
                <w:rFonts w:ascii="仿宋_GB2312" w:hAnsi="仿宋_GB2312" w:cs="仿宋_GB2312" w:eastAsia="仿宋_GB2312"/>
                <w:sz w:val="21"/>
              </w:rPr>
              <w:t>（2）部室墙面、地面、吊顶、门窗、乳胶漆等装修工程：2年；</w:t>
            </w:r>
          </w:p>
          <w:p>
            <w:pPr>
              <w:pStyle w:val="null3"/>
            </w:pPr>
            <w:r>
              <w:rPr>
                <w:rFonts w:ascii="仿宋_GB2312" w:hAnsi="仿宋_GB2312" w:cs="仿宋_GB2312" w:eastAsia="仿宋_GB2312"/>
                <w:sz w:val="21"/>
              </w:rPr>
              <w:t>（3）给排水管线、强弱电、灯具、洁具安装工程：2年；</w:t>
            </w:r>
          </w:p>
          <w:p>
            <w:pPr>
              <w:pStyle w:val="null3"/>
            </w:pPr>
            <w:r>
              <w:rPr>
                <w:rFonts w:ascii="仿宋_GB2312" w:hAnsi="仿宋_GB2312" w:cs="仿宋_GB2312" w:eastAsia="仿宋_GB2312"/>
                <w:sz w:val="21"/>
              </w:rPr>
              <w:t>质保期均自竣工验收合格当日起算。</w:t>
            </w:r>
            <w:r>
              <w:br/>
            </w:r>
            <w:r>
              <w:rPr>
                <w:rFonts w:ascii="仿宋_GB2312" w:hAnsi="仿宋_GB2312" w:cs="仿宋_GB2312" w:eastAsia="仿宋_GB2312"/>
                <w:sz w:val="21"/>
              </w:rPr>
              <w:t xml:space="preserve"> 3.工程量清单：详见附件</w:t>
            </w:r>
            <w:r>
              <w:br/>
            </w:r>
            <w:r>
              <w:rPr>
                <w:rFonts w:ascii="仿宋_GB2312" w:hAnsi="仿宋_GB2312" w:cs="仿宋_GB2312" w:eastAsia="仿宋_GB2312"/>
                <w:sz w:val="21"/>
              </w:rPr>
              <w:t xml:space="preserve"> 4.</w:t>
            </w:r>
            <w:r>
              <w:rPr>
                <w:rFonts w:ascii="仿宋_GB2312" w:hAnsi="仿宋_GB2312" w:cs="仿宋_GB2312" w:eastAsia="仿宋_GB2312"/>
                <w:sz w:val="21"/>
              </w:rPr>
              <w:t>施工要求：</w:t>
            </w:r>
            <w:r>
              <w:rPr>
                <w:rFonts w:ascii="仿宋_GB2312" w:hAnsi="仿宋_GB2312" w:cs="仿宋_GB2312" w:eastAsia="仿宋_GB2312"/>
                <w:sz w:val="21"/>
              </w:rPr>
              <w:t>在施工期间，中标供应商必须注意院内人员安全，加强安全措施，并对施工人员进行安全教育。施工人员必须持证上岗。因采购人工作的特殊性，要求中标供应商在施工中做到封闭性施工。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2133632860@qq.com）。否则，采购代理机构可以向财政部门反映情况并提供相应的佐证。供应商一年内累计出现三次该情形，将被监管部门记录为失信行为。 2、纸质版响应文件要求：成交供应商在领取成交通知书前，须向采购代理机构提供纸质版响应文件3套（1正2副），纸质版响应文件必须装订成册签字盖章。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有效主体证明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授权函</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法定代表人授权书（附法定代表人身份证复印件）及被授权人身份证（法定代表人直接参加磋商只须提供法定代表人身份证）；并进行电子签章。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审计的财务审计报告（成立时间至提交磋商响应文件截止时间不足一年的可提供成立后任意时段的资产负债表），或其开标前六个月内基本存款账户开户银行出具的资信证明；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提供2025年6月至今已缴纳的至少三个月的纳税证明或完税证明，依法免税的单位应提供相关证明材料；并进行电子签章。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社保缴纳情况</w:t>
            </w:r>
          </w:p>
        </w:tc>
        <w:tc>
          <w:tcPr>
            <w:tcW w:type="dxa" w:w="3322"/>
          </w:tcPr>
          <w:p>
            <w:pPr>
              <w:pStyle w:val="null3"/>
            </w:pPr>
            <w:r>
              <w:rPr>
                <w:rFonts w:ascii="仿宋_GB2312" w:hAnsi="仿宋_GB2312" w:cs="仿宋_GB2312" w:eastAsia="仿宋_GB2312"/>
              </w:rPr>
              <w:t>提供2025年6月至今已缴纳的至少三个月的社会保障资金缴存单据或社保机构开具的社会保险参保缴费情况证明，依法不需要缴纳社会保障资金的单位应提供相关证明材料；并进行电子签章。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参加本次政府采购活动前三年内，在经营活动中没有重大违法记录声明；并进行电子签章。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所必需的设备和专业技术能力的承诺函</w:t>
            </w:r>
          </w:p>
        </w:tc>
        <w:tc>
          <w:tcPr>
            <w:tcW w:type="dxa" w:w="3322"/>
          </w:tcPr>
          <w:p>
            <w:pPr>
              <w:pStyle w:val="null3"/>
            </w:pPr>
            <w:r>
              <w:rPr>
                <w:rFonts w:ascii="仿宋_GB2312" w:hAnsi="仿宋_GB2312" w:cs="仿宋_GB2312" w:eastAsia="仿宋_GB2312"/>
              </w:rPr>
              <w:t>提供具有履行合同所必需的设备和专业技术能力的承诺函（格式自拟）；并进行电子签章。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供应商未被信用中国网站列入失信被执行人和重大税收违法案件名单；未被列入“中国政府采购网”政府采购严重违法失信行为记录名单。并进行电子签章。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供应商须具备建设行政主管部门核发的建筑装修装饰工程专业承包二级及以上(含二级)资质或建筑工程施工总承包三级（含三级）及以上资质，并且具备有效的安全生产许可证。并进行电子签章。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拟派项目经理须具备建筑工程专业注册二级（含二级）及以上注册建造师执业资格证，提供有效的安全生产考核B证，在本单位注册且无在建证明（提供无在建项目承诺书）。并进行电子签章。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供应商负责人为同一人或者存在直接控股、管理关系的不同供应商，不得同时参加本项目磋商，提供承诺书；并进行电子签章。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本项⽬专⻔⾯向小微企业采购，提供小微企业声明函。并进行电子签章。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不允许联合体投标</w:t>
            </w:r>
          </w:p>
        </w:tc>
        <w:tc>
          <w:tcPr>
            <w:tcW w:type="dxa" w:w="3322"/>
          </w:tcPr>
          <w:p>
            <w:pPr>
              <w:pStyle w:val="null3"/>
            </w:pPr>
            <w:r>
              <w:rPr>
                <w:rFonts w:ascii="仿宋_GB2312" w:hAnsi="仿宋_GB2312" w:cs="仿宋_GB2312" w:eastAsia="仿宋_GB2312"/>
              </w:rPr>
              <w:t>本项目不允许联合体投标。并进行电子签章。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响应文件封面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评审内容：施工方案 评审标准：施工方案切合本项目实际情况，方案详细有针对性得8分；方案不完善或有缺陷（不完善或有缺陷是指：方案粗略、逻辑混乱、描述过于简单、与项目特点不匹配、凭空编造、逻辑漏洞、出现常识性错误、套用其他项目方案、存在不可能实现的夸大情形、存在不适用项目实际情况的情形）、方案缺漏项或只有标题没有实质性内容的扣评审内容出现以上任一情形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项目管理机构及项目经理部组成</w:t>
            </w:r>
          </w:p>
        </w:tc>
        <w:tc>
          <w:tcPr>
            <w:tcW w:type="dxa" w:w="2492"/>
          </w:tcPr>
          <w:p>
            <w:pPr>
              <w:pStyle w:val="null3"/>
            </w:pPr>
            <w:r>
              <w:rPr>
                <w:rFonts w:ascii="仿宋_GB2312" w:hAnsi="仿宋_GB2312" w:cs="仿宋_GB2312" w:eastAsia="仿宋_GB2312"/>
              </w:rPr>
              <w:t>评审内容：①项目管理机构②项目经理部组成 评审标准：以上内容切合本项目实际情况及实施要求，内容与要点相符、每个要点均有展开详细的阐述且能够适用于本项目的得8分；评审内容任意一项缺项扣4分；评审内容有缺陷（缺陷是指：内容粗略、逻辑混乱、描述过于简单、与项目特点不匹配、凭空编造、逻辑漏洞、出现常识性错误、套用其他项目方案、存在不可能实现的夸大情形、存在不适用项目实际情况的情形或只有标题没有实质性内容）评审内容出现以上任一情形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确保安全生产的技术组织措施及应急预案</w:t>
            </w:r>
          </w:p>
        </w:tc>
        <w:tc>
          <w:tcPr>
            <w:tcW w:type="dxa" w:w="2492"/>
          </w:tcPr>
          <w:p>
            <w:pPr>
              <w:pStyle w:val="null3"/>
            </w:pPr>
            <w:r>
              <w:rPr>
                <w:rFonts w:ascii="仿宋_GB2312" w:hAnsi="仿宋_GB2312" w:cs="仿宋_GB2312" w:eastAsia="仿宋_GB2312"/>
              </w:rPr>
              <w:t>评审内容：①确保安全生产的技术组织措施②应急预案 评审标准：以上内容切合本项目实际情况及实施要求，内容与要点相符、每个要点均有展开详细的阐述且能够适用于本项目的得8分；评审内容任意一项缺项扣4分；评审内容有缺陷（缺陷是指：内容粗略、逻辑混乱、描述过于简单、与项目特点不匹配、凭空编造、逻辑漏洞、出现常识性错误、套用其他项目方案、存在不可能实现的夸大情形、存在不适用项目实际情况的情形或只有标题没有实质性内容）评审内容出现以上任一情形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评审内容：①确保文明施工的技术措施②环境保护措施 评审标准：以上内容切合本项目实际情况及实施要求，内容与要点相符、每个要点均有展开详细的阐述且能够适用于本项目的得8分；评审内容任意一项缺项扣4分；评审内容有缺陷（缺陷是指：内容粗略、逻辑混乱、描述过于简单、与项目特点不匹配、凭空编造、逻辑漏洞、出现常识性错误、套用其他项目方案、存在不可能实现的夸大情形、存在不适用项目实际情况的情形或只有标题没有实质性内容）评审内容出现以上任一情形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劳动力计划及主要材料供应计划</w:t>
            </w:r>
          </w:p>
        </w:tc>
        <w:tc>
          <w:tcPr>
            <w:tcW w:type="dxa" w:w="2492"/>
          </w:tcPr>
          <w:p>
            <w:pPr>
              <w:pStyle w:val="null3"/>
            </w:pPr>
            <w:r>
              <w:rPr>
                <w:rFonts w:ascii="仿宋_GB2312" w:hAnsi="仿宋_GB2312" w:cs="仿宋_GB2312" w:eastAsia="仿宋_GB2312"/>
              </w:rPr>
              <w:t>评审内容：①劳动力计划②主要材料供应计划 评审标准：以上内容切合本项目实际情况及实施要求，内容与要点相符、每个要点均有展开详细的阐述且能够适用于本项目的得5分；评审内容任意一项缺项扣2.5分； 评审内容有缺陷（缺陷是指：劳动力计划安排不合理、主要材料供应计划不满足项目需求、与项目特点不匹配、套用其他项目方案、存在不可能实现的夸大情形、存在不适用项目实际情况的情形或只有标题没有实质性内容）评审内容出现以上任一情形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施工机械设备配备计划</w:t>
            </w:r>
          </w:p>
        </w:tc>
        <w:tc>
          <w:tcPr>
            <w:tcW w:type="dxa" w:w="2492"/>
          </w:tcPr>
          <w:p>
            <w:pPr>
              <w:pStyle w:val="null3"/>
            </w:pPr>
            <w:r>
              <w:rPr>
                <w:rFonts w:ascii="仿宋_GB2312" w:hAnsi="仿宋_GB2312" w:cs="仿宋_GB2312" w:eastAsia="仿宋_GB2312"/>
              </w:rPr>
              <w:t>评审内容：施工机械设备配备计划 评审标准：施工方案切合本项目实际情况，方案详细有针对性得4分；未提供施工机械设备配备计划不得分。评审内容有缺陷（缺陷是指：施工机械设备配备不合理、施工机械配备与项目特点不匹配、套用其他项目方案、存在不可能实现的夸大情形、存在不适用项目实际情况的情形或只有标题没有实质性内容）评审内容出现以上任一情形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评审内容：工程质量保证措施 评审标准：施工方案切合本项目实际情况，方案详细有针对性得4分；未提供措施方案不得分。评审内容有缺陷（缺陷是指：措施内容粗略、逻辑混乱、描述过于简单、与项目特点不匹配、凭空编造、逻辑漏洞、出现常识性错误、套用其他项目方案、存在不可能实现的夸大情形、存在不适用项目实际情况的情形或只有标题没有实质性内容）评审内容出现以上任一情形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施工进度计划及确保工期的技术措施</w:t>
            </w:r>
          </w:p>
        </w:tc>
        <w:tc>
          <w:tcPr>
            <w:tcW w:type="dxa" w:w="2492"/>
          </w:tcPr>
          <w:p>
            <w:pPr>
              <w:pStyle w:val="null3"/>
            </w:pPr>
            <w:r>
              <w:rPr>
                <w:rFonts w:ascii="仿宋_GB2312" w:hAnsi="仿宋_GB2312" w:cs="仿宋_GB2312" w:eastAsia="仿宋_GB2312"/>
              </w:rPr>
              <w:t>评审内容：①施工进度计划②确保工期的技术措施 评审标准：以上内容切合本项目实际情况及实施要求，内容与要点相符、每个要点均有展开详细的阐述且能够适用于本项目的得6分；评审内容任意一项缺项扣3分； 评审内容有缺陷（缺陷是指：进度计划安排不合理、措施内容简单、与项目特点不匹配、套用其他项目方案、存在不可能实现的夸大情形、存在不适用项目实际情况的情形或只有标题没有实质性内容）评审内容出现以上任一情形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雨季施工管理防范措施</w:t>
            </w:r>
          </w:p>
        </w:tc>
        <w:tc>
          <w:tcPr>
            <w:tcW w:type="dxa" w:w="2492"/>
          </w:tcPr>
          <w:p>
            <w:pPr>
              <w:pStyle w:val="null3"/>
            </w:pPr>
            <w:r>
              <w:rPr>
                <w:rFonts w:ascii="仿宋_GB2312" w:hAnsi="仿宋_GB2312" w:cs="仿宋_GB2312" w:eastAsia="仿宋_GB2312"/>
              </w:rPr>
              <w:t>评审内容：雨季施工管理防范措施 评审标准：施工方案切合本项目实际情况，方案详细有针对性得4分；未提供措施方案不得分。评审内容有缺陷（缺陷是指：方案粗略、逻辑混乱、描述过于简单、与项目特点不匹配、凭空编造、逻辑漏洞、出现常识性错误、套用其他项目方案、存在不可能实现的夸大情形、存在不适用项目实际情况的情形或只有标题没有实质性内容）评审内容出现以上任一情形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垃圾清运方案</w:t>
            </w:r>
          </w:p>
        </w:tc>
        <w:tc>
          <w:tcPr>
            <w:tcW w:type="dxa" w:w="2492"/>
          </w:tcPr>
          <w:p>
            <w:pPr>
              <w:pStyle w:val="null3"/>
            </w:pPr>
            <w:r>
              <w:rPr>
                <w:rFonts w:ascii="仿宋_GB2312" w:hAnsi="仿宋_GB2312" w:cs="仿宋_GB2312" w:eastAsia="仿宋_GB2312"/>
              </w:rPr>
              <w:t>评审内容：垃圾清运方案 评审标准：垃圾清运方案切合本项目实际情况，方案详细有针对性得4分；未提供方案不得分。评审内容有缺陷（缺陷是指：方案粗略、逻辑混乱、描述过于简单、与项目特点不匹配、凭空编造、逻辑漏洞、出现常识性错误、套用其他项目方案、存在不可能实现的夸大情形、存在不适用项目实际情况的情形或只有标题没有实质性内容）评审内容出现以上任一情形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评审内容：①服务过程中的相关承诺②质保期内的服务承诺 评审标准：以上内容与要点相符、每个要点均有展开详细的阐述且能够适用于本项目的得5分； 评审内容任意一项缺项扣2.5分；评审内容有缺陷（缺陷是指：内容简单、与项目特点不匹配、套用其他项目相关内容或存在不适用项目实际情况的情形）评审内容出现以上任一情形扣0.5分，扣完为止。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供应商2023年6月以来类似项目业绩；每提供1份计2分，最高得6分。业绩证明（以合同或中标/成交通知书为准，须在磋商响应文件中附以上证明材料的扫描件加盖单位公章）。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