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版本号：ZY2026-ZB-JT109320260616001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2026年絮凝剂采购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ZY2026-ZB-JT1093</w:t>
      </w:r>
      <w:r>
        <w:br/>
      </w:r>
      <w:r>
        <w:br/>
      </w:r>
      <w:r>
        <w:br/>
      </w:r>
    </w:p>
    <w:p>
      <w:pPr>
        <w:pStyle w:val="null3"/>
        <w:jc w:val="center"/>
        <w:outlineLvl w:val="2"/>
      </w:pPr>
      <w:r>
        <w:rPr>
          <w:rFonts w:ascii="仿宋_GB2312" w:hAnsi="仿宋_GB2312" w:cs="仿宋_GB2312" w:eastAsia="仿宋_GB2312"/>
          <w:sz w:val="28"/>
          <w:b/>
        </w:rPr>
        <w:t>西安市城肥清运处理中心</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西安市城肥清运处理中心</w:t>
      </w:r>
      <w:r>
        <w:rPr>
          <w:rFonts w:ascii="仿宋_GB2312" w:hAnsi="仿宋_GB2312" w:cs="仿宋_GB2312" w:eastAsia="仿宋_GB2312"/>
        </w:rPr>
        <w:t>委托，拟对</w:t>
      </w:r>
      <w:r>
        <w:rPr>
          <w:rFonts w:ascii="仿宋_GB2312" w:hAnsi="仿宋_GB2312" w:cs="仿宋_GB2312" w:eastAsia="仿宋_GB2312"/>
        </w:rPr>
        <w:t>2026年絮凝剂采购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ZY2026-ZB-JT1093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2026年絮凝剂采购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2026年絮凝剂采购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采购包1（2026年絮凝剂采购）：属于专门面向中小企业采购。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2、财务状况报告：提供2025年度经审计的完整财务报告或谈判日期前三个月内其基本存款账户开户银行出具的资信证明。（如提供资信证明，须同时提供基本存款账户开户许可证或基本账户信息表）。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3、税收缴纳证明：提供谈判截止日前一年内（不含谈判当月）已缴纳的至少一个月的税收缴纳证明，依法免税的单位应提供相关证明材料。</w:t>
      </w:r>
    </w:p>
    <w:p>
      <w:pPr>
        <w:pStyle w:val="null3"/>
      </w:pPr>
      <w:r>
        <w:rPr>
          <w:rFonts w:ascii="仿宋_GB2312" w:hAnsi="仿宋_GB2312" w:cs="仿宋_GB2312" w:eastAsia="仿宋_GB2312"/>
        </w:rPr>
        <w:t>4、社会保障资金缴纳证明：提供谈判截止日前一年内（不含谈判当月）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5、具有履行本合同所必需的设备和专业技术能力：提供具有履行本合同所必需的设备和专业技术能力的书面声明及承诺。</w:t>
      </w:r>
    </w:p>
    <w:p>
      <w:pPr>
        <w:pStyle w:val="null3"/>
      </w:pPr>
      <w:r>
        <w:rPr>
          <w:rFonts w:ascii="仿宋_GB2312" w:hAnsi="仿宋_GB2312" w:cs="仿宋_GB2312" w:eastAsia="仿宋_GB2312"/>
        </w:rPr>
        <w:t>6、参加政府采购活动前三年内，在经营活动中没有重大违法记录：提供参加本次政府采购活动前三年内在经营活动中没有重大违法记录的书面声明。</w:t>
      </w:r>
    </w:p>
    <w:p>
      <w:pPr>
        <w:pStyle w:val="null3"/>
      </w:pPr>
      <w:r>
        <w:rPr>
          <w:rFonts w:ascii="仿宋_GB2312" w:hAnsi="仿宋_GB2312" w:cs="仿宋_GB2312" w:eastAsia="仿宋_GB2312"/>
        </w:rPr>
        <w:t>7、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8、授权委托书：法定代表人授权委托书、被授权人身份证(法定代表人参加谈判时,只需提供法定代表人身份证；被授权人参加谈判时，须提供谈判前三个月内任意一个月的社保证明材料）。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西安市城肥清运处理中心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西安市莲湖区大兴西路43号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西安市城肥清运处理中心经办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029-84417133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陕西省西安经济技术开发区凤城五路123号秦创原·软科中心B座11层1101室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林工、张晶、刘英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029-86210100转608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采购包1：381,000.00元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价格为基数，依据国家计委颁布《招标代理服务收费管理暂行办法》（计价格[2002]1980号）和发展改革委员会办公厅颁发的《关于招标代理服务收费有关问题的通知》（发改办价格[2003]857号）文件规定下浮20%执行。 招标代理服务费缴纳账户： 开户名称：陕西正翼项目管理咨询有限公司西安分公司 开户银行：中国光大银行股份有限公司西安经济技术开发区支行 账 号：78680188000360910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西安市城肥清运处理中心</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西安市城肥清运处理中心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西安市城肥清运处理中心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陕西正翼项目管理咨询有限公司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1、成交供应商对最终的服务质量负完全责任。 2、验收依据：（1）合同；（2）国家有关的验收标准及规范；（3）竞争性谈判文件、竞争性谈判响应文件。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联系人：林工、张晶、刘英</w:t>
      </w:r>
    </w:p>
    <w:p>
      <w:pPr>
        <w:pStyle w:val="null3"/>
      </w:pPr>
      <w:r>
        <w:rPr>
          <w:rFonts w:ascii="仿宋_GB2312" w:hAnsi="仿宋_GB2312" w:cs="仿宋_GB2312" w:eastAsia="仿宋_GB2312"/>
        </w:rPr>
        <w:t>联系电话：029-86210100转608</w:t>
      </w:r>
    </w:p>
    <w:p>
      <w:pPr>
        <w:pStyle w:val="null3"/>
      </w:pPr>
      <w:r>
        <w:rPr>
          <w:rFonts w:ascii="仿宋_GB2312" w:hAnsi="仿宋_GB2312" w:cs="仿宋_GB2312" w:eastAsia="仿宋_GB2312"/>
        </w:rPr>
        <w:t>地址：陕西省西安经济技术开发区凤城五路123号秦创原·软科中心B座11层1101室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2026年絮凝剂采购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381,000.00</w:t>
      </w:r>
    </w:p>
    <w:p>
      <w:pPr>
        <w:pStyle w:val="null3"/>
      </w:pPr>
      <w:r>
        <w:rPr>
          <w:rFonts w:ascii="仿宋_GB2312" w:hAnsi="仿宋_GB2312" w:cs="仿宋_GB2312" w:eastAsia="仿宋_GB2312"/>
        </w:rPr>
        <w:t>采购包最高限价（元）: 381,000.00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2026年絮凝剂采购</w:t>
            </w:r>
          </w:p>
        </w:tc>
        <w:tc>
          <w:tcPr>
            <w:tcW w:type="dxa" w:w="755"/>
          </w:tcPr>
          <w:p>
            <w:pPr>
              <w:pStyle w:val="null3"/>
              <w:jc w:val="right"/>
            </w:pPr>
            <w:r>
              <w:rPr>
                <w:rFonts w:ascii="仿宋_GB2312" w:hAnsi="仿宋_GB2312" w:cs="仿宋_GB2312" w:eastAsia="仿宋_GB2312"/>
              </w:rPr>
              <w:t>13.50</w:t>
            </w:r>
          </w:p>
        </w:tc>
        <w:tc>
          <w:tcPr>
            <w:tcW w:type="dxa" w:w="755"/>
          </w:tcPr>
          <w:p>
            <w:pPr>
              <w:pStyle w:val="null3"/>
              <w:jc w:val="right"/>
            </w:pPr>
            <w:r>
              <w:rPr>
                <w:rFonts w:ascii="仿宋_GB2312" w:hAnsi="仿宋_GB2312" w:cs="仿宋_GB2312" w:eastAsia="仿宋_GB2312"/>
              </w:rPr>
              <w:t>381,000.00</w:t>
            </w:r>
          </w:p>
        </w:tc>
        <w:tc>
          <w:tcPr>
            <w:tcW w:type="dxa" w:w="755"/>
          </w:tcPr>
          <w:p>
            <w:pPr>
              <w:pStyle w:val="null3"/>
            </w:pPr>
            <w:r>
              <w:rPr>
                <w:rFonts w:ascii="仿宋_GB2312" w:hAnsi="仿宋_GB2312" w:cs="仿宋_GB2312" w:eastAsia="仿宋_GB2312"/>
              </w:rPr>
              <w:t>吨</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标的名称：2026年絮凝剂采购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b/>
              </w:rPr>
              <w:t>本项目的核心产品为絮凝剂</w:t>
            </w:r>
          </w:p>
          <w:p>
            <w:pPr>
              <w:pStyle w:val="null3"/>
              <w:jc w:val="left"/>
            </w:pPr>
            <w:r>
              <w:rPr>
                <w:rFonts w:ascii="仿宋_GB2312" w:hAnsi="仿宋_GB2312" w:cs="仿宋_GB2312" w:eastAsia="仿宋_GB2312"/>
                <w:b/>
              </w:rPr>
              <w:t>产品规格：</w:t>
            </w:r>
          </w:p>
          <w:p>
            <w:pPr>
              <w:pStyle w:val="null3"/>
              <w:jc w:val="left"/>
            </w:pPr>
            <w:r>
              <w:rPr>
                <w:rFonts w:ascii="仿宋_GB2312" w:hAnsi="仿宋_GB2312" w:cs="仿宋_GB2312" w:eastAsia="仿宋_GB2312"/>
              </w:rPr>
              <w:t>1、标的名称：聚丙烯酰胺类乳液絮凝剂</w:t>
            </w:r>
          </w:p>
          <w:p>
            <w:pPr>
              <w:pStyle w:val="null3"/>
              <w:jc w:val="left"/>
            </w:pPr>
            <w:r>
              <w:rPr>
                <w:rFonts w:ascii="仿宋_GB2312" w:hAnsi="仿宋_GB2312" w:cs="仿宋_GB2312" w:eastAsia="仿宋_GB2312"/>
              </w:rPr>
              <w:t>2、离子类型：阳离子型</w:t>
            </w:r>
          </w:p>
          <w:p>
            <w:pPr>
              <w:pStyle w:val="null3"/>
              <w:jc w:val="left"/>
            </w:pPr>
            <w:r>
              <w:rPr>
                <w:rFonts w:ascii="仿宋_GB2312" w:hAnsi="仿宋_GB2312" w:cs="仿宋_GB2312" w:eastAsia="仿宋_GB2312"/>
              </w:rPr>
              <w:t>3、质保期：一年及以上</w:t>
            </w:r>
          </w:p>
          <w:p>
            <w:pPr>
              <w:pStyle w:val="null3"/>
              <w:jc w:val="left"/>
            </w:pPr>
            <w:r>
              <w:rPr>
                <w:rFonts w:ascii="仿宋_GB2312" w:hAnsi="仿宋_GB2312" w:cs="仿宋_GB2312" w:eastAsia="仿宋_GB2312"/>
              </w:rPr>
              <w:t>4、聚合物含量的质量分数：≥45%</w:t>
            </w:r>
          </w:p>
          <w:p>
            <w:pPr>
              <w:pStyle w:val="null3"/>
              <w:jc w:val="left"/>
            </w:pPr>
            <w:r>
              <w:rPr>
                <w:rFonts w:ascii="仿宋_GB2312" w:hAnsi="仿宋_GB2312" w:cs="仿宋_GB2312" w:eastAsia="仿宋_GB2312"/>
              </w:rPr>
              <w:t>5、阳离子度：大于58％</w:t>
            </w:r>
          </w:p>
          <w:p>
            <w:pPr>
              <w:pStyle w:val="null3"/>
              <w:jc w:val="left"/>
            </w:pPr>
            <w:r>
              <w:rPr>
                <w:rFonts w:ascii="仿宋_GB2312" w:hAnsi="仿宋_GB2312" w:cs="仿宋_GB2312" w:eastAsia="仿宋_GB2312"/>
              </w:rPr>
              <w:t>★项技术参数（5项），任意1项参数如发生负偏离视为非实质性响应，其投标将被认定为无效投标。</w:t>
            </w:r>
          </w:p>
          <w:p>
            <w:pPr>
              <w:pStyle w:val="null3"/>
            </w:pPr>
            <w:r>
              <w:rPr>
                <w:rFonts w:ascii="仿宋_GB2312" w:hAnsi="仿宋_GB2312" w:cs="仿宋_GB2312" w:eastAsia="仿宋_GB2312"/>
              </w:rPr>
              <w:t>★项技术参数佐证材料例如：（第三方检测报告、厂家检测报告、产品说明书、产品彩页、官网介绍截图等内容）并加盖供应商公章，予以证明其技术参数的响应性，任意1项参数不提供证明材料或者证明材料无法证明其响应性，其投标将被认定为无效投标。</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b/>
              </w:rPr>
              <w:t>产品规格：</w:t>
            </w:r>
          </w:p>
          <w:p>
            <w:pPr>
              <w:pStyle w:val="null3"/>
              <w:jc w:val="left"/>
            </w:pPr>
            <w:r>
              <w:rPr>
                <w:rFonts w:ascii="仿宋_GB2312" w:hAnsi="仿宋_GB2312" w:cs="仿宋_GB2312" w:eastAsia="仿宋_GB2312"/>
                <w:color w:val="000000"/>
              </w:rPr>
              <w:t>1</w:t>
            </w:r>
            <w:r>
              <w:rPr>
                <w:rFonts w:ascii="仿宋_GB2312" w:hAnsi="仿宋_GB2312" w:cs="仿宋_GB2312" w:eastAsia="仿宋_GB2312"/>
                <w:color w:val="000000"/>
              </w:rPr>
              <w:t>、溶解时间： ≤25min</w:t>
            </w:r>
          </w:p>
          <w:p>
            <w:pPr>
              <w:pStyle w:val="null3"/>
              <w:jc w:val="left"/>
            </w:pPr>
            <w:r>
              <w:rPr>
                <w:rFonts w:ascii="仿宋_GB2312" w:hAnsi="仿宋_GB2312" w:cs="仿宋_GB2312" w:eastAsia="仿宋_GB2312"/>
                <w:color w:val="000000"/>
              </w:rPr>
              <w:t>2、包装、规格：25kg/桶</w:t>
            </w:r>
          </w:p>
          <w:p>
            <w:pPr>
              <w:pStyle w:val="null3"/>
            </w:pPr>
            <w:r>
              <w:rPr>
                <w:rFonts w:ascii="仿宋_GB2312" w:hAnsi="仿宋_GB2312" w:cs="仿宋_GB2312" w:eastAsia="仿宋_GB2312"/>
              </w:rPr>
              <w:t>▲项技术参数佐证材料例如：（第三方检测报告、厂家检测报告、产品说明书、产品彩页、官网介绍截图等内容）并加盖供应商公章，予以证明其技术参数的响应性。</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color w:val="000000"/>
              </w:rPr>
              <w:t>1.采购内容：</w:t>
            </w:r>
            <w:r>
              <w:rPr>
                <w:rFonts w:ascii="仿宋_GB2312" w:hAnsi="仿宋_GB2312" w:cs="仿宋_GB2312" w:eastAsia="仿宋_GB2312"/>
                <w:color w:val="000000"/>
              </w:rPr>
              <w:t>2026年絮凝剂采购</w:t>
            </w:r>
          </w:p>
          <w:p>
            <w:pPr>
              <w:pStyle w:val="null3"/>
            </w:pPr>
            <w:r>
              <w:rPr>
                <w:rFonts w:ascii="仿宋_GB2312" w:hAnsi="仿宋_GB2312" w:cs="仿宋_GB2312" w:eastAsia="仿宋_GB2312"/>
                <w:color w:val="000000"/>
              </w:rPr>
              <w:t>2.合同履行期限：自合同签订生效之日起到2026年12月31日</w:t>
            </w:r>
          </w:p>
          <w:p>
            <w:pPr>
              <w:pStyle w:val="null3"/>
            </w:pPr>
            <w:r>
              <w:rPr>
                <w:rFonts w:ascii="仿宋_GB2312" w:hAnsi="仿宋_GB2312" w:cs="仿宋_GB2312" w:eastAsia="仿宋_GB2312"/>
                <w:color w:val="000000"/>
              </w:rPr>
              <w:t>3.供货地点：西安市莲湖区枣园街道大兴西路43号西安市城肥清运处理中心预处理站</w:t>
            </w:r>
          </w:p>
          <w:p>
            <w:pPr>
              <w:pStyle w:val="null3"/>
            </w:pPr>
            <w:r>
              <w:rPr>
                <w:rFonts w:ascii="仿宋_GB2312" w:hAnsi="仿宋_GB2312" w:cs="仿宋_GB2312" w:eastAsia="仿宋_GB2312"/>
                <w:color w:val="000000"/>
              </w:rPr>
              <w:t>4.</w:t>
            </w:r>
            <w:r>
              <w:rPr>
                <w:rFonts w:ascii="仿宋_GB2312" w:hAnsi="仿宋_GB2312" w:cs="仿宋_GB2312" w:eastAsia="仿宋_GB2312"/>
                <w:color w:val="000000"/>
              </w:rPr>
              <w:t>付款方式：按需送货，分批付款。甲方验收合格后，乙方开具与实际送货量相符的发票，甲方收到发票后20天内向乙方付款。</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1.送货数量：按约定送货数量分批次进行配送</w:t>
            </w:r>
          </w:p>
          <w:p>
            <w:pPr>
              <w:pStyle w:val="null3"/>
            </w:pPr>
            <w:r>
              <w:rPr>
                <w:rFonts w:ascii="仿宋_GB2312" w:hAnsi="仿宋_GB2312" w:cs="仿宋_GB2312" w:eastAsia="仿宋_GB2312"/>
              </w:rPr>
              <w:t>2、交货地点及要求：供货方负责在要求时间将货物送达我单位，卸货到指定地点并承担所产生费用。</w:t>
            </w:r>
          </w:p>
          <w:p>
            <w:pPr>
              <w:pStyle w:val="null3"/>
            </w:pPr>
            <w:r>
              <w:rPr>
                <w:rFonts w:ascii="仿宋_GB2312" w:hAnsi="仿宋_GB2312" w:cs="仿宋_GB2312" w:eastAsia="仿宋_GB2312"/>
              </w:rPr>
              <w:t>3、验收要求：标的物为原厂产品，不得二次加工；与规定的质量、规格等要求相符；每一批次均应提供产品质量合格证书（质量标准认证）、产品检验报告（技术性说明资料）、海关通行证（进口絮凝剂）等相关材料；质保期内不可出现分层、沉淀或凝聚现象等现象；</w:t>
            </w:r>
          </w:p>
          <w:p>
            <w:pPr>
              <w:pStyle w:val="null3"/>
            </w:pPr>
            <w:r>
              <w:rPr>
                <w:rFonts w:ascii="仿宋_GB2312" w:hAnsi="仿宋_GB2312" w:cs="仿宋_GB2312" w:eastAsia="仿宋_GB2312"/>
              </w:rPr>
              <w:t>4.付款方式：按需送货，分批付款。第一次送货完成且验收合格，达到付款条件20日内，支付合同价款的40%；第二次送货完成且验收合格，达到付款条件20日内，支付合同价款的30%；第三次送货完成且验收合格，达到付款条件20日内，支付合同价款的30%。</w:t>
            </w:r>
          </w:p>
          <w:p>
            <w:pPr>
              <w:pStyle w:val="null3"/>
            </w:pPr>
            <w:r>
              <w:rPr>
                <w:rFonts w:ascii="仿宋_GB2312" w:hAnsi="仿宋_GB2312" w:cs="仿宋_GB2312" w:eastAsia="仿宋_GB2312"/>
              </w:rPr>
              <w:t xml:space="preserve">5、合同履行期限：自合同签订生效之日起到2026年12月31日  </w:t>
            </w:r>
          </w:p>
          <w:p>
            <w:pPr>
              <w:pStyle w:val="null3"/>
            </w:pPr>
            <w:r>
              <w:rPr>
                <w:rFonts w:ascii="仿宋_GB2312" w:hAnsi="仿宋_GB2312" w:cs="仿宋_GB2312" w:eastAsia="仿宋_GB2312"/>
              </w:rPr>
              <w:t>6、质量保修范围和保修期：整个合同生效期。乙方接到甲方关于加药装置运转有异常、絮凝脱水处理效果异常通知后，乙方售后人员需在24小时内到达甲方单位，进行响应，排除问题。</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自合同签订生效之日起到2026年12月31日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西安市莲湖区枣园街道大兴西路43号西安市城肥清运处理中心预处理站</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 按需送货，分批付款。第一次送货完成且验收合格，达到付款条件起20个工作日内，支付合同总金额的40.0%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进度款，第二次送货完成且验收合格，达到付款条件起20个工作日内，支付合同总金额的30.0%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进度款，第三次送货完成且验收合格，达到付款条件起20个工作日内，支付合同总金额的30.0%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1、成交供应商对最终的服务质量负完全责任。 2、验收依据：（1）合同；（2）国家有关的验收标准及规范；（3）竞争性谈判文件、竞争性谈判响应文件。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整个合同生效期。乙方接到甲方关于加药装置运转有异常、絮凝脱水处理效果异常通知后，乙方售后人员需在24小时内到达甲方单位，进行响应，排除问题</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依据《中华人民共和国民法典》、《中华人民共和国政府采购法》的相关条款和本合同约定，中标人未全面履行合同义务或者发生违约，采购人会同协商组织机构有权终止合同，依法向中标人进行经济索赔，并报请政府采购监督管理机关进行相应的行政处罚。采购人违约的，应当赔偿给中标人造成的经济损失。 争议的解决：向有管辖权的人民法院提起诉讼。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3.5.1成交供应商需提供纸质版响应文件两本； 3.5.2（响应文件格式-标的清单）本项目服务范围：2026年絮凝剂采购； 3.5.3服务要求：符合谈判文件有关技术、商务要求； 3.5.4服务标准：符合国家和省、市有关行业标准及采购人的有关规定。 3.5.5 关于本国产品价格扣除说明 根据国办发〔2025〕34号《国务院办公厅关于在政府采购中实施本国产品标准及相关政策的通知》对本国产品执行支持政策。 (1)对于仅有本国产品参与竞争的政府采购项目，本国产品不享受价格扣除评审优惠。 (2)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 （3）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投标人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 （4）投标人对其提供的产品出具《关于符合本国产品标准的声明函》（样式见“谈判响应文件”中附件6）或财政部会同有关部门规定的有关证明文件。出具符合要求的《关于符合本国产品标准的声明函》或有关证明文件的，该产品视为本国产品。当采购项目或者采购包的采购标的中含有多种产品，投标人在《声明函》中未进行声明的产品视为非本国产品。供应商提供虚假《关于符合本国产品标准的声明函》、虚假证明文件谋取中标、成交的，依照《中华人民共和国政府采购法》等法律法规规定追究相应责任。 （5）若投标人为本采购项目或者采购包提供的符合本国产品标准的产品成本之和占投标人提供的全部产品成本之和的比例达到80%以上的，投标人在投标文件中提供承诺函（样式见“谈判响应文件”中附件7）。供应商提供虚假《承诺函》、虚假证明文件谋取中标、成交的，依照《中华人民共和国政府采购法》等法律法规规定追究相应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供2025年度经审计的完整财务报告或谈判日期前三个月内其基本存款账户开户银行出具的资信证明。(如提供资信证明,须同时提供基本存款账户开户许可证或基本账户信息表)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提供2025年度经审计的完整财务报告或谈判日期前三个月内其基本存款账户开户银行出具的资信证明。（如提供资信证明，须同时提供基本存款账户开户许可证或基本账户信息表）。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提供谈判截止日前一年内（不含谈判当月）已缴纳的至少一个月的税收缴纳证明，依法免税的单位应提供相关证明材料。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提供谈判截止日前一年内（不含谈判当月）已缴存的至少一个月的社会保障资金缴存单据或社保机构开具的社会保险参保缴费情况证明，依法不需要缴纳社会保障资金的单位应提供相关证明材料。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提供具有履行本合同所必需的设备和专业技术能力的书面声明及承诺。</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法定代表人授权委托书、被授权人身份证(法定代表人参加谈判时,只需提供法定代表人身份证；被授权人参加谈判时，须提供谈判前三个月内任意一个月的社保证明材料）。</w:t>
            </w:r>
          </w:p>
        </w:tc>
        <w:tc>
          <w:tcPr>
            <w:tcW w:type="dxa" w:w="1661"/>
          </w:tcPr>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在评标过程中，有下列情形之一的，评标委员会将启动异常低价响应审查程序：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4.评标委员会基于专业判断，认为供应商报价过低，有可能影响产品质量或者不能诚信履约的其他情形。 有以上情形的，供应商在接到通知时间起30分钟内提交书面说明（未在规定时间内提交书面说明的按低于成本价，按无效响应处理），书面说明应当按照国家财务会计制度的规定要求，逐项就供应商提供的货物、工程和服务的主营业务成本（应根据供应商企业类型予以区别）、税金及附加、销售费用、管理费用、财务费用等成本构成事项详细陈述。供应商提交的相关说明和证明材料，应当加盖供应商（法定名称）电子印章，在30分钟内通过项目电子化交易系统进行提交，否则提交的相关证明材料无效。供应商不能证明其响应报价合理性的，评标委员会将其谈判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谈判响应文件完整性</w:t>
            </w:r>
          </w:p>
        </w:tc>
        <w:tc>
          <w:tcPr>
            <w:tcW w:type="dxa" w:w="3322"/>
          </w:tcPr>
          <w:p>
            <w:pPr>
              <w:pStyle w:val="null3"/>
            </w:pPr>
            <w:r>
              <w:rPr>
                <w:rFonts w:ascii="仿宋_GB2312" w:hAnsi="仿宋_GB2312" w:cs="仿宋_GB2312" w:eastAsia="仿宋_GB2312"/>
              </w:rPr>
              <w:t>谈判响应文件构成无重大缺项，按照谈判文件要求的格式编写谈判响应文件</w:t>
            </w:r>
          </w:p>
        </w:tc>
        <w:tc>
          <w:tcPr>
            <w:tcW w:type="dxa" w:w="1661"/>
          </w:tcPr>
          <w:p>
            <w:pPr>
              <w:pStyle w:val="null3"/>
            </w:pPr>
            <w:r>
              <w:rPr>
                <w:rFonts w:ascii="仿宋_GB2312" w:hAnsi="仿宋_GB2312" w:cs="仿宋_GB2312" w:eastAsia="仿宋_GB2312"/>
              </w:rPr>
              <w:t>响应文件封面 本国产品说明 中小企业声明函 残疾人福利性单位声明函 标的清单 关于符合本国产品标准的声明函 报价表 中国境内生产的组件成本核算基本规则 响应函 其他附件.docx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谈判响应文件有效性</w:t>
            </w:r>
          </w:p>
        </w:tc>
        <w:tc>
          <w:tcPr>
            <w:tcW w:type="dxa" w:w="3322"/>
          </w:tcPr>
          <w:p>
            <w:pPr>
              <w:pStyle w:val="null3"/>
            </w:pPr>
            <w:r>
              <w:rPr>
                <w:rFonts w:ascii="仿宋_GB2312" w:hAnsi="仿宋_GB2312" w:cs="仿宋_GB2312" w:eastAsia="仿宋_GB2312"/>
              </w:rPr>
              <w:t>谈判响应文件的签署、盖章符合谈判文件要求，供应商递交的谈判响应文件与本项目名称一致</w:t>
            </w:r>
          </w:p>
        </w:tc>
        <w:tc>
          <w:tcPr>
            <w:tcW w:type="dxa" w:w="1661"/>
          </w:tcPr>
          <w:p>
            <w:pPr>
              <w:pStyle w:val="null3"/>
            </w:pPr>
            <w:r>
              <w:rPr>
                <w:rFonts w:ascii="仿宋_GB2312" w:hAnsi="仿宋_GB2312" w:cs="仿宋_GB2312" w:eastAsia="仿宋_GB2312"/>
              </w:rPr>
              <w:t>响应文件封面 本国产品说明 中小企业声明函 残疾人福利性单位声明函 标的清单 关于符合本国产品标准的声明函 报价表 中国境内生产的组件成本核算基本规则 响应函 其他附件.docx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谈判有效期授权有效期</w:t>
            </w:r>
          </w:p>
        </w:tc>
        <w:tc>
          <w:tcPr>
            <w:tcW w:type="dxa" w:w="3322"/>
          </w:tcPr>
          <w:p>
            <w:pPr>
              <w:pStyle w:val="null3"/>
            </w:pPr>
            <w:r>
              <w:rPr>
                <w:rFonts w:ascii="仿宋_GB2312" w:hAnsi="仿宋_GB2312" w:cs="仿宋_GB2312" w:eastAsia="仿宋_GB2312"/>
              </w:rPr>
              <w:t>满足谈判文件中的规定</w:t>
            </w:r>
          </w:p>
        </w:tc>
        <w:tc>
          <w:tcPr>
            <w:tcW w:type="dxa" w:w="1661"/>
          </w:tcPr>
          <w:p>
            <w:pPr>
              <w:pStyle w:val="null3"/>
            </w:pPr>
            <w:r>
              <w:rPr>
                <w:rFonts w:ascii="仿宋_GB2312" w:hAnsi="仿宋_GB2312" w:cs="仿宋_GB2312" w:eastAsia="仿宋_GB2312"/>
              </w:rPr>
              <w:t>响应文件封面 本国产品说明 中小企业声明函 残疾人福利性单位声明函 标的清单 关于符合本国产品标准的声明函 报价表 中国境内生产的组件成本核算基本规则 响应函 其他附件.docx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谈判响应文件响应内容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w:t>
            </w:r>
          </w:p>
        </w:tc>
        <w:tc>
          <w:tcPr>
            <w:tcW w:type="dxa" w:w="1661"/>
          </w:tcPr>
          <w:p>
            <w:pPr>
              <w:pStyle w:val="null3"/>
            </w:pPr>
            <w:r>
              <w:rPr>
                <w:rFonts w:ascii="仿宋_GB2312" w:hAnsi="仿宋_GB2312" w:cs="仿宋_GB2312" w:eastAsia="仿宋_GB2312"/>
              </w:rPr>
              <w:t>响应文件封面 本国产品说明 中小企业声明函 残疾人福利性单位声明函 标的清单 关于符合本国产品标准的声明函 报价表 中国境内生产的组件成本核算基本规则 响应函 其他附件.docx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无谈判文件中规定的无效情形</w:t>
            </w:r>
          </w:p>
        </w:tc>
        <w:tc>
          <w:tcPr>
            <w:tcW w:type="dxa" w:w="1661"/>
          </w:tcPr>
          <w:p>
            <w:pPr>
              <w:pStyle w:val="null3"/>
            </w:pPr>
            <w:r>
              <w:rPr>
                <w:rFonts w:ascii="仿宋_GB2312" w:hAnsi="仿宋_GB2312" w:cs="仿宋_GB2312" w:eastAsia="仿宋_GB2312"/>
              </w:rPr>
              <w:t>响应文件封面 本国产品说明 中小企业声明函 残疾人福利性单位声明函 标的清单 关于符合本国产品标准的声明函 报价表 中国境内生产的组件成本核算基本规则 响应函 其他附件.docx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