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6EE2F">
      <w:pPr>
        <w:autoSpaceDE w:val="0"/>
        <w:autoSpaceDN w:val="0"/>
        <w:adjustRightInd w:val="0"/>
        <w:spacing w:line="360" w:lineRule="auto"/>
        <w:ind w:firstLine="402" w:firstLineChars="200"/>
        <w:jc w:val="center"/>
        <w:rPr>
          <w:rFonts w:hint="eastAsia" w:ascii="宋体" w:hAnsi="宋体" w:eastAsia="宋体" w:cs="宋体"/>
          <w:b/>
          <w:sz w:val="20"/>
          <w:szCs w:val="20"/>
          <w:highlight w:val="none"/>
        </w:rPr>
      </w:pPr>
      <w:r>
        <w:rPr>
          <w:rFonts w:hint="eastAsia" w:ascii="宋体" w:hAnsi="宋体" w:eastAsia="宋体" w:cs="宋体"/>
          <w:b/>
          <w:bCs/>
          <w:sz w:val="20"/>
          <w:szCs w:val="20"/>
          <w:highlight w:val="none"/>
        </w:rPr>
        <w:t>拟签订的合同文本</w:t>
      </w:r>
    </w:p>
    <w:p w14:paraId="4A97BB5D">
      <w:pPr>
        <w:autoSpaceDE w:val="0"/>
        <w:autoSpaceDN w:val="0"/>
        <w:adjustRightInd w:val="0"/>
        <w:spacing w:line="360" w:lineRule="auto"/>
        <w:ind w:firstLine="402" w:firstLineChars="200"/>
        <w:jc w:val="center"/>
        <w:rPr>
          <w:rFonts w:hint="eastAsia" w:ascii="宋体" w:hAnsi="宋体" w:eastAsia="宋体" w:cs="宋体"/>
          <w:b/>
          <w:bCs/>
          <w:kern w:val="2"/>
          <w:sz w:val="20"/>
          <w:szCs w:val="20"/>
          <w:highlight w:val="none"/>
          <w:lang w:val="zh-CN"/>
        </w:rPr>
      </w:pPr>
      <w:r>
        <w:rPr>
          <w:rFonts w:hint="eastAsia" w:ascii="宋体" w:hAnsi="宋体" w:eastAsia="宋体" w:cs="宋体"/>
          <w:b/>
          <w:sz w:val="20"/>
          <w:szCs w:val="20"/>
          <w:highlight w:val="none"/>
        </w:rPr>
        <w:t>（合同模板仅供参考，具体以实际签订合同为准）</w:t>
      </w:r>
    </w:p>
    <w:p w14:paraId="55EFFCFD">
      <w:pPr>
        <w:widowControl w:val="0"/>
        <w:tabs>
          <w:tab w:val="left" w:pos="735"/>
        </w:tabs>
        <w:autoSpaceDE w:val="0"/>
        <w:autoSpaceDN w:val="0"/>
        <w:adjustRightInd w:val="0"/>
        <w:snapToGrid w:val="0"/>
        <w:spacing w:before="420" w:beforeLines="100" w:line="360" w:lineRule="auto"/>
        <w:ind w:firstLine="629"/>
        <w:jc w:val="both"/>
        <w:rPr>
          <w:rFonts w:hint="eastAsia" w:ascii="宋体" w:hAnsi="宋体" w:eastAsia="宋体" w:cs="宋体"/>
          <w:b/>
          <w:bCs/>
          <w:kern w:val="2"/>
          <w:sz w:val="20"/>
          <w:szCs w:val="20"/>
          <w:highlight w:val="none"/>
          <w:lang w:val="zh-CN"/>
        </w:rPr>
      </w:pPr>
      <w:r>
        <w:rPr>
          <w:rFonts w:hint="eastAsia" w:ascii="宋体" w:hAnsi="宋体" w:eastAsia="宋体" w:cs="宋体"/>
          <w:b/>
          <w:bCs/>
          <w:kern w:val="2"/>
          <w:sz w:val="20"/>
          <w:szCs w:val="20"/>
          <w:highlight w:val="none"/>
          <w:lang w:val="zh-CN"/>
        </w:rPr>
        <w:t>甲方：</w:t>
      </w:r>
      <w:r>
        <w:rPr>
          <w:rFonts w:hint="eastAsia" w:ascii="宋体" w:hAnsi="宋体" w:eastAsia="宋体" w:cs="宋体"/>
          <w:bCs/>
          <w:kern w:val="2"/>
          <w:sz w:val="20"/>
          <w:szCs w:val="20"/>
          <w:highlight w:val="none"/>
          <w:lang w:val="zh-CN"/>
        </w:rPr>
        <w:t xml:space="preserve">（前款所称采购人）     </w:t>
      </w:r>
    </w:p>
    <w:p w14:paraId="72C9561E">
      <w:pPr>
        <w:widowControl w:val="0"/>
        <w:tabs>
          <w:tab w:val="left" w:pos="735"/>
        </w:tabs>
        <w:autoSpaceDE w:val="0"/>
        <w:autoSpaceDN w:val="0"/>
        <w:adjustRightInd w:val="0"/>
        <w:snapToGrid w:val="0"/>
        <w:spacing w:line="360" w:lineRule="auto"/>
        <w:ind w:firstLine="631"/>
        <w:jc w:val="both"/>
        <w:rPr>
          <w:rFonts w:hint="eastAsia" w:ascii="宋体" w:hAnsi="宋体" w:eastAsia="宋体" w:cs="宋体"/>
          <w:bCs/>
          <w:kern w:val="2"/>
          <w:sz w:val="20"/>
          <w:szCs w:val="20"/>
          <w:highlight w:val="none"/>
          <w:lang w:val="zh-CN"/>
        </w:rPr>
      </w:pPr>
      <w:r>
        <w:rPr>
          <w:rFonts w:hint="eastAsia" w:ascii="宋体" w:hAnsi="宋体" w:eastAsia="宋体" w:cs="宋体"/>
          <w:b/>
          <w:bCs/>
          <w:kern w:val="2"/>
          <w:sz w:val="20"/>
          <w:szCs w:val="20"/>
          <w:highlight w:val="none"/>
          <w:lang w:val="zh-CN"/>
        </w:rPr>
        <w:t>乙方：</w:t>
      </w:r>
      <w:r>
        <w:rPr>
          <w:rFonts w:hint="eastAsia" w:ascii="宋体" w:hAnsi="宋体" w:eastAsia="宋体" w:cs="宋体"/>
          <w:bCs/>
          <w:kern w:val="2"/>
          <w:sz w:val="20"/>
          <w:szCs w:val="20"/>
          <w:highlight w:val="none"/>
          <w:lang w:val="zh-CN"/>
        </w:rPr>
        <w:t>（前款所称</w:t>
      </w:r>
      <w:r>
        <w:rPr>
          <w:rFonts w:hint="eastAsia" w:ascii="宋体" w:hAnsi="宋体" w:eastAsia="宋体" w:cs="宋体"/>
          <w:bCs/>
          <w:kern w:val="2"/>
          <w:sz w:val="20"/>
          <w:szCs w:val="20"/>
          <w:highlight w:val="none"/>
          <w:lang w:val="en-US" w:eastAsia="zh-CN"/>
        </w:rPr>
        <w:t>成交供应商</w:t>
      </w:r>
      <w:r>
        <w:rPr>
          <w:rFonts w:hint="eastAsia" w:ascii="宋体" w:hAnsi="宋体" w:eastAsia="宋体" w:cs="宋体"/>
          <w:bCs/>
          <w:kern w:val="2"/>
          <w:sz w:val="20"/>
          <w:szCs w:val="20"/>
          <w:highlight w:val="none"/>
          <w:lang w:val="zh-CN"/>
        </w:rPr>
        <w:t xml:space="preserve">）     </w:t>
      </w:r>
    </w:p>
    <w:p w14:paraId="30F99F6E">
      <w:pPr>
        <w:widowControl w:val="0"/>
        <w:numPr>
          <w:ilvl w:val="0"/>
          <w:numId w:val="0"/>
        </w:numPr>
        <w:adjustRightInd w:val="0"/>
        <w:snapToGrid w:val="0"/>
        <w:spacing w:line="360" w:lineRule="auto"/>
        <w:ind w:firstLine="402" w:firstLineChars="200"/>
        <w:jc w:val="both"/>
        <w:rPr>
          <w:rFonts w:hint="eastAsia" w:ascii="宋体" w:hAnsi="宋体" w:eastAsia="宋体" w:cs="宋体"/>
          <w:b/>
          <w:kern w:val="2"/>
          <w:sz w:val="20"/>
          <w:szCs w:val="20"/>
          <w:highlight w:val="none"/>
        </w:rPr>
      </w:pPr>
      <w:bookmarkStart w:id="0" w:name="_Toc19515384"/>
      <w:r>
        <w:rPr>
          <w:rFonts w:hint="eastAsia" w:ascii="宋体" w:hAnsi="宋体" w:eastAsia="宋体" w:cs="宋体"/>
          <w:b/>
          <w:kern w:val="2"/>
          <w:sz w:val="20"/>
          <w:szCs w:val="20"/>
          <w:highlight w:val="none"/>
          <w:lang w:val="en-US" w:eastAsia="en-US" w:bidi="ar-SA"/>
        </w:rPr>
        <w:t>一、</w:t>
      </w:r>
      <w:r>
        <w:rPr>
          <w:rFonts w:hint="eastAsia" w:ascii="宋体" w:hAnsi="宋体" w:eastAsia="宋体" w:cs="宋体"/>
          <w:b/>
          <w:kern w:val="2"/>
          <w:sz w:val="20"/>
          <w:szCs w:val="20"/>
          <w:highlight w:val="none"/>
          <w:lang w:val="en-US" w:eastAsia="zh-CN" w:bidi="ar-SA"/>
        </w:rPr>
        <w:t>项目</w:t>
      </w:r>
      <w:r>
        <w:rPr>
          <w:rFonts w:hint="eastAsia" w:ascii="宋体" w:hAnsi="宋体" w:eastAsia="宋体" w:cs="宋体"/>
          <w:b/>
          <w:kern w:val="2"/>
          <w:sz w:val="20"/>
          <w:szCs w:val="20"/>
          <w:highlight w:val="none"/>
          <w:lang w:val="en-US" w:eastAsia="zh-CN"/>
        </w:rPr>
        <w:t>基本信息</w:t>
      </w:r>
      <w:bookmarkEnd w:id="0"/>
    </w:p>
    <w:p w14:paraId="471C122F">
      <w:pPr>
        <w:adjustRightInd w:val="0"/>
        <w:snapToGrid w:val="0"/>
        <w:spacing w:line="360" w:lineRule="auto"/>
        <w:ind w:firstLine="400" w:firstLineChars="200"/>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1、项目名称：2026年絮凝剂采购</w:t>
      </w:r>
    </w:p>
    <w:p w14:paraId="61B6C685">
      <w:pPr>
        <w:adjustRightInd w:val="0"/>
        <w:snapToGrid w:val="0"/>
        <w:spacing w:line="360" w:lineRule="auto"/>
        <w:ind w:firstLine="400" w:firstLineChars="200"/>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 xml:space="preserve">2、供货期：自合同签订生效之日起到2026年12月31日 </w:t>
      </w:r>
    </w:p>
    <w:p w14:paraId="3447A4C5">
      <w:pPr>
        <w:widowControl w:val="0"/>
        <w:adjustRightInd w:val="0"/>
        <w:snapToGrid w:val="0"/>
        <w:spacing w:line="360" w:lineRule="auto"/>
        <w:ind w:firstLine="400" w:firstLineChars="200"/>
        <w:jc w:val="both"/>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3</w:t>
      </w:r>
      <w:r>
        <w:rPr>
          <w:rFonts w:hint="eastAsia" w:ascii="宋体" w:hAnsi="宋体" w:eastAsia="宋体" w:cs="宋体"/>
          <w:sz w:val="20"/>
          <w:szCs w:val="20"/>
          <w:highlight w:val="none"/>
        </w:rPr>
        <w:t>、</w:t>
      </w:r>
      <w:r>
        <w:rPr>
          <w:rFonts w:hint="eastAsia" w:ascii="宋体" w:hAnsi="宋体" w:eastAsia="宋体" w:cs="宋体"/>
          <w:sz w:val="20"/>
          <w:szCs w:val="20"/>
          <w:highlight w:val="none"/>
          <w:lang w:val="en-US" w:eastAsia="zh-CN"/>
        </w:rPr>
        <w:t>供货地点</w:t>
      </w:r>
      <w:r>
        <w:rPr>
          <w:rFonts w:hint="eastAsia" w:ascii="宋体" w:hAnsi="宋体" w:eastAsia="宋体" w:cs="宋体"/>
          <w:sz w:val="20"/>
          <w:szCs w:val="20"/>
          <w:highlight w:val="none"/>
          <w:lang w:eastAsia="zh-CN"/>
        </w:rPr>
        <w:t>：</w:t>
      </w:r>
      <w:bookmarkStart w:id="1" w:name="_Toc19515385"/>
      <w:r>
        <w:rPr>
          <w:rFonts w:hint="eastAsia" w:ascii="宋体" w:hAnsi="宋体" w:eastAsia="宋体" w:cs="宋体"/>
          <w:sz w:val="20"/>
          <w:szCs w:val="20"/>
          <w:highlight w:val="none"/>
          <w:lang w:val="en-US" w:eastAsia="zh-CN"/>
        </w:rPr>
        <w:t>西安市莲湖区枣园街道大兴西路43号西安市城肥清运处理中心预处理站</w:t>
      </w:r>
    </w:p>
    <w:p w14:paraId="73661367">
      <w:pPr>
        <w:widowControl w:val="0"/>
        <w:adjustRightInd w:val="0"/>
        <w:snapToGrid w:val="0"/>
        <w:spacing w:line="360" w:lineRule="auto"/>
        <w:ind w:firstLine="402" w:firstLineChars="200"/>
        <w:jc w:val="both"/>
        <w:rPr>
          <w:rFonts w:hint="eastAsia" w:ascii="宋体" w:hAnsi="宋体" w:eastAsia="宋体" w:cs="宋体"/>
          <w:b/>
          <w:kern w:val="2"/>
          <w:sz w:val="20"/>
          <w:szCs w:val="20"/>
          <w:highlight w:val="none"/>
        </w:rPr>
      </w:pPr>
      <w:r>
        <w:rPr>
          <w:rFonts w:hint="eastAsia" w:ascii="宋体" w:hAnsi="宋体" w:eastAsia="宋体" w:cs="宋体"/>
          <w:b/>
          <w:kern w:val="2"/>
          <w:sz w:val="20"/>
          <w:szCs w:val="20"/>
          <w:highlight w:val="none"/>
        </w:rPr>
        <w:t>二、合同价款</w:t>
      </w:r>
      <w:bookmarkEnd w:id="1"/>
    </w:p>
    <w:p w14:paraId="2E034B75">
      <w:pPr>
        <w:keepNext w:val="0"/>
        <w:keepLines w:val="0"/>
        <w:pageBreakBefore w:val="0"/>
        <w:widowControl/>
        <w:kinsoku/>
        <w:wordWrap/>
        <w:overflowPunct/>
        <w:topLinePunct w:val="0"/>
        <w:autoSpaceDE/>
        <w:autoSpaceDN/>
        <w:bidi w:val="0"/>
        <w:adjustRightInd w:val="0"/>
        <w:snapToGrid w:val="0"/>
        <w:spacing w:after="0" w:line="360" w:lineRule="auto"/>
        <w:ind w:firstLine="400" w:firstLineChars="200"/>
        <w:jc w:val="left"/>
        <w:textAlignment w:val="auto"/>
        <w:rPr>
          <w:rFonts w:hint="eastAsia" w:ascii="宋体" w:hAnsi="宋体" w:eastAsia="宋体" w:cs="宋体"/>
          <w:b w:val="0"/>
          <w:bCs w:val="0"/>
          <w:sz w:val="20"/>
          <w:szCs w:val="20"/>
          <w:highlight w:val="none"/>
          <w:lang w:eastAsia="zh-CN"/>
        </w:rPr>
      </w:pPr>
      <w:r>
        <w:rPr>
          <w:rFonts w:hint="eastAsia" w:ascii="宋体" w:hAnsi="宋体" w:eastAsia="宋体" w:cs="宋体"/>
          <w:b w:val="0"/>
          <w:bCs w:val="0"/>
          <w:sz w:val="20"/>
          <w:szCs w:val="20"/>
          <w:highlight w:val="none"/>
          <w:lang w:eastAsia="zh-CN"/>
        </w:rPr>
        <w:t>1、合同总价：</w:t>
      </w:r>
    </w:p>
    <w:p w14:paraId="78F80882">
      <w:pPr>
        <w:keepNext w:val="0"/>
        <w:keepLines w:val="0"/>
        <w:pageBreakBefore w:val="0"/>
        <w:widowControl/>
        <w:kinsoku/>
        <w:wordWrap/>
        <w:overflowPunct/>
        <w:topLinePunct w:val="0"/>
        <w:autoSpaceDE/>
        <w:autoSpaceDN/>
        <w:bidi w:val="0"/>
        <w:adjustRightInd w:val="0"/>
        <w:snapToGrid w:val="0"/>
        <w:spacing w:after="0" w:line="360" w:lineRule="auto"/>
        <w:ind w:firstLine="400" w:firstLineChars="200"/>
        <w:jc w:val="left"/>
        <w:textAlignment w:val="auto"/>
        <w:rPr>
          <w:rFonts w:hint="eastAsia" w:ascii="宋体" w:hAnsi="宋体" w:eastAsia="宋体" w:cs="宋体"/>
          <w:b w:val="0"/>
          <w:bCs w:val="0"/>
          <w:sz w:val="20"/>
          <w:szCs w:val="20"/>
          <w:highlight w:val="none"/>
          <w:lang w:val="en-US" w:eastAsia="zh-CN"/>
        </w:rPr>
      </w:pPr>
      <w:bookmarkStart w:id="2" w:name="_Toc19515386"/>
      <w:r>
        <w:rPr>
          <w:rFonts w:hint="eastAsia" w:ascii="宋体" w:hAnsi="宋体" w:eastAsia="宋体" w:cs="宋体"/>
          <w:b w:val="0"/>
          <w:bCs w:val="0"/>
          <w:sz w:val="20"/>
          <w:szCs w:val="20"/>
          <w:highlight w:val="none"/>
          <w:lang w:val="en-US" w:eastAsia="zh-CN"/>
        </w:rPr>
        <w:t>2、</w:t>
      </w:r>
      <w:r>
        <w:rPr>
          <w:rFonts w:hint="eastAsia" w:ascii="宋体" w:hAnsi="宋体" w:eastAsia="宋体" w:cs="宋体"/>
          <w:b w:val="0"/>
          <w:bCs w:val="0"/>
          <w:sz w:val="20"/>
          <w:szCs w:val="20"/>
          <w:highlight w:val="none"/>
          <w:lang w:eastAsia="zh-CN"/>
        </w:rPr>
        <w:t>合同结算</w:t>
      </w:r>
      <w:bookmarkEnd w:id="2"/>
      <w:r>
        <w:rPr>
          <w:rFonts w:hint="eastAsia" w:ascii="宋体" w:hAnsi="宋体" w:eastAsia="宋体" w:cs="宋体"/>
          <w:b w:val="0"/>
          <w:bCs w:val="0"/>
          <w:sz w:val="20"/>
          <w:szCs w:val="20"/>
          <w:highlight w:val="none"/>
          <w:lang w:eastAsia="zh-CN"/>
        </w:rPr>
        <w:t>：</w:t>
      </w:r>
      <w:r>
        <w:rPr>
          <w:rFonts w:hint="eastAsia" w:ascii="宋体" w:hAnsi="宋体" w:eastAsia="宋体" w:cs="宋体"/>
          <w:b w:val="0"/>
          <w:bCs w:val="0"/>
          <w:sz w:val="20"/>
          <w:szCs w:val="20"/>
          <w:highlight w:val="none"/>
          <w:lang w:val="en-US" w:eastAsia="zh-CN"/>
        </w:rPr>
        <w:t>按需送货，分批付款。第一次送货完成且验收合格，达到付款条件20日内，支付合同价款的40%；第二次送货完成且验收合格，达到付款条件20日内，支付合同价款的30%；第三次送货完成且验收合格，达到付款条件20日内，支付合同价款的30%。</w:t>
      </w:r>
    </w:p>
    <w:p w14:paraId="1B3FBAEF">
      <w:pPr>
        <w:widowControl w:val="0"/>
        <w:adjustRightInd w:val="0"/>
        <w:snapToGrid w:val="0"/>
        <w:spacing w:line="360" w:lineRule="auto"/>
        <w:ind w:firstLine="402" w:firstLineChars="200"/>
        <w:jc w:val="both"/>
        <w:rPr>
          <w:rFonts w:hint="eastAsia" w:ascii="宋体" w:hAnsi="宋体" w:eastAsia="宋体" w:cs="宋体"/>
          <w:b/>
          <w:kern w:val="2"/>
          <w:sz w:val="20"/>
          <w:szCs w:val="20"/>
          <w:highlight w:val="none"/>
          <w:lang w:val="en-US" w:eastAsia="zh-CN"/>
        </w:rPr>
      </w:pPr>
      <w:r>
        <w:rPr>
          <w:rFonts w:hint="eastAsia" w:ascii="宋体" w:hAnsi="宋体" w:eastAsia="宋体" w:cs="宋体"/>
          <w:b/>
          <w:kern w:val="2"/>
          <w:sz w:val="20"/>
          <w:szCs w:val="20"/>
          <w:highlight w:val="none"/>
          <w:lang w:val="en-US" w:eastAsia="zh-CN"/>
        </w:rPr>
        <w:t>三</w:t>
      </w:r>
      <w:r>
        <w:rPr>
          <w:rFonts w:hint="eastAsia" w:ascii="宋体" w:hAnsi="宋体" w:eastAsia="宋体" w:cs="宋体"/>
          <w:b/>
          <w:kern w:val="2"/>
          <w:sz w:val="20"/>
          <w:szCs w:val="20"/>
          <w:highlight w:val="none"/>
        </w:rPr>
        <w:t>、</w:t>
      </w:r>
      <w:r>
        <w:rPr>
          <w:rFonts w:hint="eastAsia" w:ascii="宋体" w:hAnsi="宋体" w:eastAsia="宋体" w:cs="宋体"/>
          <w:b/>
          <w:kern w:val="2"/>
          <w:sz w:val="20"/>
          <w:szCs w:val="20"/>
          <w:highlight w:val="none"/>
          <w:lang w:val="en-US" w:eastAsia="zh-CN"/>
        </w:rPr>
        <w:t>技术要求：</w:t>
      </w:r>
    </w:p>
    <w:p w14:paraId="335ACB22">
      <w:pPr>
        <w:keepNext w:val="0"/>
        <w:keepLines w:val="0"/>
        <w:pageBreakBefore w:val="0"/>
        <w:kinsoku/>
        <w:wordWrap/>
        <w:overflowPunct/>
        <w:topLinePunct w:val="0"/>
        <w:autoSpaceDE/>
        <w:autoSpaceDN/>
        <w:bidi w:val="0"/>
        <w:adjustRightInd w:val="0"/>
        <w:snapToGrid w:val="0"/>
        <w:spacing w:after="0" w:line="360" w:lineRule="auto"/>
        <w:ind w:firstLine="400" w:firstLineChars="200"/>
        <w:jc w:val="left"/>
        <w:textAlignment w:val="auto"/>
        <w:rPr>
          <w:rFonts w:hint="eastAsia" w:ascii="宋体" w:hAnsi="宋体" w:eastAsia="宋体" w:cs="宋体"/>
          <w:b w:val="0"/>
          <w:bCs w:val="0"/>
          <w:sz w:val="20"/>
          <w:szCs w:val="20"/>
          <w:highlight w:val="none"/>
          <w:lang w:val="en-US" w:eastAsia="zh-CN"/>
        </w:rPr>
      </w:pPr>
      <w:bookmarkStart w:id="3" w:name="_Toc19515389"/>
      <w:r>
        <w:rPr>
          <w:rFonts w:hint="eastAsia" w:ascii="宋体" w:hAnsi="宋体" w:eastAsia="宋体" w:cs="宋体"/>
          <w:b w:val="0"/>
          <w:bCs w:val="0"/>
          <w:sz w:val="20"/>
          <w:szCs w:val="20"/>
          <w:highlight w:val="none"/>
          <w:lang w:val="en-US" w:eastAsia="zh-CN"/>
        </w:rPr>
        <w:t>交货地点及要求：供货方负责在要求时间将货物送达我单位，卸货到指定地点并承担所产生费用。</w:t>
      </w:r>
    </w:p>
    <w:p w14:paraId="0E5A2141">
      <w:pPr>
        <w:keepNext w:val="0"/>
        <w:keepLines w:val="0"/>
        <w:pageBreakBefore w:val="0"/>
        <w:kinsoku/>
        <w:wordWrap/>
        <w:overflowPunct/>
        <w:topLinePunct w:val="0"/>
        <w:autoSpaceDE/>
        <w:autoSpaceDN/>
        <w:bidi w:val="0"/>
        <w:adjustRightInd w:val="0"/>
        <w:snapToGrid w:val="0"/>
        <w:spacing w:after="0" w:line="360" w:lineRule="auto"/>
        <w:ind w:firstLine="402" w:firstLineChars="200"/>
        <w:jc w:val="left"/>
        <w:textAlignment w:val="auto"/>
        <w:rPr>
          <w:rFonts w:hint="eastAsia" w:ascii="宋体" w:hAnsi="宋体" w:eastAsia="宋体" w:cs="宋体"/>
          <w:b/>
          <w:bCs/>
          <w:sz w:val="20"/>
          <w:szCs w:val="20"/>
          <w:highlight w:val="none"/>
          <w:lang w:val="en-US" w:eastAsia="zh-CN"/>
        </w:rPr>
      </w:pPr>
      <w:r>
        <w:rPr>
          <w:rFonts w:hint="eastAsia" w:ascii="宋体" w:hAnsi="宋体" w:eastAsia="宋体" w:cs="宋体"/>
          <w:b/>
          <w:bCs/>
          <w:sz w:val="20"/>
          <w:szCs w:val="20"/>
          <w:highlight w:val="none"/>
          <w:lang w:val="en-US" w:eastAsia="zh-CN"/>
        </w:rPr>
        <w:t>四、</w:t>
      </w:r>
      <w:bookmarkEnd w:id="3"/>
      <w:r>
        <w:rPr>
          <w:rFonts w:hint="eastAsia" w:ascii="宋体" w:hAnsi="宋体" w:eastAsia="宋体" w:cs="宋体"/>
          <w:b/>
          <w:bCs/>
          <w:sz w:val="20"/>
          <w:szCs w:val="20"/>
          <w:highlight w:val="none"/>
          <w:lang w:val="en-US" w:eastAsia="zh-CN"/>
        </w:rPr>
        <w:t>交货、验收要求：</w:t>
      </w:r>
    </w:p>
    <w:p w14:paraId="7B536189">
      <w:pPr>
        <w:keepNext w:val="0"/>
        <w:keepLines w:val="0"/>
        <w:pageBreakBefore w:val="0"/>
        <w:kinsoku/>
        <w:wordWrap/>
        <w:overflowPunct/>
        <w:topLinePunct w:val="0"/>
        <w:autoSpaceDE/>
        <w:autoSpaceDN/>
        <w:bidi w:val="0"/>
        <w:adjustRightInd w:val="0"/>
        <w:snapToGrid w:val="0"/>
        <w:spacing w:after="0" w:line="360" w:lineRule="auto"/>
        <w:ind w:firstLine="400" w:firstLineChars="200"/>
        <w:jc w:val="left"/>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 xml:space="preserve">1、成交供应商对最终的服务质量负完全责任。 </w:t>
      </w:r>
    </w:p>
    <w:p w14:paraId="56AF65C2">
      <w:pPr>
        <w:keepNext w:val="0"/>
        <w:keepLines w:val="0"/>
        <w:pageBreakBefore w:val="0"/>
        <w:kinsoku/>
        <w:wordWrap/>
        <w:overflowPunct/>
        <w:topLinePunct w:val="0"/>
        <w:autoSpaceDE/>
        <w:autoSpaceDN/>
        <w:bidi w:val="0"/>
        <w:adjustRightInd w:val="0"/>
        <w:snapToGrid w:val="0"/>
        <w:spacing w:after="0" w:line="360" w:lineRule="auto"/>
        <w:ind w:firstLine="400" w:firstLineChars="200"/>
        <w:jc w:val="left"/>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2、验收依据：（1）合同；（2）国家有关的验收标准及规范；（3）竞争性谈判文件、竞争性谈判响应文件。</w:t>
      </w:r>
    </w:p>
    <w:p w14:paraId="03DEFC29">
      <w:pPr>
        <w:keepNext w:val="0"/>
        <w:keepLines w:val="0"/>
        <w:pageBreakBefore w:val="0"/>
        <w:kinsoku/>
        <w:wordWrap/>
        <w:overflowPunct/>
        <w:topLinePunct w:val="0"/>
        <w:autoSpaceDE/>
        <w:autoSpaceDN/>
        <w:bidi w:val="0"/>
        <w:adjustRightInd w:val="0"/>
        <w:snapToGrid w:val="0"/>
        <w:spacing w:after="0" w:line="360" w:lineRule="auto"/>
        <w:ind w:firstLine="400" w:firstLineChars="200"/>
        <w:jc w:val="left"/>
        <w:textAlignment w:val="auto"/>
        <w:rPr>
          <w:rFonts w:hint="eastAsia" w:ascii="宋体" w:hAnsi="宋体" w:eastAsia="宋体" w:cs="宋体"/>
          <w:b w:val="0"/>
          <w:bCs w:val="0"/>
          <w:sz w:val="20"/>
          <w:szCs w:val="20"/>
          <w:highlight w:val="none"/>
          <w:lang w:val="en-US" w:eastAsia="zh-CN"/>
        </w:rPr>
      </w:pPr>
      <w:r>
        <w:rPr>
          <w:rFonts w:hint="eastAsia" w:ascii="宋体" w:hAnsi="宋体" w:eastAsia="宋体" w:cs="宋体"/>
          <w:b w:val="0"/>
          <w:bCs w:val="0"/>
          <w:sz w:val="20"/>
          <w:szCs w:val="20"/>
          <w:highlight w:val="none"/>
          <w:lang w:val="en-US" w:eastAsia="zh-CN"/>
        </w:rPr>
        <w:t>验收要求：</w:t>
      </w:r>
    </w:p>
    <w:p w14:paraId="17938C2C">
      <w:pPr>
        <w:keepNext w:val="0"/>
        <w:keepLines w:val="0"/>
        <w:pageBreakBefore w:val="0"/>
        <w:kinsoku/>
        <w:wordWrap/>
        <w:overflowPunct/>
        <w:topLinePunct w:val="0"/>
        <w:autoSpaceDE/>
        <w:autoSpaceDN/>
        <w:bidi w:val="0"/>
        <w:adjustRightInd w:val="0"/>
        <w:snapToGrid w:val="0"/>
        <w:spacing w:after="0" w:line="360" w:lineRule="auto"/>
        <w:ind w:firstLine="400" w:firstLineChars="200"/>
        <w:jc w:val="left"/>
        <w:textAlignment w:val="auto"/>
        <w:rPr>
          <w:rFonts w:hint="eastAsia" w:ascii="宋体" w:hAnsi="宋体" w:eastAsia="宋体" w:cs="宋体"/>
          <w:b w:val="0"/>
          <w:bCs w:val="0"/>
          <w:sz w:val="20"/>
          <w:szCs w:val="20"/>
          <w:highlight w:val="none"/>
          <w:lang w:val="en-US" w:eastAsia="zh-CN"/>
        </w:rPr>
      </w:pPr>
      <w:r>
        <w:rPr>
          <w:rFonts w:hint="eastAsia" w:ascii="宋体" w:hAnsi="宋体" w:eastAsia="宋体" w:cs="宋体"/>
          <w:b w:val="0"/>
          <w:bCs w:val="0"/>
          <w:sz w:val="20"/>
          <w:szCs w:val="20"/>
          <w:highlight w:val="none"/>
          <w:lang w:val="en-US" w:eastAsia="zh-CN"/>
        </w:rPr>
        <w:t>标的物为原厂产品，不得二次加工；</w:t>
      </w:r>
    </w:p>
    <w:p w14:paraId="5C832E21">
      <w:pPr>
        <w:keepNext w:val="0"/>
        <w:keepLines w:val="0"/>
        <w:pageBreakBefore w:val="0"/>
        <w:kinsoku/>
        <w:wordWrap/>
        <w:overflowPunct/>
        <w:topLinePunct w:val="0"/>
        <w:autoSpaceDE/>
        <w:autoSpaceDN/>
        <w:bidi w:val="0"/>
        <w:adjustRightInd w:val="0"/>
        <w:snapToGrid w:val="0"/>
        <w:spacing w:after="0" w:line="360" w:lineRule="auto"/>
        <w:ind w:firstLine="400" w:firstLineChars="200"/>
        <w:jc w:val="left"/>
        <w:textAlignment w:val="auto"/>
        <w:rPr>
          <w:rFonts w:hint="eastAsia" w:ascii="宋体" w:hAnsi="宋体" w:eastAsia="宋体" w:cs="宋体"/>
          <w:b w:val="0"/>
          <w:bCs w:val="0"/>
          <w:sz w:val="20"/>
          <w:szCs w:val="20"/>
          <w:highlight w:val="none"/>
          <w:lang w:val="en-US" w:eastAsia="zh-CN"/>
        </w:rPr>
      </w:pPr>
      <w:r>
        <w:rPr>
          <w:rFonts w:hint="eastAsia" w:ascii="宋体" w:hAnsi="宋体" w:eastAsia="宋体" w:cs="宋体"/>
          <w:b w:val="0"/>
          <w:bCs w:val="0"/>
          <w:sz w:val="20"/>
          <w:szCs w:val="20"/>
          <w:highlight w:val="none"/>
          <w:lang w:val="en-US" w:eastAsia="zh-CN"/>
        </w:rPr>
        <w:t>与规定的质量、规格等要求相符；</w:t>
      </w:r>
    </w:p>
    <w:p w14:paraId="2A66B498">
      <w:pPr>
        <w:keepNext w:val="0"/>
        <w:keepLines w:val="0"/>
        <w:pageBreakBefore w:val="0"/>
        <w:kinsoku/>
        <w:wordWrap/>
        <w:overflowPunct/>
        <w:topLinePunct w:val="0"/>
        <w:autoSpaceDE/>
        <w:autoSpaceDN/>
        <w:bidi w:val="0"/>
        <w:adjustRightInd w:val="0"/>
        <w:snapToGrid w:val="0"/>
        <w:spacing w:after="0" w:line="360" w:lineRule="auto"/>
        <w:ind w:firstLine="400" w:firstLineChars="200"/>
        <w:jc w:val="left"/>
        <w:textAlignment w:val="auto"/>
        <w:rPr>
          <w:rFonts w:hint="eastAsia" w:ascii="宋体" w:hAnsi="宋体" w:eastAsia="宋体" w:cs="宋体"/>
          <w:b w:val="0"/>
          <w:bCs w:val="0"/>
          <w:sz w:val="20"/>
          <w:szCs w:val="20"/>
          <w:highlight w:val="none"/>
          <w:lang w:val="en-US" w:eastAsia="zh-CN"/>
        </w:rPr>
      </w:pPr>
      <w:r>
        <w:rPr>
          <w:rFonts w:hint="eastAsia" w:ascii="宋体" w:hAnsi="宋体" w:eastAsia="宋体" w:cs="宋体"/>
          <w:b w:val="0"/>
          <w:bCs w:val="0"/>
          <w:sz w:val="20"/>
          <w:szCs w:val="20"/>
          <w:highlight w:val="none"/>
          <w:lang w:val="en-US" w:eastAsia="zh-CN"/>
        </w:rPr>
        <w:t>每一批次均应提供产品质量合格证书（质量标准认证）、产品检验报告（技术性说明资料）、海关通行证（进口絮凝剂）等相关材料；</w:t>
      </w:r>
    </w:p>
    <w:p w14:paraId="2CF3BEDE">
      <w:pPr>
        <w:keepNext w:val="0"/>
        <w:keepLines w:val="0"/>
        <w:pageBreakBefore w:val="0"/>
        <w:kinsoku/>
        <w:wordWrap/>
        <w:overflowPunct/>
        <w:topLinePunct w:val="0"/>
        <w:autoSpaceDE/>
        <w:autoSpaceDN/>
        <w:bidi w:val="0"/>
        <w:adjustRightInd w:val="0"/>
        <w:snapToGrid w:val="0"/>
        <w:spacing w:after="0" w:line="360" w:lineRule="auto"/>
        <w:ind w:firstLine="400" w:firstLineChars="200"/>
        <w:jc w:val="left"/>
        <w:textAlignment w:val="auto"/>
        <w:rPr>
          <w:rFonts w:hint="eastAsia" w:ascii="宋体" w:hAnsi="宋体" w:eastAsia="宋体" w:cs="宋体"/>
          <w:highlight w:val="none"/>
          <w:lang w:val="en-US" w:eastAsia="zh-CN"/>
        </w:rPr>
      </w:pPr>
      <w:r>
        <w:rPr>
          <w:rFonts w:hint="eastAsia" w:ascii="宋体" w:hAnsi="宋体" w:eastAsia="宋体" w:cs="宋体"/>
          <w:b w:val="0"/>
          <w:bCs w:val="0"/>
          <w:sz w:val="20"/>
          <w:szCs w:val="20"/>
          <w:highlight w:val="none"/>
          <w:lang w:val="en-US" w:eastAsia="zh-CN"/>
        </w:rPr>
        <w:t>质保期内不可出现分层、沉淀或凝聚现象等现象；</w:t>
      </w:r>
    </w:p>
    <w:p w14:paraId="2AE44A93">
      <w:pPr>
        <w:keepNext w:val="0"/>
        <w:keepLines w:val="0"/>
        <w:pageBreakBefore w:val="0"/>
        <w:kinsoku/>
        <w:wordWrap/>
        <w:overflowPunct/>
        <w:topLinePunct w:val="0"/>
        <w:autoSpaceDE/>
        <w:autoSpaceDN/>
        <w:bidi w:val="0"/>
        <w:adjustRightInd w:val="0"/>
        <w:snapToGrid w:val="0"/>
        <w:spacing w:after="0" w:line="360" w:lineRule="auto"/>
        <w:ind w:firstLine="400" w:firstLineChars="200"/>
        <w:jc w:val="left"/>
        <w:textAlignment w:val="auto"/>
        <w:rPr>
          <w:rFonts w:hint="eastAsia" w:ascii="宋体" w:hAnsi="宋体" w:eastAsia="宋体" w:cs="宋体"/>
          <w:highlight w:val="none"/>
          <w:lang w:val="en-US" w:eastAsia="zh-CN"/>
        </w:rPr>
      </w:pPr>
      <w:r>
        <w:rPr>
          <w:rFonts w:hint="eastAsia" w:ascii="宋体" w:hAnsi="宋体" w:eastAsia="宋体" w:cs="宋体"/>
          <w:sz w:val="20"/>
          <w:szCs w:val="20"/>
          <w:highlight w:val="none"/>
          <w:lang w:val="en-US" w:eastAsia="zh-CN"/>
        </w:rPr>
        <w:t>质量保修范围和保修期：整个合同生效期。乙方接到甲方关于加药装置运转有异常、絮凝脱水处理效果异常通知后，乙方售后人员需在24小时内到达甲方单位，进行响应，排除问题。</w:t>
      </w:r>
      <w:r>
        <w:rPr>
          <w:rFonts w:hint="eastAsia" w:ascii="宋体" w:hAnsi="宋体" w:eastAsia="宋体" w:cs="宋体"/>
          <w:highlight w:val="none"/>
          <w:lang w:val="en-US" w:eastAsia="zh-CN"/>
        </w:rPr>
        <w:t xml:space="preserve"> </w:t>
      </w:r>
    </w:p>
    <w:p w14:paraId="14158285">
      <w:pPr>
        <w:keepNext w:val="0"/>
        <w:keepLines w:val="0"/>
        <w:pageBreakBefore w:val="0"/>
        <w:kinsoku/>
        <w:wordWrap/>
        <w:overflowPunct/>
        <w:topLinePunct w:val="0"/>
        <w:autoSpaceDE/>
        <w:autoSpaceDN/>
        <w:bidi w:val="0"/>
        <w:adjustRightInd w:val="0"/>
        <w:snapToGrid w:val="0"/>
        <w:spacing w:after="0" w:line="360" w:lineRule="auto"/>
        <w:ind w:firstLine="402" w:firstLineChars="200"/>
        <w:jc w:val="left"/>
        <w:textAlignment w:val="auto"/>
        <w:rPr>
          <w:rFonts w:hint="eastAsia" w:ascii="宋体" w:hAnsi="宋体" w:eastAsia="宋体" w:cs="宋体"/>
          <w:b/>
          <w:bCs/>
          <w:sz w:val="20"/>
          <w:szCs w:val="20"/>
          <w:highlight w:val="none"/>
          <w:lang w:val="en-US" w:eastAsia="zh-CN"/>
        </w:rPr>
      </w:pPr>
      <w:bookmarkStart w:id="4" w:name="_Toc19515392"/>
      <w:r>
        <w:rPr>
          <w:rFonts w:hint="eastAsia" w:ascii="宋体" w:hAnsi="宋体" w:eastAsia="宋体" w:cs="宋体"/>
          <w:b/>
          <w:bCs/>
          <w:sz w:val="20"/>
          <w:szCs w:val="20"/>
          <w:highlight w:val="none"/>
          <w:lang w:val="en-US" w:eastAsia="zh-CN"/>
        </w:rPr>
        <w:t>五、违约责任</w:t>
      </w:r>
      <w:bookmarkEnd w:id="4"/>
    </w:p>
    <w:p w14:paraId="183CE4C9">
      <w:pPr>
        <w:keepNext w:val="0"/>
        <w:keepLines w:val="0"/>
        <w:pageBreakBefore w:val="0"/>
        <w:widowControl w:val="0"/>
        <w:kinsoku/>
        <w:wordWrap/>
        <w:overflowPunct/>
        <w:topLinePunct w:val="0"/>
        <w:autoSpaceDE/>
        <w:autoSpaceDN/>
        <w:bidi w:val="0"/>
        <w:adjustRightInd w:val="0"/>
        <w:snapToGrid w:val="0"/>
        <w:spacing w:after="0" w:line="360" w:lineRule="auto"/>
        <w:ind w:firstLine="400" w:firstLineChars="200"/>
        <w:jc w:val="left"/>
        <w:textAlignment w:val="auto"/>
        <w:rPr>
          <w:rFonts w:hint="eastAsia" w:ascii="宋体" w:hAnsi="宋体" w:eastAsia="宋体" w:cs="宋体"/>
          <w:kern w:val="2"/>
          <w:sz w:val="20"/>
          <w:szCs w:val="20"/>
          <w:highlight w:val="none"/>
          <w:lang w:val="en-US" w:eastAsia="zh-CN"/>
        </w:rPr>
      </w:pPr>
      <w:r>
        <w:rPr>
          <w:rFonts w:hint="eastAsia" w:ascii="宋体" w:hAnsi="宋体" w:eastAsia="宋体" w:cs="宋体"/>
          <w:kern w:val="2"/>
          <w:sz w:val="20"/>
          <w:szCs w:val="20"/>
          <w:highlight w:val="none"/>
          <w:lang w:val="en-US" w:eastAsia="zh-CN"/>
        </w:rPr>
        <w:t>1、违约责任按《中华人民共和国民法典》处理中的相关条款执行。</w:t>
      </w:r>
    </w:p>
    <w:p w14:paraId="7321BCE5">
      <w:pPr>
        <w:keepNext w:val="0"/>
        <w:keepLines w:val="0"/>
        <w:pageBreakBefore w:val="0"/>
        <w:widowControl w:val="0"/>
        <w:kinsoku/>
        <w:wordWrap/>
        <w:overflowPunct/>
        <w:topLinePunct w:val="0"/>
        <w:autoSpaceDE/>
        <w:autoSpaceDN/>
        <w:bidi w:val="0"/>
        <w:adjustRightInd w:val="0"/>
        <w:snapToGrid w:val="0"/>
        <w:spacing w:after="0" w:line="360" w:lineRule="auto"/>
        <w:ind w:firstLine="400" w:firstLineChars="200"/>
        <w:jc w:val="left"/>
        <w:textAlignment w:val="auto"/>
        <w:rPr>
          <w:rFonts w:hint="eastAsia" w:ascii="宋体" w:hAnsi="宋体" w:eastAsia="宋体" w:cs="宋体"/>
          <w:kern w:val="2"/>
          <w:sz w:val="20"/>
          <w:szCs w:val="20"/>
          <w:highlight w:val="none"/>
          <w:lang w:val="en-US" w:eastAsia="zh-CN"/>
        </w:rPr>
      </w:pPr>
      <w:r>
        <w:rPr>
          <w:rFonts w:hint="eastAsia" w:ascii="宋体" w:hAnsi="宋体" w:eastAsia="宋体" w:cs="宋体"/>
          <w:kern w:val="2"/>
          <w:sz w:val="20"/>
          <w:szCs w:val="20"/>
          <w:highlight w:val="none"/>
          <w:lang w:val="en-US" w:eastAsia="zh-CN"/>
        </w:rPr>
        <w:t>2、乙方未按合同要求提供货物或质量不能满足技术要求，甲方会同监督机构有权终止合同，对乙方违约行为进行追究，同时按政府采购法的有关规定进行相应的处罚。</w:t>
      </w:r>
    </w:p>
    <w:p w14:paraId="7058A123">
      <w:pPr>
        <w:keepNext w:val="0"/>
        <w:keepLines w:val="0"/>
        <w:pageBreakBefore w:val="0"/>
        <w:kinsoku/>
        <w:wordWrap/>
        <w:overflowPunct/>
        <w:topLinePunct w:val="0"/>
        <w:autoSpaceDE/>
        <w:autoSpaceDN/>
        <w:bidi w:val="0"/>
        <w:adjustRightInd w:val="0"/>
        <w:snapToGrid w:val="0"/>
        <w:spacing w:after="0" w:line="360" w:lineRule="auto"/>
        <w:ind w:firstLine="402" w:firstLineChars="200"/>
        <w:jc w:val="left"/>
        <w:textAlignment w:val="auto"/>
        <w:rPr>
          <w:rFonts w:hint="eastAsia" w:ascii="宋体" w:hAnsi="宋体" w:eastAsia="宋体" w:cs="宋体"/>
          <w:b/>
          <w:bCs/>
          <w:sz w:val="20"/>
          <w:szCs w:val="20"/>
          <w:highlight w:val="none"/>
        </w:rPr>
      </w:pPr>
      <w:r>
        <w:rPr>
          <w:rFonts w:hint="eastAsia" w:ascii="宋体" w:hAnsi="宋体" w:eastAsia="宋体" w:cs="宋体"/>
          <w:b/>
          <w:bCs/>
          <w:sz w:val="20"/>
          <w:szCs w:val="20"/>
          <w:highlight w:val="none"/>
          <w:lang w:val="en-US" w:eastAsia="zh-CN"/>
        </w:rPr>
        <w:t>六</w:t>
      </w:r>
      <w:r>
        <w:rPr>
          <w:rFonts w:hint="eastAsia" w:ascii="宋体" w:hAnsi="宋体" w:eastAsia="宋体" w:cs="宋体"/>
          <w:b/>
          <w:bCs/>
          <w:sz w:val="20"/>
          <w:szCs w:val="20"/>
          <w:highlight w:val="none"/>
        </w:rPr>
        <w:t>、不可抗力事件处理</w:t>
      </w:r>
    </w:p>
    <w:p w14:paraId="132AB6FA">
      <w:pPr>
        <w:keepNext w:val="0"/>
        <w:keepLines w:val="0"/>
        <w:pageBreakBefore w:val="0"/>
        <w:widowControl w:val="0"/>
        <w:kinsoku/>
        <w:wordWrap/>
        <w:overflowPunct/>
        <w:topLinePunct w:val="0"/>
        <w:autoSpaceDE/>
        <w:autoSpaceDN/>
        <w:bidi w:val="0"/>
        <w:adjustRightInd w:val="0"/>
        <w:snapToGrid w:val="0"/>
        <w:spacing w:after="0" w:line="360" w:lineRule="auto"/>
        <w:ind w:firstLine="400" w:firstLineChars="200"/>
        <w:jc w:val="left"/>
        <w:textAlignment w:val="auto"/>
        <w:rPr>
          <w:rFonts w:hint="eastAsia" w:ascii="宋体" w:hAnsi="宋体" w:eastAsia="宋体" w:cs="宋体"/>
          <w:kern w:val="2"/>
          <w:sz w:val="20"/>
          <w:szCs w:val="20"/>
          <w:highlight w:val="none"/>
          <w:lang w:val="en-US" w:eastAsia="zh-CN"/>
        </w:rPr>
      </w:pPr>
      <w:r>
        <w:rPr>
          <w:rFonts w:hint="eastAsia" w:ascii="宋体" w:hAnsi="宋体" w:eastAsia="宋体" w:cs="宋体"/>
          <w:kern w:val="2"/>
          <w:sz w:val="20"/>
          <w:szCs w:val="20"/>
          <w:highlight w:val="none"/>
          <w:lang w:val="en-US" w:eastAsia="zh-CN"/>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68BA40A7">
      <w:pPr>
        <w:keepNext w:val="0"/>
        <w:keepLines w:val="0"/>
        <w:pageBreakBefore w:val="0"/>
        <w:widowControl w:val="0"/>
        <w:kinsoku/>
        <w:wordWrap/>
        <w:overflowPunct/>
        <w:topLinePunct w:val="0"/>
        <w:autoSpaceDE/>
        <w:autoSpaceDN/>
        <w:bidi w:val="0"/>
        <w:adjustRightInd w:val="0"/>
        <w:snapToGrid w:val="0"/>
        <w:spacing w:after="0" w:line="360" w:lineRule="auto"/>
        <w:ind w:firstLine="400" w:firstLineChars="200"/>
        <w:jc w:val="left"/>
        <w:textAlignment w:val="auto"/>
        <w:rPr>
          <w:rFonts w:hint="eastAsia" w:ascii="宋体" w:hAnsi="宋体" w:eastAsia="宋体" w:cs="宋体"/>
          <w:kern w:val="2"/>
          <w:sz w:val="20"/>
          <w:szCs w:val="20"/>
          <w:highlight w:val="none"/>
          <w:lang w:val="en-US" w:eastAsia="zh-CN"/>
        </w:rPr>
      </w:pPr>
      <w:r>
        <w:rPr>
          <w:rFonts w:hint="eastAsia" w:ascii="宋体" w:hAnsi="宋体" w:eastAsia="宋体" w:cs="宋体"/>
          <w:kern w:val="2"/>
          <w:sz w:val="20"/>
          <w:szCs w:val="20"/>
          <w:highlight w:val="none"/>
          <w:lang w:val="en-US" w:eastAsia="zh-CN"/>
        </w:rPr>
        <w:t>2、本合同中的不可抗力指不能预见、不能避免并不能克服的客观情况。包括但不限于：自然灾害如地震、台风、洪水、火灾；政府行为、法律规定或其适用的变化或者其他任何无法预见、避免或者控制的事件。</w:t>
      </w:r>
    </w:p>
    <w:p w14:paraId="199ACCD8">
      <w:pPr>
        <w:keepNext w:val="0"/>
        <w:keepLines w:val="0"/>
        <w:pageBreakBefore w:val="0"/>
        <w:kinsoku/>
        <w:wordWrap/>
        <w:overflowPunct/>
        <w:topLinePunct w:val="0"/>
        <w:autoSpaceDE/>
        <w:autoSpaceDN/>
        <w:bidi w:val="0"/>
        <w:adjustRightInd w:val="0"/>
        <w:snapToGrid w:val="0"/>
        <w:spacing w:after="0" w:line="360" w:lineRule="auto"/>
        <w:ind w:firstLine="402" w:firstLineChars="200"/>
        <w:jc w:val="left"/>
        <w:textAlignment w:val="auto"/>
        <w:rPr>
          <w:rFonts w:hint="eastAsia" w:ascii="宋体" w:hAnsi="宋体" w:eastAsia="宋体" w:cs="宋体"/>
          <w:b/>
          <w:bCs/>
          <w:sz w:val="20"/>
          <w:szCs w:val="20"/>
          <w:highlight w:val="none"/>
        </w:rPr>
      </w:pPr>
      <w:bookmarkStart w:id="5" w:name="_Toc19515393"/>
      <w:r>
        <w:rPr>
          <w:rFonts w:hint="eastAsia" w:ascii="宋体" w:hAnsi="宋体" w:eastAsia="宋体" w:cs="宋体"/>
          <w:b/>
          <w:bCs/>
          <w:sz w:val="20"/>
          <w:szCs w:val="20"/>
          <w:highlight w:val="none"/>
          <w:lang w:val="en-US" w:eastAsia="zh-CN"/>
        </w:rPr>
        <w:t>七</w:t>
      </w:r>
      <w:r>
        <w:rPr>
          <w:rFonts w:hint="eastAsia" w:ascii="宋体" w:hAnsi="宋体" w:eastAsia="宋体" w:cs="宋体"/>
          <w:b/>
          <w:bCs/>
          <w:sz w:val="20"/>
          <w:szCs w:val="20"/>
          <w:highlight w:val="none"/>
        </w:rPr>
        <w:t>、</w:t>
      </w:r>
      <w:bookmarkEnd w:id="5"/>
      <w:bookmarkStart w:id="6" w:name="_Toc19515394"/>
      <w:r>
        <w:rPr>
          <w:rFonts w:hint="eastAsia" w:ascii="宋体" w:hAnsi="宋体" w:eastAsia="宋体" w:cs="宋体"/>
          <w:b/>
          <w:bCs/>
          <w:sz w:val="20"/>
          <w:szCs w:val="20"/>
          <w:highlight w:val="none"/>
        </w:rPr>
        <w:t>解决争议的方法</w:t>
      </w:r>
      <w:bookmarkEnd w:id="6"/>
    </w:p>
    <w:p w14:paraId="62B1494B">
      <w:pPr>
        <w:keepNext w:val="0"/>
        <w:keepLines w:val="0"/>
        <w:pageBreakBefore w:val="0"/>
        <w:widowControl w:val="0"/>
        <w:kinsoku/>
        <w:wordWrap/>
        <w:overflowPunct/>
        <w:topLinePunct w:val="0"/>
        <w:autoSpaceDE/>
        <w:autoSpaceDN/>
        <w:bidi w:val="0"/>
        <w:adjustRightInd w:val="0"/>
        <w:snapToGrid w:val="0"/>
        <w:spacing w:after="0" w:line="360" w:lineRule="auto"/>
        <w:ind w:firstLine="400" w:firstLineChars="200"/>
        <w:jc w:val="left"/>
        <w:textAlignment w:val="auto"/>
        <w:rPr>
          <w:rFonts w:hint="eastAsia" w:ascii="宋体" w:hAnsi="宋体" w:eastAsia="宋体" w:cs="宋体"/>
          <w:kern w:val="2"/>
          <w:sz w:val="20"/>
          <w:szCs w:val="20"/>
          <w:highlight w:val="none"/>
          <w:lang w:val="en-US" w:eastAsia="zh-CN"/>
        </w:rPr>
      </w:pPr>
      <w:r>
        <w:rPr>
          <w:rFonts w:hint="eastAsia" w:ascii="宋体" w:hAnsi="宋体" w:eastAsia="宋体" w:cs="宋体"/>
          <w:kern w:val="2"/>
          <w:sz w:val="20"/>
          <w:szCs w:val="20"/>
          <w:highlight w:val="none"/>
          <w:lang w:val="en-US" w:eastAsia="zh-CN"/>
        </w:rPr>
        <w:t>凡因本合同引起的或与本合同有关的争议，双方应友好协商解决。协商不成时，双方均同意采用以下第（1）种争议解决方式：</w:t>
      </w:r>
    </w:p>
    <w:p w14:paraId="46559F62">
      <w:pPr>
        <w:keepNext w:val="0"/>
        <w:keepLines w:val="0"/>
        <w:pageBreakBefore w:val="0"/>
        <w:widowControl w:val="0"/>
        <w:kinsoku/>
        <w:wordWrap/>
        <w:overflowPunct/>
        <w:topLinePunct w:val="0"/>
        <w:autoSpaceDE/>
        <w:autoSpaceDN/>
        <w:bidi w:val="0"/>
        <w:adjustRightInd w:val="0"/>
        <w:snapToGrid w:val="0"/>
        <w:spacing w:after="0" w:line="360" w:lineRule="auto"/>
        <w:ind w:firstLine="400" w:firstLineChars="200"/>
        <w:jc w:val="left"/>
        <w:textAlignment w:val="auto"/>
        <w:rPr>
          <w:rFonts w:hint="eastAsia" w:ascii="宋体" w:hAnsi="宋体" w:eastAsia="宋体" w:cs="宋体"/>
          <w:kern w:val="2"/>
          <w:sz w:val="20"/>
          <w:szCs w:val="20"/>
          <w:highlight w:val="none"/>
          <w:lang w:val="en-US" w:eastAsia="zh-CN"/>
        </w:rPr>
      </w:pPr>
      <w:r>
        <w:rPr>
          <w:rFonts w:hint="eastAsia" w:ascii="宋体" w:hAnsi="宋体" w:eastAsia="宋体" w:cs="宋体"/>
          <w:kern w:val="2"/>
          <w:sz w:val="20"/>
          <w:szCs w:val="20"/>
          <w:highlight w:val="none"/>
          <w:lang w:val="en-US" w:eastAsia="zh-CN"/>
        </w:rPr>
        <w:t>（1）甲、乙双方均同意向（甲方所在地人民法院）提起诉讼。</w:t>
      </w:r>
    </w:p>
    <w:p w14:paraId="5DD043F9">
      <w:pPr>
        <w:keepNext w:val="0"/>
        <w:keepLines w:val="0"/>
        <w:pageBreakBefore w:val="0"/>
        <w:widowControl w:val="0"/>
        <w:kinsoku/>
        <w:wordWrap/>
        <w:overflowPunct/>
        <w:topLinePunct w:val="0"/>
        <w:autoSpaceDE/>
        <w:autoSpaceDN/>
        <w:bidi w:val="0"/>
        <w:adjustRightInd w:val="0"/>
        <w:snapToGrid w:val="0"/>
        <w:spacing w:after="0" w:line="360" w:lineRule="auto"/>
        <w:ind w:firstLine="400" w:firstLineChars="200"/>
        <w:jc w:val="left"/>
        <w:textAlignment w:val="auto"/>
        <w:rPr>
          <w:rFonts w:hint="eastAsia" w:ascii="宋体" w:hAnsi="宋体" w:eastAsia="宋体" w:cs="宋体"/>
          <w:kern w:val="2"/>
          <w:sz w:val="20"/>
          <w:szCs w:val="20"/>
          <w:highlight w:val="none"/>
          <w:lang w:val="en-US" w:eastAsia="zh-CN"/>
        </w:rPr>
      </w:pPr>
      <w:r>
        <w:rPr>
          <w:rFonts w:hint="eastAsia" w:ascii="宋体" w:hAnsi="宋体" w:eastAsia="宋体" w:cs="宋体"/>
          <w:kern w:val="2"/>
          <w:sz w:val="20"/>
          <w:szCs w:val="20"/>
          <w:highlight w:val="none"/>
          <w:lang w:val="en-US" w:eastAsia="zh-CN"/>
        </w:rPr>
        <w:t>（2）甲、乙双方均同意向（</w:t>
      </w:r>
      <w:r>
        <w:rPr>
          <w:rFonts w:hint="eastAsia" w:ascii="宋体" w:hAnsi="宋体" w:eastAsia="宋体" w:cs="宋体"/>
          <w:kern w:val="2"/>
          <w:sz w:val="20"/>
          <w:szCs w:val="20"/>
          <w:highlight w:val="none"/>
          <w:lang w:val="en-US" w:eastAsia="zh-CN"/>
        </w:rPr>
        <w:fldChar w:fldCharType="begin"/>
      </w:r>
      <w:r>
        <w:rPr>
          <w:rFonts w:hint="eastAsia" w:ascii="宋体" w:hAnsi="宋体" w:eastAsia="宋体" w:cs="宋体"/>
          <w:kern w:val="2"/>
          <w:sz w:val="20"/>
          <w:szCs w:val="20"/>
          <w:highlight w:val="none"/>
          <w:lang w:val="en-US" w:eastAsia="zh-CN"/>
        </w:rPr>
        <w:instrText xml:space="preserve"> HYPERLINK "http://www.baidu.com/s?wd=%E4%BB%B2%E8%A3%81%E5%A7%94%E5%91%98%E4%BC%9A&amp;tn=SE_PcZhidaonwhc_ngpagmjz&amp;rsv_dl=gh_pc_zhidao" \t "_blank" </w:instrText>
      </w:r>
      <w:r>
        <w:rPr>
          <w:rFonts w:hint="eastAsia" w:ascii="宋体" w:hAnsi="宋体" w:eastAsia="宋体" w:cs="宋体"/>
          <w:kern w:val="2"/>
          <w:sz w:val="20"/>
          <w:szCs w:val="20"/>
          <w:highlight w:val="none"/>
          <w:lang w:val="en-US" w:eastAsia="zh-CN"/>
        </w:rPr>
        <w:fldChar w:fldCharType="separate"/>
      </w:r>
      <w:r>
        <w:rPr>
          <w:rFonts w:hint="eastAsia" w:ascii="宋体" w:hAnsi="宋体" w:eastAsia="宋体" w:cs="宋体"/>
          <w:kern w:val="2"/>
          <w:sz w:val="20"/>
          <w:szCs w:val="20"/>
          <w:highlight w:val="none"/>
          <w:lang w:val="en-US" w:eastAsia="zh-CN"/>
        </w:rPr>
        <w:t>仲裁委员会</w:t>
      </w:r>
      <w:r>
        <w:rPr>
          <w:rFonts w:hint="eastAsia" w:ascii="宋体" w:hAnsi="宋体" w:eastAsia="宋体" w:cs="宋体"/>
          <w:kern w:val="2"/>
          <w:sz w:val="20"/>
          <w:szCs w:val="20"/>
          <w:highlight w:val="none"/>
          <w:lang w:val="en-US" w:eastAsia="zh-CN"/>
        </w:rPr>
        <w:fldChar w:fldCharType="end"/>
      </w:r>
      <w:r>
        <w:rPr>
          <w:rFonts w:hint="eastAsia" w:ascii="宋体" w:hAnsi="宋体" w:eastAsia="宋体" w:cs="宋体"/>
          <w:kern w:val="2"/>
          <w:sz w:val="20"/>
          <w:szCs w:val="20"/>
          <w:highlight w:val="none"/>
          <w:lang w:val="en-US" w:eastAsia="zh-CN"/>
        </w:rPr>
        <w:t>）提起仲裁。</w:t>
      </w:r>
    </w:p>
    <w:p w14:paraId="19CC8B57">
      <w:pPr>
        <w:keepNext w:val="0"/>
        <w:keepLines w:val="0"/>
        <w:pageBreakBefore w:val="0"/>
        <w:kinsoku/>
        <w:wordWrap/>
        <w:overflowPunct/>
        <w:topLinePunct w:val="0"/>
        <w:autoSpaceDE/>
        <w:autoSpaceDN/>
        <w:bidi w:val="0"/>
        <w:adjustRightInd w:val="0"/>
        <w:snapToGrid w:val="0"/>
        <w:spacing w:after="0" w:line="360" w:lineRule="auto"/>
        <w:ind w:firstLine="402" w:firstLineChars="200"/>
        <w:jc w:val="left"/>
        <w:textAlignment w:val="auto"/>
        <w:rPr>
          <w:rFonts w:hint="eastAsia" w:ascii="宋体" w:hAnsi="宋体" w:eastAsia="宋体" w:cs="宋体"/>
          <w:b/>
          <w:bCs/>
          <w:sz w:val="20"/>
          <w:szCs w:val="20"/>
          <w:highlight w:val="none"/>
        </w:rPr>
      </w:pPr>
      <w:bookmarkStart w:id="7" w:name="_Toc19515395"/>
      <w:r>
        <w:rPr>
          <w:rFonts w:hint="eastAsia" w:ascii="宋体" w:hAnsi="宋体" w:eastAsia="宋体" w:cs="宋体"/>
          <w:b/>
          <w:bCs/>
          <w:sz w:val="20"/>
          <w:szCs w:val="20"/>
          <w:highlight w:val="none"/>
          <w:lang w:val="en-US" w:eastAsia="zh-CN"/>
        </w:rPr>
        <w:t>八</w:t>
      </w:r>
      <w:r>
        <w:rPr>
          <w:rFonts w:hint="eastAsia" w:ascii="宋体" w:hAnsi="宋体" w:eastAsia="宋体" w:cs="宋体"/>
          <w:b/>
          <w:bCs/>
          <w:sz w:val="20"/>
          <w:szCs w:val="20"/>
          <w:highlight w:val="none"/>
        </w:rPr>
        <w:t>、合同生效及其它</w:t>
      </w:r>
      <w:bookmarkEnd w:id="7"/>
    </w:p>
    <w:p w14:paraId="570A40F3">
      <w:pPr>
        <w:keepNext w:val="0"/>
        <w:keepLines w:val="0"/>
        <w:pageBreakBefore w:val="0"/>
        <w:kinsoku/>
        <w:wordWrap/>
        <w:overflowPunct/>
        <w:topLinePunct w:val="0"/>
        <w:autoSpaceDE/>
        <w:autoSpaceDN/>
        <w:bidi w:val="0"/>
        <w:adjustRightInd w:val="0"/>
        <w:snapToGrid w:val="0"/>
        <w:spacing w:after="0"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1、合同未尽事宜、由甲、乙双方协商，作为合同补充，与原合同具有同等法律效力。</w:t>
      </w:r>
    </w:p>
    <w:p w14:paraId="3F6A9AE5">
      <w:pPr>
        <w:keepNext w:val="0"/>
        <w:keepLines w:val="0"/>
        <w:pageBreakBefore w:val="0"/>
        <w:kinsoku/>
        <w:wordWrap/>
        <w:overflowPunct/>
        <w:topLinePunct w:val="0"/>
        <w:autoSpaceDE/>
        <w:autoSpaceDN/>
        <w:bidi w:val="0"/>
        <w:adjustRightInd w:val="0"/>
        <w:snapToGrid w:val="0"/>
        <w:spacing w:after="0"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2、 本合同一式</w:t>
      </w:r>
      <w:r>
        <w:rPr>
          <w:rFonts w:hint="eastAsia" w:ascii="宋体" w:hAnsi="宋体" w:eastAsia="宋体" w:cs="宋体"/>
          <w:sz w:val="20"/>
          <w:szCs w:val="20"/>
          <w:highlight w:val="none"/>
          <w:u w:val="single"/>
          <w:lang w:val="en-US" w:eastAsia="zh-CN"/>
        </w:rPr>
        <w:t>陆</w:t>
      </w:r>
      <w:r>
        <w:rPr>
          <w:rFonts w:hint="eastAsia" w:ascii="宋体" w:hAnsi="宋体" w:eastAsia="宋体" w:cs="宋体"/>
          <w:sz w:val="20"/>
          <w:szCs w:val="20"/>
          <w:highlight w:val="none"/>
        </w:rPr>
        <w:t>份，甲方、乙方双方分别执</w:t>
      </w:r>
      <w:r>
        <w:rPr>
          <w:rFonts w:hint="eastAsia" w:ascii="宋体" w:hAnsi="宋体" w:eastAsia="宋体" w:cs="宋体"/>
          <w:sz w:val="20"/>
          <w:szCs w:val="20"/>
          <w:highlight w:val="none"/>
          <w:u w:val="single"/>
          <w:lang w:val="en-US" w:eastAsia="zh-CN"/>
        </w:rPr>
        <w:t>叁</w:t>
      </w:r>
      <w:r>
        <w:rPr>
          <w:rFonts w:hint="eastAsia" w:ascii="宋体" w:hAnsi="宋体" w:eastAsia="宋体" w:cs="宋体"/>
          <w:sz w:val="20"/>
          <w:szCs w:val="20"/>
          <w:highlight w:val="none"/>
        </w:rPr>
        <w:t>份。</w:t>
      </w:r>
    </w:p>
    <w:p w14:paraId="77C51D41">
      <w:pPr>
        <w:keepNext w:val="0"/>
        <w:keepLines w:val="0"/>
        <w:pageBreakBefore w:val="0"/>
        <w:kinsoku/>
        <w:wordWrap/>
        <w:overflowPunct/>
        <w:topLinePunct w:val="0"/>
        <w:autoSpaceDE/>
        <w:autoSpaceDN/>
        <w:bidi w:val="0"/>
        <w:adjustRightInd w:val="0"/>
        <w:snapToGrid w:val="0"/>
        <w:spacing w:after="0"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3、合同经甲乙双方盖章、签字后生效，合同签订地点为</w:t>
      </w:r>
      <w:r>
        <w:rPr>
          <w:rFonts w:hint="eastAsia" w:ascii="宋体" w:hAnsi="宋体" w:eastAsia="宋体" w:cs="宋体"/>
          <w:sz w:val="20"/>
          <w:szCs w:val="20"/>
          <w:highlight w:val="none"/>
          <w:u w:val="single"/>
          <w:lang w:val="en-US" w:eastAsia="zh-CN"/>
        </w:rPr>
        <w:t>西安市莲湖区</w:t>
      </w:r>
      <w:r>
        <w:rPr>
          <w:rFonts w:hint="eastAsia" w:ascii="宋体" w:hAnsi="宋体" w:eastAsia="宋体" w:cs="宋体"/>
          <w:sz w:val="20"/>
          <w:szCs w:val="20"/>
          <w:highlight w:val="none"/>
        </w:rPr>
        <w:t>。</w:t>
      </w:r>
    </w:p>
    <w:p w14:paraId="60002D30">
      <w:pPr>
        <w:keepNext w:val="0"/>
        <w:keepLines w:val="0"/>
        <w:pageBreakBefore w:val="0"/>
        <w:kinsoku/>
        <w:wordWrap/>
        <w:overflowPunct/>
        <w:topLinePunct w:val="0"/>
        <w:autoSpaceDE/>
        <w:autoSpaceDN/>
        <w:bidi w:val="0"/>
        <w:adjustRightInd w:val="0"/>
        <w:snapToGrid w:val="0"/>
        <w:spacing w:after="0"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4、生效时间：</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年</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月</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日</w:t>
      </w:r>
    </w:p>
    <w:p w14:paraId="01D27DE8">
      <w:pPr>
        <w:adjustRightInd w:val="0"/>
        <w:snapToGrid w:val="0"/>
        <w:spacing w:line="360" w:lineRule="auto"/>
        <w:ind w:firstLine="400" w:firstLineChars="200"/>
        <w:rPr>
          <w:rFonts w:hint="eastAsia" w:ascii="宋体" w:hAnsi="宋体" w:eastAsia="宋体" w:cs="宋体"/>
          <w:sz w:val="20"/>
          <w:szCs w:val="20"/>
          <w:highlight w:val="none"/>
        </w:rPr>
      </w:pPr>
    </w:p>
    <w:tbl>
      <w:tblPr>
        <w:tblStyle w:val="5"/>
        <w:tblW w:w="0" w:type="auto"/>
        <w:jc w:val="center"/>
        <w:tblLayout w:type="fixed"/>
        <w:tblCellMar>
          <w:top w:w="0" w:type="dxa"/>
          <w:left w:w="108" w:type="dxa"/>
          <w:bottom w:w="0" w:type="dxa"/>
          <w:right w:w="108" w:type="dxa"/>
        </w:tblCellMar>
      </w:tblPr>
      <w:tblGrid>
        <w:gridCol w:w="4643"/>
        <w:gridCol w:w="4643"/>
      </w:tblGrid>
      <w:tr w14:paraId="0687BAD6">
        <w:tblPrEx>
          <w:tblCellMar>
            <w:top w:w="0" w:type="dxa"/>
            <w:left w:w="108" w:type="dxa"/>
            <w:bottom w:w="0" w:type="dxa"/>
            <w:right w:w="108" w:type="dxa"/>
          </w:tblCellMar>
        </w:tblPrEx>
        <w:trPr>
          <w:jc w:val="center"/>
        </w:trPr>
        <w:tc>
          <w:tcPr>
            <w:tcW w:w="4643" w:type="dxa"/>
          </w:tcPr>
          <w:p w14:paraId="0334DD3D">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甲方名称（盖章）：</w:t>
            </w:r>
          </w:p>
          <w:p w14:paraId="1E182A3B">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地址：</w:t>
            </w:r>
          </w:p>
          <w:p w14:paraId="2018E555">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代表人（签字）：</w:t>
            </w:r>
          </w:p>
          <w:p w14:paraId="7622C026">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电话：</w:t>
            </w:r>
          </w:p>
          <w:p w14:paraId="2E325C94">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开户银行：</w:t>
            </w:r>
          </w:p>
          <w:p w14:paraId="5D166D76">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帐号：</w:t>
            </w:r>
          </w:p>
        </w:tc>
        <w:tc>
          <w:tcPr>
            <w:tcW w:w="4643" w:type="dxa"/>
          </w:tcPr>
          <w:p w14:paraId="40721D96">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乙方名称（盖章）:</w:t>
            </w:r>
          </w:p>
          <w:p w14:paraId="74E5D589">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地址：</w:t>
            </w:r>
          </w:p>
          <w:p w14:paraId="303DE500">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代表人（签字）：</w:t>
            </w:r>
          </w:p>
          <w:p w14:paraId="51871122">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电话：</w:t>
            </w:r>
          </w:p>
          <w:p w14:paraId="45A920EA">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开户银行：</w:t>
            </w:r>
          </w:p>
          <w:p w14:paraId="04608981">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帐号：</w:t>
            </w:r>
          </w:p>
        </w:tc>
      </w:tr>
    </w:tbl>
    <w:p w14:paraId="53CB4442">
      <w:pPr>
        <w:spacing w:line="360" w:lineRule="auto"/>
        <w:rPr>
          <w:rFonts w:hint="eastAsia" w:ascii="宋体" w:hAnsi="宋体" w:eastAsia="宋体" w:cs="宋体"/>
          <w:sz w:val="20"/>
          <w:szCs w:val="20"/>
          <w:highlight w:val="none"/>
        </w:rPr>
      </w:pPr>
    </w:p>
    <w:p w14:paraId="24645968">
      <w:pPr>
        <w:pStyle w:val="9"/>
        <w:spacing w:line="360" w:lineRule="auto"/>
        <w:rPr>
          <w:rFonts w:hint="eastAsia" w:ascii="宋体" w:hAnsi="宋体" w:eastAsia="宋体" w:cs="宋体"/>
          <w:highlight w:val="none"/>
          <w:lang w:val="en-US" w:eastAsia="zh-Hans"/>
        </w:rPr>
      </w:pPr>
    </w:p>
    <w:p w14:paraId="283A2ABA">
      <w:pPr>
        <w:pStyle w:val="9"/>
        <w:spacing w:line="360" w:lineRule="auto"/>
        <w:rPr>
          <w:rFonts w:hint="eastAsia" w:ascii="宋体" w:hAnsi="宋体" w:eastAsia="宋体" w:cs="宋体"/>
          <w:highlight w:val="none"/>
          <w:lang w:val="en-US" w:eastAsia="zh-Hans"/>
        </w:rPr>
      </w:pPr>
    </w:p>
    <w:p w14:paraId="21D7D859">
      <w:pPr>
        <w:spacing w:line="360" w:lineRule="auto"/>
        <w:rPr>
          <w:rFonts w:hint="eastAsia" w:ascii="仿宋" w:hAnsi="仿宋" w:eastAsia="仿宋" w:cs="仿宋"/>
          <w:sz w:val="24"/>
          <w:szCs w:val="24"/>
          <w:highlight w:val="none"/>
        </w:rPr>
      </w:pPr>
      <w:bookmarkStart w:id="8" w:name="_GoBack"/>
      <w:bookmarkEnd w:id="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aramond">
    <w:altName w:val="Segoe Print"/>
    <w:panose1 w:val="02020404030301010803"/>
    <w:charset w:val="00"/>
    <w:family w:val="roman"/>
    <w:pitch w:val="default"/>
    <w:sig w:usb0="00000000"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20DF2"/>
    <w:rsid w:val="02810A7C"/>
    <w:rsid w:val="028440C8"/>
    <w:rsid w:val="031A67DB"/>
    <w:rsid w:val="04180F6C"/>
    <w:rsid w:val="04531FA4"/>
    <w:rsid w:val="04C74740"/>
    <w:rsid w:val="04D1736D"/>
    <w:rsid w:val="04D70E27"/>
    <w:rsid w:val="0BC254EB"/>
    <w:rsid w:val="0C112E71"/>
    <w:rsid w:val="0CF34325"/>
    <w:rsid w:val="0D5F19BA"/>
    <w:rsid w:val="0D841421"/>
    <w:rsid w:val="0F7A6F7F"/>
    <w:rsid w:val="100D1BA1"/>
    <w:rsid w:val="102F7D69"/>
    <w:rsid w:val="111725AC"/>
    <w:rsid w:val="11AE1162"/>
    <w:rsid w:val="123553DF"/>
    <w:rsid w:val="152F25BA"/>
    <w:rsid w:val="154C316C"/>
    <w:rsid w:val="1A3366A8"/>
    <w:rsid w:val="1ABA1D83"/>
    <w:rsid w:val="1D666D95"/>
    <w:rsid w:val="20C0056A"/>
    <w:rsid w:val="217A2E0F"/>
    <w:rsid w:val="25D32AED"/>
    <w:rsid w:val="28E514B5"/>
    <w:rsid w:val="2926366B"/>
    <w:rsid w:val="295D729E"/>
    <w:rsid w:val="29E26DED"/>
    <w:rsid w:val="2F6173BC"/>
    <w:rsid w:val="307A7424"/>
    <w:rsid w:val="31723B02"/>
    <w:rsid w:val="32696CB3"/>
    <w:rsid w:val="333C43C8"/>
    <w:rsid w:val="334A2BCC"/>
    <w:rsid w:val="343B467F"/>
    <w:rsid w:val="34936269"/>
    <w:rsid w:val="38F31085"/>
    <w:rsid w:val="39C12F31"/>
    <w:rsid w:val="3A3758E9"/>
    <w:rsid w:val="3B9C3C56"/>
    <w:rsid w:val="3C7D220B"/>
    <w:rsid w:val="3CA07775"/>
    <w:rsid w:val="3F516B05"/>
    <w:rsid w:val="414336F3"/>
    <w:rsid w:val="42CD6DEA"/>
    <w:rsid w:val="432509D4"/>
    <w:rsid w:val="45081CB2"/>
    <w:rsid w:val="4A9B77CE"/>
    <w:rsid w:val="4B187071"/>
    <w:rsid w:val="4B1959DE"/>
    <w:rsid w:val="4C924C68"/>
    <w:rsid w:val="4CFB27A6"/>
    <w:rsid w:val="4DED6593"/>
    <w:rsid w:val="4EB470B0"/>
    <w:rsid w:val="4FFA4F97"/>
    <w:rsid w:val="50526B81"/>
    <w:rsid w:val="50597F0F"/>
    <w:rsid w:val="50EC5C1E"/>
    <w:rsid w:val="527252B8"/>
    <w:rsid w:val="52C553E8"/>
    <w:rsid w:val="55A41C2D"/>
    <w:rsid w:val="55B95219"/>
    <w:rsid w:val="55FA7A9F"/>
    <w:rsid w:val="56586573"/>
    <w:rsid w:val="59367040"/>
    <w:rsid w:val="59C503C4"/>
    <w:rsid w:val="59CA59DA"/>
    <w:rsid w:val="59EF790A"/>
    <w:rsid w:val="5BE865EB"/>
    <w:rsid w:val="5F881C77"/>
    <w:rsid w:val="600532C8"/>
    <w:rsid w:val="60343BAD"/>
    <w:rsid w:val="60D86C2E"/>
    <w:rsid w:val="60E43825"/>
    <w:rsid w:val="612053FA"/>
    <w:rsid w:val="61BD7BD2"/>
    <w:rsid w:val="62967221"/>
    <w:rsid w:val="66811B16"/>
    <w:rsid w:val="6688160B"/>
    <w:rsid w:val="67205012"/>
    <w:rsid w:val="6833299C"/>
    <w:rsid w:val="6D5C2995"/>
    <w:rsid w:val="72AF5315"/>
    <w:rsid w:val="7375030D"/>
    <w:rsid w:val="73AA7B2E"/>
    <w:rsid w:val="76285B0A"/>
    <w:rsid w:val="78FE2B52"/>
    <w:rsid w:val="799C1319"/>
    <w:rsid w:val="79DA35C0"/>
    <w:rsid w:val="7C6D4277"/>
    <w:rsid w:val="7D6A07B6"/>
    <w:rsid w:val="7F2F7F0A"/>
    <w:rsid w:val="7FB83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200"/>
      <w:jc w:val="both"/>
    </w:pPr>
    <w:rPr>
      <w:rFonts w:ascii="微软雅黑" w:hAnsi="微软雅黑" w:eastAsia="微软雅黑" w:cstheme="minorBidi"/>
      <w:sz w:val="24"/>
      <w:szCs w:val="24"/>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before="180" w:after="180"/>
      <w:ind w:firstLine="560" w:firstLineChars="200"/>
    </w:pPr>
  </w:style>
  <w:style w:type="paragraph" w:styleId="3">
    <w:name w:val="toa heading"/>
    <w:basedOn w:val="1"/>
    <w:next w:val="1"/>
    <w:semiHidden/>
    <w:qFormat/>
    <w:uiPriority w:val="99"/>
    <w:pPr>
      <w:keepNext/>
      <w:widowControl/>
      <w:spacing w:line="720" w:lineRule="atLeast"/>
      <w:jc w:val="left"/>
    </w:pPr>
    <w:rPr>
      <w:rFonts w:ascii="Garamond" w:hAnsi="Garamond" w:cs="Garamond"/>
      <w:caps/>
      <w:spacing w:val="-10"/>
      <w:kern w:val="28"/>
      <w:sz w:val="22"/>
      <w:szCs w:val="22"/>
    </w:rPr>
  </w:style>
  <w:style w:type="paragraph" w:styleId="4">
    <w:name w:val="Normal (Web)"/>
    <w:basedOn w:val="1"/>
    <w:qFormat/>
    <w:uiPriority w:val="99"/>
    <w:pPr>
      <w:widowControl/>
      <w:spacing w:before="100" w:beforeAutospacing="1" w:after="100" w:afterAutospacing="1"/>
      <w:jc w:val="left"/>
    </w:pPr>
    <w:rPr>
      <w:rFonts w:ascii="宋体" w:hAnsi="宋体"/>
      <w:kern w:val="0"/>
      <w:sz w:val="24"/>
    </w:rPr>
  </w:style>
  <w:style w:type="paragraph" w:customStyle="1" w:styleId="7">
    <w:name w:val="First Paragraph"/>
    <w:basedOn w:val="2"/>
    <w:next w:val="2"/>
    <w:qFormat/>
    <w:uiPriority w:val="0"/>
    <w:pPr>
      <w:ind w:firstLine="720"/>
    </w:pPr>
  </w:style>
  <w:style w:type="paragraph" w:customStyle="1" w:styleId="8">
    <w:name w:val="Compact"/>
    <w:basedOn w:val="2"/>
    <w:qFormat/>
    <w:uiPriority w:val="0"/>
    <w:pPr>
      <w:spacing w:before="36" w:after="36"/>
    </w:p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2025-05-29T07:45:00Z</dcterms:created>
  <dc:creator>Administrator</dc:creator>
  <cp:lastModifiedBy>WPS_1544074700</cp:lastModifiedBy>
  <dcterms:modified xsi:type="dcterms:W3CDTF">2026-06-16T06:45:06Z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eyJoZGlkIjoiMmM0ZjhkOTlmOGVhY2Q5MmU1MDI5MDcwM2E2OTg1ZjEiLCJ1c2VySWQiOiI0Mzk3ODY0MTQifQ==</vt:lpwstr>
  </property>
  <property fmtid="{D5CDD505-2E9C-101B-9397-08002B2CF9AE}" pid="4" name="ICV">
    <vt:lpwstr>446D1DC150C94E73B8686CBB24165C85_12</vt:lpwstr>
  </property>
</Properties>
</file>