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版本号：HCZC2026-02-G.1B220260630001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韩城市政府采购评审场所标准化建设项目(三次)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HCZC2026-02-G.1B2</w:t>
      </w:r>
      <w:r>
        <w:br/>
      </w:r>
      <w:r>
        <w:br/>
      </w:r>
      <w:r>
        <w:br/>
      </w:r>
    </w:p>
    <w:p>
      <w:pPr>
        <w:pStyle w:val="null3"/>
        <w:jc w:val="center"/>
        <w:outlineLvl w:val="2"/>
      </w:pPr>
      <w:r>
        <w:rPr>
          <w:rFonts w:ascii="仿宋_GB2312" w:hAnsi="仿宋_GB2312" w:cs="仿宋_GB2312" w:eastAsia="仿宋_GB2312"/>
          <w:sz w:val="28"/>
          <w:b/>
        </w:rPr>
        <w:t>韩城市财政局（本级）</w:t>
      </w:r>
    </w:p>
    <w:p>
      <w:pPr>
        <w:pStyle w:val="null3"/>
        <w:jc w:val="center"/>
        <w:outlineLvl w:val="2"/>
      </w:pPr>
      <w:r>
        <w:rPr>
          <w:rFonts w:ascii="仿宋_GB2312" w:hAnsi="仿宋_GB2312" w:cs="仿宋_GB2312" w:eastAsia="仿宋_GB2312"/>
          <w:sz w:val="28"/>
          <w:b/>
        </w:rPr>
        <w:t>韩城市政府采购中心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韩城市政府采购中心</w:t>
      </w:r>
      <w:r>
        <w:rPr>
          <w:rFonts w:ascii="仿宋_GB2312" w:hAnsi="仿宋_GB2312" w:cs="仿宋_GB2312" w:eastAsia="仿宋_GB2312"/>
        </w:rPr>
        <w:t>（以下简称“代理机构”）受</w:t>
      </w:r>
      <w:r>
        <w:rPr>
          <w:rFonts w:ascii="仿宋_GB2312" w:hAnsi="仿宋_GB2312" w:cs="仿宋_GB2312" w:eastAsia="仿宋_GB2312"/>
        </w:rPr>
        <w:t>韩城市财政局（本级）</w:t>
      </w:r>
      <w:r>
        <w:rPr>
          <w:rFonts w:ascii="仿宋_GB2312" w:hAnsi="仿宋_GB2312" w:cs="仿宋_GB2312" w:eastAsia="仿宋_GB2312"/>
        </w:rPr>
        <w:t>委托，拟对</w:t>
      </w:r>
      <w:r>
        <w:rPr>
          <w:rFonts w:ascii="仿宋_GB2312" w:hAnsi="仿宋_GB2312" w:cs="仿宋_GB2312" w:eastAsia="仿宋_GB2312"/>
        </w:rPr>
        <w:t>韩城市政府采购评审场所标准化建设项目(三次)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HCZC2026-02-G.1B2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韩城市政府采购评审场所标准化建设项目(三次)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对评审场所房屋屋面防水、墙面进行修缮，水、电、网、卫生间改造等；评审场所配备信息化设备、安全设施、办公设施及电子门禁系统等。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采购包1（韩城市政府采购评审场所标准化建设项目）：属于专门面向中小企业采购。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1、有效的主体资格证明：具有独立承担民事责任能力的法人、其它组织或自然人，出具合法有效的营业执照等相关证明文件，自然人参与的提供其身份证明</w:t>
      </w:r>
    </w:p>
    <w:p>
      <w:pPr>
        <w:pStyle w:val="null3"/>
      </w:pPr>
      <w:r>
        <w:rPr>
          <w:rFonts w:ascii="仿宋_GB2312" w:hAnsi="仿宋_GB2312" w:cs="仿宋_GB2312" w:eastAsia="仿宋_GB2312"/>
        </w:rPr>
        <w:t>2、财务状况报告：提供2024年至今任意一年完整的财务审计报告或响应文件提交截止时间前六个月内银行出具的资信证明，其他组织和自然人提供银行出具的资信证明（财务审计报告包括“四表一注”，即资产负债表、利润表、现金流量表、所有者权益变动表及其附注，符合《中小企业划型标准规定》的小型企业按照《小企业会计准则》执行。成立时间至开标时间不足一年的可提供成立后任意时段的资产负债表，审计报告须具有注册会计师行业统一监管平台赋予的验证码）</w:t>
      </w:r>
    </w:p>
    <w:p>
      <w:pPr>
        <w:pStyle w:val="null3"/>
      </w:pPr>
      <w:r>
        <w:rPr>
          <w:rFonts w:ascii="仿宋_GB2312" w:hAnsi="仿宋_GB2312" w:cs="仿宋_GB2312" w:eastAsia="仿宋_GB2312"/>
        </w:rPr>
        <w:t>3、社会保障资金缴纳证明：提供响应文件提交截止时间前六个月内至少一个月的社会保障资金缴存单据或社保机构开具的社会保险参保缴费情况证明，依法不需要缴纳社会保障资金的单位应提供相关证明材料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4、税收缴纳证明：提供响应文件提交截止时间前六个月内已缴纳的至少一个月的纳税证明或完税证明，依法免税的单位应提供相关证明材料</w:t>
      </w:r>
    </w:p>
    <w:p>
      <w:pPr>
        <w:pStyle w:val="null3"/>
      </w:pPr>
      <w:r>
        <w:rPr>
          <w:rFonts w:ascii="仿宋_GB2312" w:hAnsi="仿宋_GB2312" w:cs="仿宋_GB2312" w:eastAsia="仿宋_GB2312"/>
        </w:rPr>
        <w:t>5、信用记录：供应商参加政府采购活动前3年内在经营活动中没有重大违法记录；供应商在提交响应文件截止时间前未被“信用中国”网站（www.creditchina.gov.cn）列入失信被执行人、重大税收违法失信主体，未被中国政府采购网（www.ccgp.gov.cn）列入政府采购严重违法失信行为记录名单（以代理机构现场查询为准）</w:t>
      </w:r>
    </w:p>
    <w:p>
      <w:pPr>
        <w:pStyle w:val="null3"/>
      </w:pPr>
      <w:r>
        <w:rPr>
          <w:rFonts w:ascii="仿宋_GB2312" w:hAnsi="仿宋_GB2312" w:cs="仿宋_GB2312" w:eastAsia="仿宋_GB2312"/>
        </w:rPr>
        <w:t>6、承诺：提供具有履行合同所必需的设备和专业技术能力的承诺</w:t>
      </w:r>
    </w:p>
    <w:p>
      <w:pPr>
        <w:pStyle w:val="null3"/>
      </w:pPr>
      <w:r>
        <w:rPr>
          <w:rFonts w:ascii="仿宋_GB2312" w:hAnsi="仿宋_GB2312" w:cs="仿宋_GB2312" w:eastAsia="仿宋_GB2312"/>
        </w:rPr>
        <w:t>7、法定代表人授权书：法定代表人授权书（附法定代表人、被授权人身份证复印件）（法定代表人直接参加投标，须提供法定代表人身份证明书）</w:t>
      </w:r>
    </w:p>
    <w:p>
      <w:pPr>
        <w:pStyle w:val="null3"/>
      </w:pPr>
      <w:r>
        <w:rPr>
          <w:rFonts w:ascii="仿宋_GB2312" w:hAnsi="仿宋_GB2312" w:cs="仿宋_GB2312" w:eastAsia="仿宋_GB2312"/>
        </w:rPr>
        <w:t>8、企业资质：供应商应具备行政主管部门颁发的建筑工程施工总承包三级以上(含三级)资质，并具备有效的安全生产许可证</w:t>
      </w:r>
    </w:p>
    <w:p>
      <w:pPr>
        <w:pStyle w:val="null3"/>
      </w:pPr>
      <w:r>
        <w:rPr>
          <w:rFonts w:ascii="仿宋_GB2312" w:hAnsi="仿宋_GB2312" w:cs="仿宋_GB2312" w:eastAsia="仿宋_GB2312"/>
        </w:rPr>
        <w:t>9、项目经理：拟派项目经理应具备建筑工程专业二级以上（含二级）建造师执业资格和有效的安全生产考核合格证书，且未担任其他在建工程项目的项目经理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韩城市财政局（本级）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韩城市新城区太史大街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13892558785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韩城市政府采购中心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陕西省渭南市韩城市韩城市新城区太史大街财政局办公楼403室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邱新娟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13759663999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韩城市政府采购管理股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0913-8334929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采购包1：524,175.42元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韩城市财政局（本级）</w:t>
      </w:r>
      <w:r>
        <w:rPr>
          <w:rFonts w:ascii="仿宋_GB2312" w:hAnsi="仿宋_GB2312" w:cs="仿宋_GB2312" w:eastAsia="仿宋_GB2312"/>
        </w:rPr>
        <w:t>和</w:t>
      </w:r>
      <w:r>
        <w:rPr>
          <w:rFonts w:ascii="仿宋_GB2312" w:hAnsi="仿宋_GB2312" w:cs="仿宋_GB2312" w:eastAsia="仿宋_GB2312"/>
        </w:rPr>
        <w:t>韩城市政府采购中心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韩城市财政局（本级）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韩城市政府采购中心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韩城市财政局（本级）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韩城市政府采购中心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按照磋商文件、响应文件及合同约定执行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韩城市政府采购中心</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韩城市政府采购中心</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韩城市政府采购中心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联系人：邱新娟</w:t>
      </w:r>
    </w:p>
    <w:p>
      <w:pPr>
        <w:pStyle w:val="null3"/>
      </w:pPr>
      <w:r>
        <w:rPr>
          <w:rFonts w:ascii="仿宋_GB2312" w:hAnsi="仿宋_GB2312" w:cs="仿宋_GB2312" w:eastAsia="仿宋_GB2312"/>
        </w:rPr>
        <w:t>联系电话：13759663999</w:t>
      </w:r>
    </w:p>
    <w:p>
      <w:pPr>
        <w:pStyle w:val="null3"/>
      </w:pPr>
      <w:r>
        <w:rPr>
          <w:rFonts w:ascii="仿宋_GB2312" w:hAnsi="仿宋_GB2312" w:cs="仿宋_GB2312" w:eastAsia="仿宋_GB2312"/>
        </w:rPr>
        <w:t>地址：韩城市新城区太史大街财政局办公楼四楼403</w:t>
      </w:r>
    </w:p>
    <w:p>
      <w:pPr>
        <w:pStyle w:val="null3"/>
      </w:pPr>
      <w:r>
        <w:rPr>
          <w:rFonts w:ascii="仿宋_GB2312" w:hAnsi="仿宋_GB2312" w:cs="仿宋_GB2312" w:eastAsia="仿宋_GB2312"/>
        </w:rPr>
        <w:t>邮编：715400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524,175.42</w:t>
      </w:r>
    </w:p>
    <w:p>
      <w:pPr>
        <w:pStyle w:val="null3"/>
      </w:pPr>
      <w:r>
        <w:rPr>
          <w:rFonts w:ascii="仿宋_GB2312" w:hAnsi="仿宋_GB2312" w:cs="仿宋_GB2312" w:eastAsia="仿宋_GB2312"/>
        </w:rPr>
        <w:t>采购包最高限价（元）: 524,175.42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韩城市政府采购评审场所标准化建设项目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524,175.42</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标的名称：韩城市政府采购评审场所标准化建设项目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2"/>
              <w:jc w:val="left"/>
            </w:pPr>
            <w:r>
              <w:rPr>
                <w:rFonts w:ascii="仿宋_GB2312" w:hAnsi="仿宋_GB2312" w:cs="仿宋_GB2312" w:eastAsia="仿宋_GB2312"/>
                <w:sz w:val="21"/>
                <w:b/>
              </w:rPr>
              <w:t>一、项目概况</w:t>
            </w:r>
          </w:p>
          <w:p>
            <w:pPr>
              <w:pStyle w:val="null3"/>
              <w:ind w:firstLine="420"/>
              <w:jc w:val="left"/>
            </w:pPr>
            <w:r>
              <w:rPr>
                <w:rFonts w:ascii="仿宋_GB2312" w:hAnsi="仿宋_GB2312" w:cs="仿宋_GB2312" w:eastAsia="仿宋_GB2312"/>
                <w:sz w:val="21"/>
              </w:rPr>
              <w:t>1.采购内容：韩城市政府采购评审场所标准化建设项目</w:t>
            </w:r>
            <w:r>
              <w:rPr>
                <w:rFonts w:ascii="仿宋_GB2312" w:hAnsi="仿宋_GB2312" w:cs="仿宋_GB2312" w:eastAsia="仿宋_GB2312"/>
                <w:sz w:val="21"/>
              </w:rPr>
              <w:t>磋商</w:t>
            </w:r>
            <w:r>
              <w:rPr>
                <w:rFonts w:ascii="仿宋_GB2312" w:hAnsi="仿宋_GB2312" w:cs="仿宋_GB2312" w:eastAsia="仿宋_GB2312"/>
                <w:sz w:val="21"/>
              </w:rPr>
              <w:t>文件、工程量清单及施工图等范围内的全部内容。</w:t>
            </w:r>
          </w:p>
          <w:p>
            <w:pPr>
              <w:pStyle w:val="null3"/>
              <w:ind w:firstLine="420"/>
              <w:jc w:val="left"/>
            </w:pPr>
            <w:r>
              <w:rPr>
                <w:rFonts w:ascii="仿宋_GB2312" w:hAnsi="仿宋_GB2312" w:cs="仿宋_GB2312" w:eastAsia="仿宋_GB2312"/>
                <w:sz w:val="21"/>
              </w:rPr>
              <w:t>2.项目实施地点：韩城市财政局。</w:t>
            </w:r>
          </w:p>
          <w:p>
            <w:pPr>
              <w:pStyle w:val="null3"/>
              <w:ind w:firstLine="420"/>
              <w:jc w:val="left"/>
            </w:pPr>
            <w:r>
              <w:rPr>
                <w:rFonts w:ascii="仿宋_GB2312" w:hAnsi="仿宋_GB2312" w:cs="仿宋_GB2312" w:eastAsia="仿宋_GB2312"/>
                <w:sz w:val="21"/>
              </w:rPr>
              <w:t>3.工程条件：现场具备施工条件。材料、设备全部由施工方自行采购。水电设施齐全。</w:t>
            </w:r>
          </w:p>
          <w:p>
            <w:pPr>
              <w:pStyle w:val="null3"/>
              <w:ind w:firstLine="422"/>
              <w:jc w:val="left"/>
            </w:pPr>
            <w:r>
              <w:rPr>
                <w:rFonts w:ascii="仿宋_GB2312" w:hAnsi="仿宋_GB2312" w:cs="仿宋_GB2312" w:eastAsia="仿宋_GB2312"/>
                <w:sz w:val="21"/>
                <w:b/>
              </w:rPr>
              <w:t>二、工程量清单（</w:t>
            </w:r>
            <w:r>
              <w:rPr>
                <w:rFonts w:ascii="仿宋_GB2312" w:hAnsi="仿宋_GB2312" w:cs="仿宋_GB2312" w:eastAsia="仿宋_GB2312"/>
                <w:sz w:val="21"/>
                <w:b/>
              </w:rPr>
              <w:t>详见附件</w:t>
            </w:r>
            <w:r>
              <w:rPr>
                <w:rFonts w:ascii="仿宋_GB2312" w:hAnsi="仿宋_GB2312" w:cs="仿宋_GB2312" w:eastAsia="仿宋_GB2312"/>
                <w:sz w:val="21"/>
                <w:b/>
              </w:rPr>
              <w:t>）</w:t>
            </w:r>
          </w:p>
          <w:p>
            <w:pPr>
              <w:pStyle w:val="null3"/>
              <w:ind w:firstLine="422"/>
              <w:jc w:val="left"/>
            </w:pPr>
            <w:r>
              <w:rPr>
                <w:rFonts w:ascii="仿宋_GB2312" w:hAnsi="仿宋_GB2312" w:cs="仿宋_GB2312" w:eastAsia="仿宋_GB2312"/>
                <w:sz w:val="21"/>
                <w:b/>
              </w:rPr>
              <w:t>三、项目实施要求及质量保证</w:t>
            </w:r>
          </w:p>
          <w:p>
            <w:pPr>
              <w:pStyle w:val="null3"/>
              <w:ind w:firstLine="420"/>
              <w:jc w:val="left"/>
            </w:pPr>
            <w:r>
              <w:rPr>
                <w:rFonts w:ascii="仿宋_GB2312" w:hAnsi="仿宋_GB2312" w:cs="仿宋_GB2312" w:eastAsia="仿宋_GB2312"/>
                <w:sz w:val="21"/>
              </w:rPr>
              <w:t>1、供应商必须具备相应的资质，不得转包、分包。确需分包时须征得采购人同意。否则将终止合同并按政府采购有关规定进行处理。</w:t>
            </w:r>
          </w:p>
          <w:p>
            <w:pPr>
              <w:pStyle w:val="null3"/>
              <w:ind w:firstLine="420"/>
              <w:jc w:val="left"/>
            </w:pPr>
            <w:r>
              <w:rPr>
                <w:rFonts w:ascii="仿宋_GB2312" w:hAnsi="仿宋_GB2312" w:cs="仿宋_GB2312" w:eastAsia="仿宋_GB2312"/>
                <w:sz w:val="21"/>
              </w:rPr>
              <w:t>2、供应商根据工程实际情况编制施工方案，制定工期进度安排表。</w:t>
            </w:r>
          </w:p>
          <w:p>
            <w:pPr>
              <w:pStyle w:val="null3"/>
              <w:ind w:firstLine="420"/>
              <w:jc w:val="left"/>
            </w:pPr>
            <w:r>
              <w:rPr>
                <w:rFonts w:ascii="仿宋_GB2312" w:hAnsi="仿宋_GB2312" w:cs="仿宋_GB2312" w:eastAsia="仿宋_GB2312"/>
                <w:sz w:val="21"/>
              </w:rPr>
              <w:t>3、供应商在本工程中的项目负责人（项目经理），要求技术水平高、组织能力强、有丰富的工程业绩和实践经验，懂管理、善于协调。施工人员中质检员、特殊工程人员要求有上岗证。施工队伍稳定，保证整个工程顺利完工。</w:t>
            </w:r>
          </w:p>
          <w:p>
            <w:pPr>
              <w:pStyle w:val="null3"/>
              <w:ind w:firstLine="420"/>
              <w:jc w:val="left"/>
            </w:pPr>
            <w:r>
              <w:rPr>
                <w:rFonts w:ascii="仿宋_GB2312" w:hAnsi="仿宋_GB2312" w:cs="仿宋_GB2312" w:eastAsia="仿宋_GB2312"/>
                <w:sz w:val="21"/>
              </w:rPr>
              <w:t>4、施工过程中，严格遵守建设单位的各种管理规定及规章制度，做到文明施工。发生工伤及意外事故由施工单位负责。</w:t>
            </w:r>
          </w:p>
          <w:p>
            <w:pPr>
              <w:pStyle w:val="null3"/>
              <w:ind w:firstLine="420"/>
              <w:jc w:val="left"/>
            </w:pPr>
            <w:r>
              <w:rPr>
                <w:rFonts w:ascii="仿宋_GB2312" w:hAnsi="仿宋_GB2312" w:cs="仿宋_GB2312" w:eastAsia="仿宋_GB2312"/>
                <w:sz w:val="21"/>
              </w:rPr>
              <w:t>5、供应商应遵守行业有关质量、安全法规和标准，严格按照施工图纸、施工技术规范和操作规程组织施工，并根据承担的工程任务以及所处的施工环境，制定相应的质量保证措施和施工安全措施，并责任到人。</w:t>
            </w:r>
          </w:p>
          <w:p>
            <w:pPr>
              <w:pStyle w:val="null3"/>
              <w:ind w:firstLine="420"/>
              <w:jc w:val="left"/>
            </w:pPr>
            <w:r>
              <w:rPr>
                <w:rFonts w:ascii="仿宋_GB2312" w:hAnsi="仿宋_GB2312" w:cs="仿宋_GB2312" w:eastAsia="仿宋_GB2312"/>
                <w:sz w:val="21"/>
              </w:rPr>
              <w:t>6、严格按照国家和省上有关规定施工、规范施工，确保工程合格，如有更改须事先征得有关方面的同意，并在采购人落实后实施，并出具书面说明。</w:t>
            </w:r>
          </w:p>
          <w:p>
            <w:pPr>
              <w:pStyle w:val="null3"/>
              <w:ind w:firstLine="420"/>
              <w:jc w:val="left"/>
            </w:pPr>
            <w:r>
              <w:rPr>
                <w:rFonts w:ascii="仿宋_GB2312" w:hAnsi="仿宋_GB2312" w:cs="仿宋_GB2312" w:eastAsia="仿宋_GB2312"/>
                <w:sz w:val="21"/>
              </w:rPr>
              <w:t>7、所有进场材料需携带合格证等质量证明文件。由甲方现场代表对所进场材料予以验收并确认。</w:t>
            </w:r>
          </w:p>
          <w:p>
            <w:pPr>
              <w:pStyle w:val="null3"/>
              <w:ind w:firstLine="420"/>
              <w:jc w:val="left"/>
            </w:pPr>
            <w:r>
              <w:rPr>
                <w:rFonts w:ascii="仿宋_GB2312" w:hAnsi="仿宋_GB2312" w:cs="仿宋_GB2312" w:eastAsia="仿宋_GB2312"/>
                <w:sz w:val="21"/>
              </w:rPr>
              <w:t>8、选用的主材、设备、辅材应明确品牌、规格、型号、产地，对主要设备材料必须先提交样品，经认质后，方可订货，不得使用未经检验或不合格的设备、材料，若发生此种情况，将追究相关人员责任，并赔偿由此造成的一切经济损失。</w:t>
            </w:r>
          </w:p>
          <w:p>
            <w:pPr>
              <w:pStyle w:val="null3"/>
              <w:ind w:firstLine="420"/>
              <w:jc w:val="left"/>
            </w:pPr>
            <w:r>
              <w:rPr>
                <w:rFonts w:ascii="仿宋_GB2312" w:hAnsi="仿宋_GB2312" w:cs="仿宋_GB2312" w:eastAsia="仿宋_GB2312"/>
                <w:sz w:val="21"/>
              </w:rPr>
              <w:t>9、所有施工人员需统一着装统一单位标识，严禁随意通行。</w:t>
            </w:r>
          </w:p>
          <w:p>
            <w:pPr>
              <w:pStyle w:val="null3"/>
              <w:ind w:firstLine="420"/>
              <w:jc w:val="left"/>
            </w:pPr>
            <w:r>
              <w:rPr>
                <w:rFonts w:ascii="仿宋_GB2312" w:hAnsi="仿宋_GB2312" w:cs="仿宋_GB2312" w:eastAsia="仿宋_GB2312"/>
                <w:sz w:val="21"/>
              </w:rPr>
              <w:t>10、施工方未经采购人同意，不得擅自更换本工程在磋商响应文件中指定的项目施工负责人（项目经理）及施工队伍。</w:t>
            </w:r>
          </w:p>
          <w:p>
            <w:pPr>
              <w:pStyle w:val="null3"/>
              <w:ind w:firstLine="420"/>
              <w:jc w:val="left"/>
            </w:pPr>
            <w:r>
              <w:rPr>
                <w:rFonts w:ascii="仿宋_GB2312" w:hAnsi="仿宋_GB2312" w:cs="仿宋_GB2312" w:eastAsia="仿宋_GB2312"/>
                <w:sz w:val="21"/>
              </w:rPr>
              <w:t>11、工程质量保修期符合相关法律法规及行业规范。施工单位的售后服务要完善、可靠、及时，并派遣相关技术人员配合采购人检查、维修。</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符合国家以及配套的相关工程质量验收规范的合格等级，并达到采购人质量要求和交付使用标准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按照磋商文件及合同条款执行</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一、商务要求： 1、工期：30个日历日。 2、付款方式：合同签订后支付合同总价的40%，完工并验收合格后支付合同总价的60%，付款前供应商应向采购人提供等额发票。 3、质量标准：符合国家以及配套的相关工程质量验收规范的合格等级，并达到采购人质量要求和交付使用标准。 4、质量保修期：符合《建设工程质量管理条例》等相关法律法规。 5、验收： 履约验收的主体：采购人相关部门及人员形成验收小组。 验收程序：项目完成由供应商进行自检，自检合格后准备验收文件并提出验收申请，采购人同意后，采购人相关部门及人员形成验收小组，验收小组根据磋商文件、响应文件、合同等项目文件约定内容对项目进行综合验收。 验收标准：供应商要确保项目完成后符合国家相关标准，同时须符合磋商文件要求、响应文件承诺及合同的相关约定。 二、纸质投标文件：成交供应商在领取成交通知书时提供一正两副纸质投标文件，及广联达正版云计价平台编制的电子投标文件（含组价的全部内容）（U盘存储）。装订：纸质投标文件采用书籍（胶装）方式装订成册，与电子投标文件一致的签字、盖章的完整版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至今任意一年完整的财务审计报告或响应文件提交截止时间前六个月内银行出具的资信证明，其他组织和自然人提供银行出具的资信证明（财务审计报告包括“四表一注”，即资产负债表、利润表、现金流量表、所有者权益变动表及其附注，符合《中小企业划型标准规定》的小型企业按照《小企业会计准则》执行。成立时间至开标时间不足一年的可提供成立后任意时段的资产负债表，审计报告须具有注册会计师行业统一监管平台赋予的验证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具有独立承担民事责任能力的法人、其它组织或自然人，出具合法有效的营业执照等相关证明文件，自然人参与的提供其身份证明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至今任意一年完整的财务审计报告或响应文件提交截止时间前六个月内银行出具的资信证明，其他组织和自然人提供银行出具的资信证明（财务审计报告包括“四表一注”，即资产负债表、利润表、现金流量表、所有者权益变动表及其附注，符合《中小企业划型标准规定》的小型企业按照《小企业会计准则》执行。成立时间至开标时间不足一年的可提供成立后任意时段的资产负债表，审计报告须具有注册会计师行业统一监管平台赋予的验证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提供响应文件提交截止时间前六个月内至少一个月的社会保障资金缴存单据或社保机构开具的社会保险参保缴费情况证明，依法不需要缴纳社会保障资金的单位应提供相关证明材料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提供响应文件提交截止时间前六个月内已缴纳的至少一个月的纳税证明或完税证明，依法免税的单位应提供相关证明材料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参加政府采购活动前3年内在经营活动中没有重大违法记录；供应商在提交响应文件截止时间前未被“信用中国”网站（www.creditchina.gov.cn）列入失信被执行人、重大税收违法失信主体，未被中国政府采购网（www.ccgp.gov.cn）列入政府采购严重违法失信行为记录名单（以代理机构现场查询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法定代表人授权书（附法定代表人、被授权人身份证复印件）（法定代表人直接参加投标，须提供法定代表人身份证明书）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供应商应具备行政主管部门颁发的建筑工程施工总承包三级以上(含三级)资质，并具备有效的安全生产许可证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拟派项目经理应具备建筑工程专业二级以上（含二级）建造师执业资格和有效的安全生产考核合格证书，且未担任其他在建工程项目的项目经理</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均按磋商文件要求签字、盖章（评分标准中要求提供的证明材料除外）</w:t>
            </w:r>
          </w:p>
        </w:tc>
        <w:tc>
          <w:tcPr>
            <w:tcW w:type="dxa" w:w="1661"/>
          </w:tcPr>
          <w:p>
            <w:pPr>
              <w:pStyle w:val="null3"/>
            </w:pPr>
            <w:r>
              <w:rPr>
                <w:rFonts w:ascii="仿宋_GB2312" w:hAnsi="仿宋_GB2312" w:cs="仿宋_GB2312" w:eastAsia="仿宋_GB2312"/>
              </w:rPr>
              <w:t>已标价工程量清单 类似项目业绩一览表.docx 中小企业声明函 供应商声明.docx 技术服务合同条款及其他商务要求应答表 施工组织设计.docx 强制优先采购产品承诺函 响应文件封面 供应商应提交的相关资格证明材料.docx 项目管理机构组成表 残疾人福利性单位声明函 报价函 标的清单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只能有一个有效报价，不得提交选择性报价，且报价不超过预算或最高限价金额</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磋商响应文件内容不存在漏项或数量与要求不符合磋商文件规定情形，响应内容满足磋商文件的商务、技术等实质性要求</w:t>
            </w:r>
          </w:p>
        </w:tc>
        <w:tc>
          <w:tcPr>
            <w:tcW w:type="dxa" w:w="1661"/>
          </w:tcPr>
          <w:p>
            <w:pPr>
              <w:pStyle w:val="null3"/>
            </w:pPr>
            <w:r>
              <w:rPr>
                <w:rFonts w:ascii="仿宋_GB2312" w:hAnsi="仿宋_GB2312" w:cs="仿宋_GB2312" w:eastAsia="仿宋_GB2312"/>
              </w:rPr>
              <w:t>已标价工程量清单 类似项目业绩一览表.docx 中小企业声明函 供应商声明.docx 技术服务合同条款及其他商务要求应答表 施工组织设计.docx 强制优先采购产品承诺函 响应文件封面 供应商应提交的相关资格证明材料.docx 项目管理机构组成表 残疾人福利性单位声明函 报价函 标的清单 响应函 主要人员简历表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响应文件不含有采购人不能接受的附加条件 ，不存在其它不符合法律法规或磋商文件规定的响应无效条款的情形</w:t>
            </w:r>
          </w:p>
        </w:tc>
        <w:tc>
          <w:tcPr>
            <w:tcW w:type="dxa" w:w="1661"/>
          </w:tcPr>
          <w:p>
            <w:pPr>
              <w:pStyle w:val="null3"/>
            </w:pPr>
            <w:r>
              <w:rPr>
                <w:rFonts w:ascii="仿宋_GB2312" w:hAnsi="仿宋_GB2312" w:cs="仿宋_GB2312" w:eastAsia="仿宋_GB2312"/>
              </w:rPr>
              <w:t>已标价工程量清单 类似项目业绩一览表.docx 中小企业声明函 供应商声明.docx 技术服务合同条款及其他商务要求应答表 施工组织设计.docx 强制优先采购产品承诺函 响应文件封面 供应商应提交的相关资格证明材料.docx 项目管理机构组成表 残疾人福利性单位声明函 报价函 标的清单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施工方案及技术措施</w:t>
            </w:r>
          </w:p>
        </w:tc>
        <w:tc>
          <w:tcPr>
            <w:tcW w:type="dxa" w:w="2492"/>
          </w:tcPr>
          <w:p>
            <w:pPr>
              <w:pStyle w:val="null3"/>
            </w:pPr>
            <w:r>
              <w:rPr>
                <w:rFonts w:ascii="仿宋_GB2312" w:hAnsi="仿宋_GB2312" w:cs="仿宋_GB2312" w:eastAsia="仿宋_GB2312"/>
              </w:rPr>
              <w:t>施工方案及技术措施内容至少包括①施工准备；②施工方法；③重点难点工程分析及解决措施；④影响正常施工外在因素分析及对应预案等。 以上内容专门针对本项目且符合本项目实际需求的得8分，每缺一项内容扣2分，若上述内容存在瑕疵，每存在1处瑕疵扣1分，扣完为止。 【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质量管理体系与措施</w:t>
            </w:r>
          </w:p>
        </w:tc>
        <w:tc>
          <w:tcPr>
            <w:tcW w:type="dxa" w:w="2492"/>
          </w:tcPr>
          <w:p>
            <w:pPr>
              <w:pStyle w:val="null3"/>
            </w:pPr>
            <w:r>
              <w:rPr>
                <w:rFonts w:ascii="仿宋_GB2312" w:hAnsi="仿宋_GB2312" w:cs="仿宋_GB2312" w:eastAsia="仿宋_GB2312"/>
              </w:rPr>
              <w:t>质量管理体系与措施内容至少包括①质量管理工作流程；②工程质量保障方案；③工程质量控制体系:④材料和构配件的质量控制等；⑤施工检测及工序交验方案等。 以上内容专门针对本项目且符合本项目实际需求的得10分，每缺一项内容扣2分，若上述内容存在瑕疵，每存在1处瑕疵扣1分，扣完为止。 【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安全管理体系与措施</w:t>
            </w:r>
          </w:p>
        </w:tc>
        <w:tc>
          <w:tcPr>
            <w:tcW w:type="dxa" w:w="2492"/>
          </w:tcPr>
          <w:p>
            <w:pPr>
              <w:pStyle w:val="null3"/>
            </w:pPr>
            <w:r>
              <w:rPr>
                <w:rFonts w:ascii="仿宋_GB2312" w:hAnsi="仿宋_GB2312" w:cs="仿宋_GB2312" w:eastAsia="仿宋_GB2312"/>
              </w:rPr>
              <w:t>安全管理体系与措施内容至少包括①安全生产管理制度；②配置安全组织机构；③安全隐患排查、整改制度；④应急救援机制等。 以上内容专门针对本项目且符合本项目实际需求的得8分，每缺一项内容扣2分，若上述内容存在瑕疵，每存在1处瑕疵扣1分，扣完为止。 【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环境保护管理体系与措施</w:t>
            </w:r>
          </w:p>
        </w:tc>
        <w:tc>
          <w:tcPr>
            <w:tcW w:type="dxa" w:w="2492"/>
          </w:tcPr>
          <w:p>
            <w:pPr>
              <w:pStyle w:val="null3"/>
            </w:pPr>
            <w:r>
              <w:rPr>
                <w:rFonts w:ascii="仿宋_GB2312" w:hAnsi="仿宋_GB2312" w:cs="仿宋_GB2312" w:eastAsia="仿宋_GB2312"/>
              </w:rPr>
              <w:t>环境保护管理体系与措施内容至少包括①环境保护措施；②预防和动态控制措施及制度等。 以上内容专门针对本项目且符合本项目实际需求的得6分，每缺一项内容扣3分，若上述内容存在瑕疵，每存在1处瑕疵扣1分，扣完为止。 【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工程进度计划与措施</w:t>
            </w:r>
          </w:p>
        </w:tc>
        <w:tc>
          <w:tcPr>
            <w:tcW w:type="dxa" w:w="2492"/>
          </w:tcPr>
          <w:p>
            <w:pPr>
              <w:pStyle w:val="null3"/>
            </w:pPr>
            <w:r>
              <w:rPr>
                <w:rFonts w:ascii="仿宋_GB2312" w:hAnsi="仿宋_GB2312" w:cs="仿宋_GB2312" w:eastAsia="仿宋_GB2312"/>
              </w:rPr>
              <w:t>工程进度计划与措施内容至少包括①施工进度计划管理；②保证工程进度技术措施；③合理组织、科学管理工程项目施工等。 以上内容专门针对本项目且符合本项目实际需求的得6分，每缺一项内容扣2分，若上述内容存在瑕疵，每存在1处瑕疵扣1分，扣完为止。 【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资源配备计划内容至少包括①设备配备；②劳动力配备；③资金配备等。 以上内容专门针对本项目且符合本项目实际需求的得6分，每缺一项内容扣2分，若上述内容存在瑕疵，每存在1处瑕疵扣1分，扣完为止。 【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应急措施内容至少包括①对突发事件的应急预案；②现场处理方案等。 以上内容专门针对本项目且符合本项目实际需求的得6分，每缺一项内容扣3分，若上述内容存在瑕疵，每存在1处瑕疵扣1分，扣完为止。 【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项目管理机构内容至少包括①项目管理机构图；②岗位安排及职责（配备有施工员、专职质检员、安全员、材料员等）；③管理制度；④相应的协调措施等。 以上内容专门针对本项目且符合本项目实际需求的得8分，每缺一项内容扣2分，若上述内容存在瑕疵，每存在1处瑕疵扣1分，扣完为止。 【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服务承诺内容至少包括①服务措施；②服务承诺；③服务质量保障等。 以上内容专门针对本项目且符合本项目实际需求的得6分，每缺一项内容扣2分，若上述内容存在瑕疵，每存在1处瑕疵扣1分，扣完为止。 【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供应商自2023年1月1日至今类似项目业绩，每提供一个业绩得2 分，最多得 6分；（以合同签订日期并加盖公章的合同复印件为准；弄虚作假者取消其中标资格） 注：证明材料为合同首页、双方签字盖章页以及能够反映合同内容的部分。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满足磋商文件要求且磋商报价最低的报价为评标基准价，其价格分为满分。磋商报价得分=（评审基准价／磋商报价）×价格权值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详见附件：类似项目业绩一览表.docx</w:t>
      </w:r>
    </w:p>
    <w:p>
      <w:pPr>
        <w:pStyle w:val="null3"/>
        <w:ind w:firstLine="960"/>
      </w:pPr>
      <w:r>
        <w:rPr>
          <w:rFonts w:ascii="仿宋_GB2312" w:hAnsi="仿宋_GB2312" w:cs="仿宋_GB2312" w:eastAsia="仿宋_GB2312"/>
        </w:rPr>
        <w:t>详见附件：供应商声明.docx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