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版本号：HHGJZC2026-JT37820260628002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长安三小课桌椅采购项目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HHGJZC2026-JT378</w:t>
      </w:r>
      <w:r>
        <w:br/>
      </w:r>
      <w:r>
        <w:br/>
      </w:r>
      <w:r>
        <w:br/>
      </w:r>
    </w:p>
    <w:p>
      <w:pPr>
        <w:pStyle w:val="null3"/>
        <w:jc w:val="center"/>
        <w:outlineLvl w:val="2"/>
      </w:pPr>
      <w:r>
        <w:rPr>
          <w:rFonts w:ascii="仿宋_GB2312" w:hAnsi="仿宋_GB2312" w:cs="仿宋_GB2312" w:eastAsia="仿宋_GB2312"/>
          <w:sz w:val="28"/>
          <w:b/>
        </w:rPr>
        <w:t>西安市长安区第三小学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西安市长安区第三小学</w:t>
      </w:r>
      <w:r>
        <w:rPr>
          <w:rFonts w:ascii="仿宋_GB2312" w:hAnsi="仿宋_GB2312" w:cs="仿宋_GB2312" w:eastAsia="仿宋_GB2312"/>
        </w:rPr>
        <w:t>委托，拟对</w:t>
      </w:r>
      <w:r>
        <w:rPr>
          <w:rFonts w:ascii="仿宋_GB2312" w:hAnsi="仿宋_GB2312" w:cs="仿宋_GB2312" w:eastAsia="仿宋_GB2312"/>
        </w:rPr>
        <w:t>长安三小课桌椅采购项目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HHGJZC2026-JT378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长安三小课桌椅采购项目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长安三小课桌椅采购项目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长安区韦曲街道府东一路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029-89257557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左崇苇</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不足捌仟元按照捌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西安市长安区第三小学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西安市长安区第三小学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陕西华海国际项目管理有限公司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详见谈判文件及合同附件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长安三小课桌椅采购项目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长安三小课桌椅采购项目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标的名称：长安三小课桌椅采购项目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0"/>
              <w:gridCol w:w="275"/>
              <w:gridCol w:w="2465"/>
              <w:gridCol w:w="208"/>
              <w:gridCol w:w="354"/>
              <w:gridCol w:w="367"/>
            </w:tblGrid>
            <w:tr>
              <w:tc>
                <w:tcPr>
                  <w:tcW w:type="dxa" w:w="381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长安三小课桌椅采购项目</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学生课桌椅（核心产品）</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一、产品安全性：</w:t>
                  </w:r>
                  <w:r>
                    <w:br/>
                  </w:r>
                  <w:r>
                    <w:rPr>
                      <w:rFonts w:ascii="仿宋_GB2312" w:hAnsi="仿宋_GB2312" w:cs="仿宋_GB2312" w:eastAsia="仿宋_GB2312"/>
                      <w:sz w:val="24"/>
                      <w:color w:val="000000"/>
                    </w:rPr>
                    <w:t>1.人</w:t>
                  </w:r>
                  <w:r>
                    <w:rPr>
                      <w:rFonts w:ascii="仿宋_GB2312" w:hAnsi="仿宋_GB2312" w:cs="仿宋_GB2312" w:eastAsia="仿宋_GB2312"/>
                      <w:sz w:val="24"/>
                      <w:color w:val="000000"/>
                    </w:rPr>
                    <w:t>体接触和收藏物品的部位无毛刺、刃口、棱角等。</w:t>
                  </w:r>
                  <w:r>
                    <w:br/>
                  </w:r>
                  <w:r>
                    <w:rPr>
                      <w:rFonts w:ascii="仿宋_GB2312" w:hAnsi="仿宋_GB2312" w:cs="仿宋_GB2312" w:eastAsia="仿宋_GB2312"/>
                      <w:sz w:val="24"/>
                      <w:color w:val="000000"/>
                    </w:rPr>
                    <w:t>2.固定部位结合牢固无松动、无少件、透钉、漏钉(预留孔、选择孔除外)。</w:t>
                  </w:r>
                </w:p>
                <w:p>
                  <w:pPr>
                    <w:pStyle w:val="null3"/>
                    <w:jc w:val="both"/>
                  </w:pPr>
                  <w:r>
                    <w:rPr>
                      <w:rFonts w:ascii="仿宋_GB2312" w:hAnsi="仿宋_GB2312" w:cs="仿宋_GB2312" w:eastAsia="仿宋_GB2312"/>
                      <w:sz w:val="24"/>
                      <w:color w:val="000000"/>
                    </w:rPr>
                    <w:t>3.环保要求：须为中国环境标志产品(提供有效期内的十环认证证书并加盖公章)</w:t>
                  </w:r>
                </w:p>
                <w:p>
                  <w:pPr>
                    <w:pStyle w:val="null3"/>
                    <w:jc w:val="both"/>
                  </w:pPr>
                  <w:r>
                    <w:rPr>
                      <w:rFonts w:ascii="仿宋_GB2312" w:hAnsi="仿宋_GB2312" w:cs="仿宋_GB2312" w:eastAsia="仿宋_GB2312"/>
                      <w:sz w:val="24"/>
                      <w:b/>
                      <w:color w:val="000000"/>
                    </w:rPr>
                    <w:t>二、产品外观性：</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1"/>
                    </w:rPr>
                    <w:t>金属件外观</w:t>
                  </w:r>
                  <w:r>
                    <w:rPr>
                      <w:rFonts w:ascii="仿宋_GB2312" w:hAnsi="仿宋_GB2312" w:cs="仿宋_GB2312" w:eastAsia="仿宋_GB2312"/>
                      <w:sz w:val="21"/>
                    </w:rPr>
                    <w:t>-喷涂层：涂层应无漏喷、锈蚀和脱色、掉色现象；涂层应光滑均匀、色泽一致，应无流挂、疙瘩、皱皮、飞漆等缺陷；</w:t>
                  </w:r>
                </w:p>
                <w:p>
                  <w:pPr>
                    <w:pStyle w:val="null3"/>
                    <w:jc w:val="both"/>
                  </w:pPr>
                  <w:r>
                    <w:rPr>
                      <w:rFonts w:ascii="仿宋_GB2312" w:hAnsi="仿宋_GB2312" w:cs="仿宋_GB2312" w:eastAsia="仿宋_GB2312"/>
                      <w:sz w:val="21"/>
                    </w:rPr>
                    <w:t>2、塑料件外观：</w:t>
                  </w:r>
                  <w:r>
                    <w:rPr>
                      <w:rFonts w:ascii="仿宋_GB2312" w:hAnsi="仿宋_GB2312" w:cs="仿宋_GB2312" w:eastAsia="仿宋_GB2312"/>
                      <w:sz w:val="24"/>
                      <w:color w:val="000000"/>
                    </w:rPr>
                    <w:t>应无裂纹、明显变形、缩水、针孔；应无凹陷、飞边、折皱、疙瘩；应无气泡、杂质、伤痕、白印；表面应光洁，应无划痕、毛刺、拉毛、污渍；应无明显色差；</w:t>
                  </w:r>
                </w:p>
                <w:p>
                  <w:pPr>
                    <w:pStyle w:val="null3"/>
                    <w:jc w:val="both"/>
                  </w:pPr>
                  <w:r>
                    <w:rPr>
                      <w:rFonts w:ascii="仿宋_GB2312" w:hAnsi="仿宋_GB2312" w:cs="仿宋_GB2312" w:eastAsia="仿宋_GB2312"/>
                      <w:sz w:val="24"/>
                      <w:b/>
                      <w:color w:val="000000"/>
                    </w:rPr>
                    <w:t>三、升降课桌</w:t>
                  </w:r>
                  <w:r>
                    <w:br/>
                  </w:r>
                  <w:r>
                    <w:rPr>
                      <w:rFonts w:ascii="仿宋_GB2312" w:hAnsi="仿宋_GB2312" w:cs="仿宋_GB2312" w:eastAsia="仿宋_GB2312"/>
                      <w:sz w:val="24"/>
                      <w:color w:val="000000"/>
                    </w:rPr>
                    <w:t>1、单人升降课桌，课桌整体尺寸约610mm×405mm×（690mm～750mm）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①桌面规格：610mm×405mm×18mm±2mmE1级中纤密度板。桌面由环保板材采用TPU软料经模具一次注塑封边成型，桌面四周圆润平滑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②桌面前面，左边，右边的塑料封边各有4.6mm±2mm的斜坡，封边的内圈同面板保持水平平面，增加舒适度防止桌面上的文具和书本轻易滑落；桌面前方带有笔槽，笔槽长、宽和深度分别是250mm×28mm×8mm±2mm；桌面靠学生</w:t>
                  </w:r>
                  <w:r>
                    <w:rPr>
                      <w:rFonts w:ascii="仿宋_GB2312" w:hAnsi="仿宋_GB2312" w:cs="仿宋_GB2312" w:eastAsia="仿宋_GB2312"/>
                      <w:sz w:val="24"/>
                      <w:color w:val="000000"/>
                    </w:rPr>
                    <w:t>端</w:t>
                  </w:r>
                  <w:r>
                    <w:rPr>
                      <w:rFonts w:ascii="仿宋_GB2312" w:hAnsi="仿宋_GB2312" w:cs="仿宋_GB2312" w:eastAsia="仿宋_GB2312"/>
                      <w:sz w:val="24"/>
                      <w:color w:val="000000"/>
                    </w:rPr>
                    <w:t>有内凹设计，凹面的尺寸长为</w:t>
                  </w:r>
                  <w:r>
                    <w:rPr>
                      <w:rFonts w:ascii="仿宋_GB2312" w:hAnsi="仿宋_GB2312" w:cs="仿宋_GB2312" w:eastAsia="仿宋_GB2312"/>
                      <w:sz w:val="24"/>
                      <w:color w:val="000000"/>
                    </w:rPr>
                    <w:t>450mm±2mm，深度为28mm±2mm。内凹设计防止挤压胸腔。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2、桌斗规格</w:t>
                  </w:r>
                  <w:r>
                    <w:rPr>
                      <w:rFonts w:ascii="仿宋_GB2312" w:hAnsi="仿宋_GB2312" w:cs="仿宋_GB2312" w:eastAsia="仿宋_GB2312"/>
                      <w:sz w:val="24"/>
                      <w:color w:val="000000"/>
                    </w:rPr>
                    <w:t>≥4</w:t>
                  </w:r>
                  <w:r>
                    <w:rPr>
                      <w:rFonts w:ascii="仿宋_GB2312" w:hAnsi="仿宋_GB2312" w:cs="仿宋_GB2312" w:eastAsia="仿宋_GB2312"/>
                      <w:sz w:val="24"/>
                      <w:color w:val="000000"/>
                    </w:rPr>
                    <w:t>50×300×150mm。冷轧钢板一次冲压成型，钢板厚度≥0.6mm。</w:t>
                  </w:r>
                  <w:r>
                    <w:rPr>
                      <w:rFonts w:ascii="仿宋_GB2312" w:hAnsi="仿宋_GB2312" w:cs="仿宋_GB2312" w:eastAsia="仿宋_GB2312"/>
                      <w:sz w:val="24"/>
                      <w:color w:val="000000"/>
                    </w:rPr>
                    <w:t>桌斗加装</w:t>
                  </w:r>
                  <w:r>
                    <w:rPr>
                      <w:rFonts w:ascii="仿宋_GB2312" w:hAnsi="仿宋_GB2312" w:cs="仿宋_GB2312" w:eastAsia="仿宋_GB2312"/>
                      <w:sz w:val="24"/>
                    </w:rPr>
                    <w:t>≥</w:t>
                  </w:r>
                  <w:r>
                    <w:rPr>
                      <w:rFonts w:ascii="仿宋_GB2312" w:hAnsi="仿宋_GB2312" w:cs="仿宋_GB2312" w:eastAsia="仿宋_GB2312"/>
                      <w:sz w:val="24"/>
                      <w:color w:val="000000"/>
                    </w:rPr>
                    <w:t>12×20×1.2mm矩管折弯U型加强筋。</w:t>
                  </w:r>
                  <w:r>
                    <w:br/>
                  </w:r>
                  <w:r>
                    <w:rPr>
                      <w:rFonts w:ascii="仿宋_GB2312" w:hAnsi="仿宋_GB2312" w:cs="仿宋_GB2312" w:eastAsia="仿宋_GB2312"/>
                      <w:sz w:val="24"/>
                      <w:color w:val="000000"/>
                    </w:rPr>
                    <w:t>3、金属桌架立柱下管采用 25×50mm 椭圆钢管，上管及桌下横撑采用 20×40mm 椭圆钢管，壁厚</w:t>
                  </w:r>
                  <w:r>
                    <w:rPr>
                      <w:rFonts w:ascii="仿宋_GB2312" w:hAnsi="仿宋_GB2312" w:cs="仿宋_GB2312" w:eastAsia="仿宋_GB2312"/>
                      <w:sz w:val="24"/>
                    </w:rPr>
                    <w:t>≥</w:t>
                  </w:r>
                  <w:r>
                    <w:rPr>
                      <w:rFonts w:ascii="仿宋_GB2312" w:hAnsi="仿宋_GB2312" w:cs="仿宋_GB2312" w:eastAsia="仿宋_GB2312"/>
                      <w:sz w:val="24"/>
                      <w:color w:val="000000"/>
                    </w:rPr>
                    <w:t>1.2mm，采用螺丝调节升降。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4、书斗前上支撑采用 ≥20×20mm、壁厚≥1.2mm 方管，提升承重能力与结构稳定；前下支撑采用≥ 20×40mm</w:t>
                  </w:r>
                  <w:r>
                    <w:rPr>
                      <w:rFonts w:ascii="仿宋_GB2312" w:hAnsi="仿宋_GB2312" w:cs="仿宋_GB2312" w:eastAsia="仿宋_GB2312"/>
                      <w:sz w:val="24"/>
                      <w:color w:val="000000"/>
                    </w:rPr>
                    <w:t>U型推弯</w:t>
                  </w:r>
                  <w:r>
                    <w:rPr>
                      <w:rFonts w:ascii="仿宋_GB2312" w:hAnsi="仿宋_GB2312" w:cs="仿宋_GB2312" w:eastAsia="仿宋_GB2312"/>
                      <w:sz w:val="24"/>
                      <w:color w:val="000000"/>
                    </w:rPr>
                    <w:t>、壁厚</w:t>
                  </w:r>
                  <w:r>
                    <w:rPr>
                      <w:rFonts w:ascii="仿宋_GB2312" w:hAnsi="仿宋_GB2312" w:cs="仿宋_GB2312" w:eastAsia="仿宋_GB2312"/>
                      <w:sz w:val="24"/>
                      <w:color w:val="000000"/>
                    </w:rPr>
                    <w:t>≥1.2mm椭圆形钢管（便于学校进行编号标识）。</w:t>
                  </w:r>
                </w:p>
                <w:p>
                  <w:pPr>
                    <w:pStyle w:val="null3"/>
                    <w:jc w:val="both"/>
                  </w:pPr>
                  <w:r>
                    <w:rPr>
                      <w:rFonts w:ascii="仿宋_GB2312" w:hAnsi="仿宋_GB2312" w:cs="仿宋_GB2312" w:eastAsia="仿宋_GB2312"/>
                      <w:sz w:val="24"/>
                      <w:b/>
                      <w:color w:val="000000"/>
                    </w:rPr>
                    <w:t>四、单人升降课椅</w:t>
                  </w:r>
                </w:p>
                <w:p>
                  <w:pPr>
                    <w:pStyle w:val="null3"/>
                    <w:numPr>
                      <w:ilvl w:val="0"/>
                      <w:numId w:val="1"/>
                    </w:numPr>
                    <w:jc w:val="both"/>
                  </w:pPr>
                  <w:r>
                    <w:rPr>
                      <w:rFonts w:ascii="仿宋_GB2312" w:hAnsi="仿宋_GB2312" w:cs="仿宋_GB2312" w:eastAsia="仿宋_GB2312"/>
                      <w:sz w:val="21"/>
                    </w:rPr>
                    <w:t>单人升降课椅，课椅整体规格：约</w:t>
                  </w:r>
                  <w:r>
                    <w:rPr>
                      <w:rFonts w:ascii="仿宋_GB2312" w:hAnsi="仿宋_GB2312" w:cs="仿宋_GB2312" w:eastAsia="仿宋_GB2312"/>
                      <w:sz w:val="21"/>
                    </w:rPr>
                    <w:t>420mm×395mm</w:t>
                  </w:r>
                  <w:r>
                    <w:rPr>
                      <w:rFonts w:ascii="仿宋_GB2312" w:hAnsi="仿宋_GB2312" w:cs="仿宋_GB2312" w:eastAsia="仿宋_GB2312"/>
                      <w:sz w:val="24"/>
                      <w:color w:val="000000"/>
                    </w:rPr>
                    <w:t>×</w:t>
                  </w:r>
                  <w:r>
                    <w:rPr>
                      <w:rFonts w:ascii="仿宋_GB2312" w:hAnsi="仿宋_GB2312" w:cs="仿宋_GB2312" w:eastAsia="仿宋_GB2312"/>
                      <w:sz w:val="21"/>
                    </w:rPr>
                    <w:t>（</w:t>
                  </w:r>
                  <w:r>
                    <w:rPr>
                      <w:rFonts w:ascii="仿宋_GB2312" w:hAnsi="仿宋_GB2312" w:cs="仿宋_GB2312" w:eastAsia="仿宋_GB2312"/>
                      <w:sz w:val="21"/>
                    </w:rPr>
                    <w:t>420mm</w:t>
                  </w:r>
                  <w:r>
                    <w:rPr>
                      <w:rFonts w:ascii="仿宋_GB2312" w:hAnsi="仿宋_GB2312" w:cs="仿宋_GB2312" w:eastAsia="仿宋_GB2312"/>
                      <w:sz w:val="24"/>
                      <w:color w:val="000000"/>
                    </w:rPr>
                    <w:t>～</w:t>
                  </w:r>
                  <w:r>
                    <w:rPr>
                      <w:rFonts w:ascii="仿宋_GB2312" w:hAnsi="仿宋_GB2312" w:cs="仿宋_GB2312" w:eastAsia="仿宋_GB2312"/>
                      <w:sz w:val="21"/>
                    </w:rPr>
                    <w:t>750mm）</w:t>
                  </w:r>
                  <w:r>
                    <w:br/>
                  </w:r>
                  <w:r>
                    <w:rPr>
                      <w:rFonts w:ascii="仿宋_GB2312" w:hAnsi="仿宋_GB2312" w:cs="仿宋_GB2312" w:eastAsia="仿宋_GB2312"/>
                      <w:sz w:val="21"/>
                    </w:rPr>
                    <w:t>①椅面材质：PP耐冲击塑料一体注塑成型。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②靠背尺寸：420mm×320mm±2mm。</w:t>
                  </w:r>
                </w:p>
                <w:p>
                  <w:pPr>
                    <w:pStyle w:val="null3"/>
                    <w:jc w:val="both"/>
                  </w:pPr>
                  <w:r>
                    <w:rPr>
                      <w:rFonts w:ascii="仿宋_GB2312" w:hAnsi="仿宋_GB2312" w:cs="仿宋_GB2312" w:eastAsia="仿宋_GB2312"/>
                      <w:sz w:val="21"/>
                    </w:rPr>
                    <w:t>靠背中间有内凹式曲线弧度设计，靠背设有多个通风透气槽。背板上宽</w:t>
                  </w:r>
                  <w:r>
                    <w:rPr>
                      <w:rFonts w:ascii="仿宋_GB2312" w:hAnsi="仿宋_GB2312" w:cs="仿宋_GB2312" w:eastAsia="仿宋_GB2312"/>
                      <w:sz w:val="21"/>
                    </w:rPr>
                    <w:t>420mm，背板中间宽380mm，背板下宽330mm。靠背透气，坐姿舒适，耐冲击、抗压、耐磨；坐板尺寸：420mm×395mm±3mm。</w:t>
                  </w:r>
                </w:p>
                <w:p>
                  <w:pPr>
                    <w:pStyle w:val="null3"/>
                    <w:numPr>
                      <w:ilvl w:val="0"/>
                      <w:numId w:val="1"/>
                    </w:numPr>
                    <w:jc w:val="both"/>
                  </w:pPr>
                  <w:r>
                    <w:rPr>
                      <w:rFonts w:ascii="仿宋_GB2312" w:hAnsi="仿宋_GB2312" w:cs="仿宋_GB2312" w:eastAsia="仿宋_GB2312"/>
                      <w:sz w:val="21"/>
                    </w:rPr>
                    <w:t>椅面采用人体工程学设计，坐垫中间有内凹式设计，内凹约</w:t>
                  </w:r>
                  <w:r>
                    <w:rPr>
                      <w:rFonts w:ascii="仿宋_GB2312" w:hAnsi="仿宋_GB2312" w:cs="仿宋_GB2312" w:eastAsia="仿宋_GB2312"/>
                      <w:sz w:val="21"/>
                    </w:rPr>
                    <w:t>45mm，坐垫前端有波浪型加瀑布型设计，椅面设有多个通风透气槽。坐板前宽420mm，坐板后宽360mm。</w:t>
                  </w:r>
                </w:p>
                <w:p>
                  <w:pPr>
                    <w:pStyle w:val="null3"/>
                    <w:numPr>
                      <w:ilvl w:val="0"/>
                      <w:numId w:val="1"/>
                    </w:numPr>
                    <w:jc w:val="both"/>
                  </w:pPr>
                  <w:r>
                    <w:rPr>
                      <w:rFonts w:ascii="仿宋_GB2312" w:hAnsi="仿宋_GB2312" w:cs="仿宋_GB2312" w:eastAsia="仿宋_GB2312"/>
                      <w:sz w:val="21"/>
                    </w:rPr>
                    <w:t>椅腿采用螺丝升降，椅脚采用</w:t>
                  </w:r>
                  <w:r>
                    <w:rPr>
                      <w:rFonts w:ascii="仿宋_GB2312" w:hAnsi="仿宋_GB2312" w:cs="仿宋_GB2312" w:eastAsia="仿宋_GB2312"/>
                      <w:sz w:val="24"/>
                      <w:color w:val="000000"/>
                    </w:rPr>
                    <w:t>≥</w:t>
                  </w:r>
                  <w:r>
                    <w:rPr>
                      <w:rFonts w:ascii="仿宋_GB2312" w:hAnsi="仿宋_GB2312" w:cs="仿宋_GB2312" w:eastAsia="仿宋_GB2312"/>
                      <w:sz w:val="21"/>
                    </w:rPr>
                    <w:t>30×60mm，≥1.2mm椭圆形钢管。椅架上管采用</w:t>
                  </w:r>
                  <w:r>
                    <w:rPr>
                      <w:rFonts w:ascii="仿宋_GB2312" w:hAnsi="仿宋_GB2312" w:cs="仿宋_GB2312" w:eastAsia="仿宋_GB2312"/>
                      <w:sz w:val="24"/>
                      <w:color w:val="000000"/>
                    </w:rPr>
                    <w:t>≥</w:t>
                  </w:r>
                  <w:r>
                    <w:rPr>
                      <w:rFonts w:ascii="仿宋_GB2312" w:hAnsi="仿宋_GB2312" w:cs="仿宋_GB2312" w:eastAsia="仿宋_GB2312"/>
                      <w:sz w:val="21"/>
                    </w:rPr>
                    <w:t>20×50mm，≥1.2mm椭圆形钢管，下管采用</w:t>
                  </w:r>
                  <w:r>
                    <w:rPr>
                      <w:rFonts w:ascii="仿宋_GB2312" w:hAnsi="仿宋_GB2312" w:cs="仿宋_GB2312" w:eastAsia="仿宋_GB2312"/>
                      <w:sz w:val="24"/>
                      <w:color w:val="000000"/>
                    </w:rPr>
                    <w:t>≥</w:t>
                  </w:r>
                  <w:r>
                    <w:rPr>
                      <w:rFonts w:ascii="仿宋_GB2312" w:hAnsi="仿宋_GB2312" w:cs="仿宋_GB2312" w:eastAsia="仿宋_GB2312"/>
                      <w:sz w:val="21"/>
                    </w:rPr>
                    <w:t>30×60mm，≥1.2mm厚椭圆形钢管。采用螺丝升降，升降平稳。</w:t>
                  </w:r>
                </w:p>
                <w:p>
                  <w:pPr>
                    <w:pStyle w:val="null3"/>
                    <w:numPr>
                      <w:ilvl w:val="0"/>
                      <w:numId w:val="1"/>
                    </w:numPr>
                    <w:jc w:val="both"/>
                  </w:pPr>
                  <w:r>
                    <w:rPr>
                      <w:rFonts w:ascii="仿宋_GB2312" w:hAnsi="仿宋_GB2312" w:cs="仿宋_GB2312" w:eastAsia="仿宋_GB2312"/>
                      <w:sz w:val="21"/>
                    </w:rPr>
                    <w:t>椅面与椅腿采用</w:t>
                  </w:r>
                  <w:r>
                    <w:rPr>
                      <w:rFonts w:ascii="仿宋_GB2312" w:hAnsi="仿宋_GB2312" w:cs="仿宋_GB2312" w:eastAsia="仿宋_GB2312"/>
                      <w:sz w:val="24"/>
                      <w:color w:val="000000"/>
                    </w:rPr>
                    <w:t>≥</w:t>
                  </w:r>
                  <w:r>
                    <w:rPr>
                      <w:rFonts w:ascii="仿宋_GB2312" w:hAnsi="仿宋_GB2312" w:cs="仿宋_GB2312" w:eastAsia="仿宋_GB2312"/>
                      <w:sz w:val="21"/>
                    </w:rPr>
                    <w:t>5×25mm自攻钉联接。</w:t>
                  </w:r>
                </w:p>
                <w:p>
                  <w:pPr>
                    <w:pStyle w:val="null3"/>
                    <w:jc w:val="both"/>
                  </w:pPr>
                  <w:r>
                    <w:rPr>
                      <w:rFonts w:ascii="仿宋_GB2312" w:hAnsi="仿宋_GB2312" w:cs="仿宋_GB2312" w:eastAsia="仿宋_GB2312"/>
                      <w:sz w:val="21"/>
                    </w:rPr>
                    <w:t>五、技术标准及要求</w:t>
                  </w:r>
                </w:p>
                <w:p>
                  <w:pPr>
                    <w:pStyle w:val="null3"/>
                    <w:jc w:val="both"/>
                  </w:pPr>
                  <w:r>
                    <w:rPr>
                      <w:rFonts w:ascii="仿宋_GB2312" w:hAnsi="仿宋_GB2312" w:cs="仿宋_GB2312" w:eastAsia="仿宋_GB2312"/>
                      <w:sz w:val="21"/>
                    </w:rPr>
                    <w:t>1.桌斗两侧设有焊接挂钩。</w:t>
                  </w:r>
                </w:p>
                <w:p>
                  <w:pPr>
                    <w:pStyle w:val="null3"/>
                    <w:jc w:val="both"/>
                  </w:pPr>
                  <w:r>
                    <w:rPr>
                      <w:rFonts w:ascii="仿宋_GB2312" w:hAnsi="仿宋_GB2312" w:cs="仿宋_GB2312" w:eastAsia="仿宋_GB2312"/>
                      <w:sz w:val="21"/>
                    </w:rPr>
                    <w:t>2.桌椅腿采用二氧化碳气体保护焊接，要求焊道满焊均匀，无假焊、漏焊、夹渣等现象。</w:t>
                  </w:r>
                </w:p>
                <w:p>
                  <w:pPr>
                    <w:pStyle w:val="null3"/>
                    <w:jc w:val="both"/>
                  </w:pPr>
                  <w:r>
                    <w:rPr>
                      <w:rFonts w:ascii="仿宋_GB2312" w:hAnsi="仿宋_GB2312" w:cs="仿宋_GB2312" w:eastAsia="仿宋_GB2312"/>
                      <w:sz w:val="21"/>
                    </w:rPr>
                    <w:t>3.桌椅金属部分表面除锈。</w:t>
                  </w:r>
                </w:p>
                <w:p>
                  <w:pPr>
                    <w:pStyle w:val="null3"/>
                    <w:jc w:val="both"/>
                  </w:pPr>
                  <w:r>
                    <w:rPr>
                      <w:rFonts w:ascii="仿宋_GB2312" w:hAnsi="仿宋_GB2312" w:cs="仿宋_GB2312" w:eastAsia="仿宋_GB2312"/>
                      <w:sz w:val="21"/>
                    </w:rPr>
                    <w:t>4.桌椅腿垫配护套，升降调节件采用高压聚乙希注塑成型，底脚耐磨，垫脚厚度</w:t>
                  </w:r>
                  <w:r>
                    <w:rPr>
                      <w:rFonts w:ascii="仿宋_GB2312" w:hAnsi="仿宋_GB2312" w:cs="仿宋_GB2312" w:eastAsia="仿宋_GB2312"/>
                      <w:sz w:val="24"/>
                      <w:color w:val="000000"/>
                    </w:rPr>
                    <w:t>≥</w:t>
                  </w:r>
                  <w:r>
                    <w:rPr>
                      <w:rFonts w:ascii="仿宋_GB2312" w:hAnsi="仿宋_GB2312" w:cs="仿宋_GB2312" w:eastAsia="仿宋_GB2312"/>
                      <w:sz w:val="21"/>
                    </w:rPr>
                    <w:t>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4"/>
                      <w:color w:val="000000"/>
                    </w:rPr>
                    <w:t>具有良好的</w:t>
                  </w:r>
                  <w:r>
                    <w:rPr>
                      <w:rFonts w:ascii="仿宋_GB2312" w:hAnsi="仿宋_GB2312" w:cs="仿宋_GB2312" w:eastAsia="仿宋_GB2312"/>
                      <w:sz w:val="21"/>
                    </w:rPr>
                    <w:t>耐腐蚀</w:t>
                  </w:r>
                  <w:r>
                    <w:rPr>
                      <w:rFonts w:ascii="仿宋_GB2312" w:hAnsi="仿宋_GB2312" w:cs="仿宋_GB2312" w:eastAsia="仿宋_GB2312"/>
                      <w:sz w:val="21"/>
                    </w:rPr>
                    <w:t>性，</w:t>
                  </w:r>
                  <w:r>
                    <w:rPr>
                      <w:rFonts w:ascii="仿宋_GB2312" w:hAnsi="仿宋_GB2312" w:cs="仿宋_GB2312" w:eastAsia="仿宋_GB2312"/>
                      <w:sz w:val="21"/>
                    </w:rPr>
                    <w:t>耐腐蚀试验中性盐雾试验</w:t>
                  </w:r>
                  <w:r>
                    <w:rPr>
                      <w:rFonts w:ascii="仿宋_GB2312" w:hAnsi="仿宋_GB2312" w:cs="仿宋_GB2312" w:eastAsia="仿宋_GB2312"/>
                      <w:sz w:val="21"/>
                    </w:rPr>
                    <w:t>(NSS)法-18h企业产品技术要求:中性盐雾试验(NSS)法耐腐蚀等级达到10级</w:t>
                  </w:r>
                  <w:r>
                    <w:rPr>
                      <w:rFonts w:ascii="仿宋_GB2312" w:hAnsi="仿宋_GB2312" w:cs="仿宋_GB2312" w:eastAsia="仿宋_GB2312"/>
                      <w:sz w:val="21"/>
                    </w:rPr>
                    <w:t>；</w:t>
                  </w:r>
                  <w:r>
                    <w:rPr>
                      <w:rFonts w:ascii="仿宋_GB2312" w:hAnsi="仿宋_GB2312" w:cs="仿宋_GB2312" w:eastAsia="仿宋_GB2312"/>
                      <w:sz w:val="21"/>
                    </w:rPr>
                    <w:t>课桌椅产品表面涂层可迁移元素的限量</w:t>
                  </w:r>
                  <w:r>
                    <w:rPr>
                      <w:rFonts w:ascii="仿宋_GB2312" w:hAnsi="仿宋_GB2312" w:cs="仿宋_GB2312" w:eastAsia="仿宋_GB2312"/>
                      <w:sz w:val="21"/>
                    </w:rPr>
                    <w:t>:锑(Sb)≤60mg/kg，砷(As)≤25mg/kg，钡(Ba)≤1000mg/kg，镉(Cd)≤75mg/kg，铬(Cr)≤60mg/kg，铅(Pb)≤90mg/kg，汞(Hg)≤60mg/kg，硒(Se)≤500mg/kg；</w:t>
                  </w:r>
                  <w:r>
                    <w:rPr>
                      <w:rFonts w:ascii="仿宋_GB2312" w:hAnsi="仿宋_GB2312" w:cs="仿宋_GB2312" w:eastAsia="仿宋_GB2312"/>
                      <w:sz w:val="24"/>
                      <w:color w:val="000000"/>
                    </w:rPr>
                    <w:t>为了保证</w:t>
                  </w:r>
                  <w:r>
                    <w:rPr>
                      <w:rFonts w:ascii="仿宋_GB2312" w:hAnsi="仿宋_GB2312" w:cs="仿宋_GB2312" w:eastAsia="仿宋_GB2312"/>
                      <w:sz w:val="24"/>
                    </w:rPr>
                    <w:t>产品塑料部件耐热性能良好，维卡软化温度（</w:t>
                  </w:r>
                  <w:r>
                    <w:rPr>
                      <w:rFonts w:ascii="仿宋_GB2312" w:hAnsi="仿宋_GB2312" w:cs="仿宋_GB2312" w:eastAsia="仿宋_GB2312"/>
                      <w:sz w:val="24"/>
                    </w:rPr>
                    <w:t>A50）</w:t>
                  </w:r>
                  <w:r>
                    <w:rPr>
                      <w:rFonts w:ascii="仿宋_GB2312" w:hAnsi="仿宋_GB2312" w:cs="仿宋_GB2312" w:eastAsia="仿宋_GB2312"/>
                      <w:sz w:val="24"/>
                      <w:color w:val="000000"/>
                    </w:rPr>
                    <w:t>≥</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产品塑料部件及表面涂层耐霉菌性能优良，</w:t>
                  </w:r>
                  <w:r>
                    <w:rPr>
                      <w:rFonts w:ascii="仿宋_GB2312" w:hAnsi="仿宋_GB2312" w:cs="仿宋_GB2312" w:eastAsia="仿宋_GB2312"/>
                      <w:sz w:val="24"/>
                      <w:color w:val="1F2329"/>
                    </w:rPr>
                    <w:t>经里氏木霉检测，耐霉菌性等级达到</w:t>
                  </w:r>
                  <w:r>
                    <w:rPr>
                      <w:rFonts w:ascii="仿宋_GB2312" w:hAnsi="仿宋_GB2312" w:cs="仿宋_GB2312" w:eastAsia="仿宋_GB2312"/>
                      <w:sz w:val="24"/>
                      <w:color w:val="1F2329"/>
                    </w:rPr>
                    <w:t>0级</w:t>
                  </w:r>
                  <w:r>
                    <w:rPr>
                      <w:rFonts w:ascii="仿宋_GB2312" w:hAnsi="仿宋_GB2312" w:cs="仿宋_GB2312" w:eastAsia="仿宋_GB2312"/>
                      <w:sz w:val="24"/>
                    </w:rPr>
                    <w:t>，在潮湿环境下不易滋生霉菌，环保卫生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w:t>
                  </w:r>
                  <w:r>
                    <w:rPr>
                      <w:rFonts w:ascii="仿宋_GB2312" w:hAnsi="仿宋_GB2312" w:cs="仿宋_GB2312" w:eastAsia="仿宋_GB2312"/>
                      <w:sz w:val="24"/>
                    </w:rPr>
                    <w:t>学生课桌椅与</w:t>
                  </w:r>
                  <w:r>
                    <w:rPr>
                      <w:rFonts w:ascii="仿宋_GB2312" w:hAnsi="仿宋_GB2312" w:cs="仿宋_GB2312" w:eastAsia="仿宋_GB2312"/>
                      <w:sz w:val="24"/>
                    </w:rPr>
                    <w:t>人体接触部位</w:t>
                  </w:r>
                  <w:r>
                    <w:rPr>
                      <w:rFonts w:ascii="仿宋_GB2312" w:hAnsi="仿宋_GB2312" w:cs="仿宋_GB2312" w:eastAsia="仿宋_GB2312"/>
                      <w:sz w:val="24"/>
                      <w:color w:val="1F2329"/>
                    </w:rPr>
                    <w:t>抗菌性能优良</w:t>
                  </w:r>
                  <w:r>
                    <w:rPr>
                      <w:rFonts w:ascii="仿宋_GB2312" w:hAnsi="仿宋_GB2312" w:cs="仿宋_GB2312" w:eastAsia="仿宋_GB2312"/>
                      <w:sz w:val="24"/>
                    </w:rPr>
                    <w:t>，针对枯草芽孢杆菌</w:t>
                  </w:r>
                  <w:r>
                    <w:rPr>
                      <w:rFonts w:ascii="仿宋_GB2312" w:hAnsi="仿宋_GB2312" w:cs="仿宋_GB2312" w:eastAsia="仿宋_GB2312"/>
                      <w:sz w:val="24"/>
                      <w:color w:val="1F2329"/>
                    </w:rPr>
                    <w:t>抑菌率</w:t>
                  </w:r>
                  <w:r>
                    <w:rPr>
                      <w:rFonts w:ascii="仿宋_GB2312" w:hAnsi="仿宋_GB2312" w:cs="仿宋_GB2312" w:eastAsia="仿宋_GB2312"/>
                      <w:sz w:val="24"/>
                      <w:color w:val="1F2329"/>
                    </w:rPr>
                    <w:t>≥99%</w:t>
                  </w:r>
                  <w:r>
                    <w:rPr>
                      <w:rFonts w:ascii="仿宋_GB2312" w:hAnsi="仿宋_GB2312" w:cs="仿宋_GB2312" w:eastAsia="仿宋_GB2312"/>
                      <w:sz w:val="24"/>
                    </w:rPr>
                    <w:t>，具有较好抗菌效果，卫生安全，适合校园公共环境使用。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提供升降课桌、单人升降课椅样品，样品要求：</w:t>
                  </w:r>
                  <w:r>
                    <w:rPr>
                      <w:rFonts w:ascii="仿宋_GB2312" w:hAnsi="仿宋_GB2312" w:cs="仿宋_GB2312" w:eastAsia="仿宋_GB2312"/>
                      <w:sz w:val="24"/>
                    </w:rPr>
                    <w:t>所</w:t>
                  </w:r>
                  <w:r>
                    <w:rPr>
                      <w:rFonts w:ascii="仿宋_GB2312" w:hAnsi="仿宋_GB2312" w:cs="仿宋_GB2312" w:eastAsia="仿宋_GB2312"/>
                      <w:sz w:val="24"/>
                    </w:rPr>
                    <w:t>提供</w:t>
                  </w:r>
                  <w:r>
                    <w:rPr>
                      <w:rFonts w:ascii="仿宋_GB2312" w:hAnsi="仿宋_GB2312" w:cs="仿宋_GB2312" w:eastAsia="仿宋_GB2312"/>
                      <w:sz w:val="24"/>
                    </w:rPr>
                    <w:t>样品</w:t>
                  </w:r>
                  <w:r>
                    <w:rPr>
                      <w:rFonts w:ascii="仿宋_GB2312" w:hAnsi="仿宋_GB2312" w:cs="仿宋_GB2312" w:eastAsia="仿宋_GB2312"/>
                      <w:sz w:val="24"/>
                      <w:color w:val="1F2329"/>
                    </w:rPr>
                    <w:t>完全满足本</w:t>
                  </w:r>
                  <w:r>
                    <w:rPr>
                      <w:rFonts w:ascii="仿宋_GB2312" w:hAnsi="仿宋_GB2312" w:cs="仿宋_GB2312" w:eastAsia="仿宋_GB2312"/>
                      <w:sz w:val="24"/>
                      <w:color w:val="1F2329"/>
                    </w:rPr>
                    <w:t>谈判</w:t>
                  </w:r>
                  <w:r>
                    <w:rPr>
                      <w:rFonts w:ascii="仿宋_GB2312" w:hAnsi="仿宋_GB2312" w:cs="仿宋_GB2312" w:eastAsia="仿宋_GB2312"/>
                      <w:sz w:val="24"/>
                      <w:color w:val="1F2329"/>
                    </w:rPr>
                    <w:t>文件全部</w:t>
                  </w:r>
                  <w:r>
                    <w:rPr>
                      <w:rFonts w:ascii="仿宋_GB2312" w:hAnsi="仿宋_GB2312" w:cs="仿宋_GB2312" w:eastAsia="仿宋_GB2312"/>
                      <w:sz w:val="24"/>
                      <w:color w:val="1F2329"/>
                    </w:rPr>
                    <w:t>实质性</w:t>
                  </w:r>
                  <w:r>
                    <w:rPr>
                      <w:rFonts w:ascii="仿宋_GB2312" w:hAnsi="仿宋_GB2312" w:cs="仿宋_GB2312" w:eastAsia="仿宋_GB2312"/>
                      <w:sz w:val="24"/>
                      <w:color w:val="1F2329"/>
                    </w:rPr>
                    <w:t>技术参数要求</w:t>
                  </w:r>
                  <w:r>
                    <w:rPr>
                      <w:rFonts w:ascii="仿宋_GB2312" w:hAnsi="仿宋_GB2312" w:cs="仿宋_GB2312" w:eastAsia="仿宋_GB2312"/>
                      <w:sz w:val="24"/>
                    </w:rPr>
                    <w:t>；</w:t>
                  </w:r>
                  <w:r>
                    <w:rPr>
                      <w:rFonts w:ascii="仿宋_GB2312" w:hAnsi="仿宋_GB2312" w:cs="仿宋_GB2312" w:eastAsia="仿宋_GB2312"/>
                      <w:sz w:val="24"/>
                    </w:rPr>
                    <w:t>凡</w:t>
                  </w:r>
                  <w:r>
                    <w:rPr>
                      <w:rFonts w:ascii="仿宋_GB2312" w:hAnsi="仿宋_GB2312" w:cs="仿宋_GB2312" w:eastAsia="仿宋_GB2312"/>
                      <w:sz w:val="24"/>
                    </w:rPr>
                    <w:t>谈判</w:t>
                  </w:r>
                  <w:r>
                    <w:rPr>
                      <w:rFonts w:ascii="仿宋_GB2312" w:hAnsi="仿宋_GB2312" w:cs="仿宋_GB2312" w:eastAsia="仿宋_GB2312"/>
                      <w:sz w:val="24"/>
                    </w:rPr>
                    <w:t>文件中标注</w:t>
                  </w:r>
                  <w:r>
                    <w:rPr>
                      <w:rFonts w:ascii="仿宋_GB2312" w:hAnsi="仿宋_GB2312" w:cs="仿宋_GB2312" w:eastAsia="仿宋_GB2312"/>
                      <w:sz w:val="24"/>
                    </w:rPr>
                    <w:t>“</w:t>
                  </w:r>
                  <w:r>
                    <w:rPr>
                      <w:rFonts w:ascii="仿宋_GB2312" w:hAnsi="仿宋_GB2312" w:cs="仿宋_GB2312" w:eastAsia="仿宋_GB2312"/>
                      <w:sz w:val="21"/>
                    </w:rPr>
                    <w:t>★</w:t>
                  </w:r>
                  <w:r>
                    <w:rPr>
                      <w:rFonts w:ascii="仿宋_GB2312" w:hAnsi="仿宋_GB2312" w:cs="仿宋_GB2312" w:eastAsia="仿宋_GB2312"/>
                      <w:sz w:val="24"/>
                    </w:rPr>
                    <w:t>” 的关键参数条款，</w:t>
                  </w:r>
                  <w:r>
                    <w:rPr>
                      <w:rFonts w:ascii="仿宋_GB2312" w:hAnsi="仿宋_GB2312" w:cs="仿宋_GB2312" w:eastAsia="仿宋_GB2312"/>
                      <w:sz w:val="24"/>
                    </w:rPr>
                    <w:t>均</w:t>
                  </w:r>
                  <w:r>
                    <w:rPr>
                      <w:rFonts w:ascii="仿宋_GB2312" w:hAnsi="仿宋_GB2312" w:cs="仿宋_GB2312" w:eastAsia="仿宋_GB2312"/>
                      <w:sz w:val="24"/>
                      <w:color w:val="1F2329"/>
                    </w:rPr>
                    <w:t>完全响应并无任何负偏离</w:t>
                  </w:r>
                  <w:r>
                    <w:rPr>
                      <w:rFonts w:ascii="仿宋_GB2312" w:hAnsi="仿宋_GB2312" w:cs="仿宋_GB2312" w:eastAsia="仿宋_GB2312"/>
                      <w:sz w:val="24"/>
                    </w:rPr>
                    <w:t>，若出现关键参数不满足或负偏离情况</w:t>
                  </w:r>
                  <w:r>
                    <w:rPr>
                      <w:rFonts w:ascii="仿宋_GB2312" w:hAnsi="仿宋_GB2312" w:cs="仿宋_GB2312" w:eastAsia="仿宋_GB2312"/>
                      <w:sz w:val="24"/>
                    </w:rPr>
                    <w:t>，</w:t>
                  </w:r>
                  <w:r>
                    <w:rPr>
                      <w:rFonts w:ascii="仿宋_GB2312" w:hAnsi="仿宋_GB2312" w:cs="仿宋_GB2312" w:eastAsia="仿宋_GB2312"/>
                      <w:sz w:val="24"/>
                    </w:rPr>
                    <w:t>视为无效投标</w:t>
                  </w:r>
                  <w:r>
                    <w:rPr>
                      <w:rFonts w:ascii="仿宋_GB2312" w:hAnsi="仿宋_GB2312" w:cs="仿宋_GB2312" w:eastAsia="仿宋_GB2312"/>
                      <w:sz w:val="24"/>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监控室拼接屏</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大屏幕拼接显示系统，屏体尺寸约</w:t>
                  </w:r>
                  <w:r>
                    <w:rPr>
                      <w:rFonts w:ascii="仿宋_GB2312" w:hAnsi="仿宋_GB2312" w:cs="仿宋_GB2312" w:eastAsia="仿宋_GB2312"/>
                      <w:sz w:val="24"/>
                      <w:color w:val="000000"/>
                    </w:rPr>
                    <w:t>2050×3640mm；</w:t>
                  </w:r>
                  <w:r>
                    <w:br/>
                  </w:r>
                  <w:r>
                    <w:rPr>
                      <w:rFonts w:ascii="仿宋_GB2312" w:hAnsi="仿宋_GB2312" w:cs="仿宋_GB2312" w:eastAsia="仿宋_GB2312"/>
                      <w:sz w:val="24"/>
                      <w:color w:val="000000"/>
                    </w:rPr>
                    <w:t>1、面板：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55英寸 D-LED直下式背光，硬屏（IPS）</w:t>
                  </w:r>
                  <w:r>
                    <w:br/>
                  </w:r>
                  <w:r>
                    <w:rPr>
                      <w:rFonts w:ascii="仿宋_GB2312" w:hAnsi="仿宋_GB2312" w:cs="仿宋_GB2312" w:eastAsia="仿宋_GB2312"/>
                      <w:sz w:val="24"/>
                      <w:color w:val="000000"/>
                    </w:rPr>
                    <w:t>2、拼缝：</w:t>
                  </w:r>
                  <w:r>
                    <w:rPr>
                      <w:rFonts w:ascii="仿宋_GB2312" w:hAnsi="仿宋_GB2312" w:cs="仿宋_GB2312" w:eastAsia="仿宋_GB2312"/>
                      <w:sz w:val="24"/>
                      <w:color w:val="000000"/>
                    </w:rPr>
                    <w:t>≥</w:t>
                  </w:r>
                  <w:r>
                    <w:rPr>
                      <w:rFonts w:ascii="仿宋_GB2312" w:hAnsi="仿宋_GB2312" w:cs="仿宋_GB2312" w:eastAsia="仿宋_GB2312"/>
                      <w:sz w:val="24"/>
                      <w:color w:val="000000"/>
                    </w:rPr>
                    <w:t>3.5mm（双边）</w:t>
                  </w:r>
                  <w:r>
                    <w:br/>
                  </w:r>
                  <w:r>
                    <w:rPr>
                      <w:rFonts w:ascii="仿宋_GB2312" w:hAnsi="仿宋_GB2312" w:cs="仿宋_GB2312" w:eastAsia="仿宋_GB2312"/>
                      <w:sz w:val="24"/>
                      <w:color w:val="000000"/>
                    </w:rPr>
                    <w:t>3、分辨率：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1920 × 1080（FHD），16:9 </w:t>
                  </w:r>
                  <w:r>
                    <w:br/>
                  </w:r>
                  <w:r>
                    <w:rPr>
                      <w:rFonts w:ascii="仿宋_GB2312" w:hAnsi="仿宋_GB2312" w:cs="仿宋_GB2312" w:eastAsia="仿宋_GB2312"/>
                      <w:sz w:val="24"/>
                      <w:color w:val="000000"/>
                    </w:rPr>
                    <w:t>4、亮度/对比度：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500cd/㎡ / 1200:1</w:t>
                  </w:r>
                  <w:r>
                    <w:br/>
                  </w:r>
                  <w:r>
                    <w:rPr>
                      <w:rFonts w:ascii="仿宋_GB2312" w:hAnsi="仿宋_GB2312" w:cs="仿宋_GB2312" w:eastAsia="仿宋_GB2312"/>
                      <w:sz w:val="24"/>
                      <w:color w:val="000000"/>
                    </w:rPr>
                    <w:t>5、可视角度：178°(H)/178°(V)</w:t>
                  </w:r>
                  <w:r>
                    <w:br/>
                  </w:r>
                  <w:r>
                    <w:rPr>
                      <w:rFonts w:ascii="仿宋_GB2312" w:hAnsi="仿宋_GB2312" w:cs="仿宋_GB2312" w:eastAsia="仿宋_GB2312"/>
                      <w:sz w:val="24"/>
                      <w:color w:val="000000"/>
                    </w:rPr>
                    <w:t>6、响应时间：8ms（典型值）</w:t>
                  </w:r>
                  <w:r>
                    <w:br/>
                  </w:r>
                  <w:r>
                    <w:rPr>
                      <w:rFonts w:ascii="仿宋_GB2312" w:hAnsi="仿宋_GB2312" w:cs="仿宋_GB2312" w:eastAsia="仿宋_GB2312"/>
                      <w:sz w:val="24"/>
                      <w:color w:val="000000"/>
                    </w:rPr>
                    <w:t>7、色彩：16.7M（8bit），72% NTSC色域</w:t>
                  </w:r>
                  <w:r>
                    <w:br/>
                  </w:r>
                  <w:r>
                    <w:rPr>
                      <w:rFonts w:ascii="仿宋_GB2312" w:hAnsi="仿宋_GB2312" w:cs="仿宋_GB2312" w:eastAsia="仿宋_GB2312"/>
                      <w:sz w:val="24"/>
                      <w:color w:val="000000"/>
                    </w:rPr>
                    <w:t>8、刷新率：</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60Hz </w:t>
                  </w:r>
                  <w:r>
                    <w:br/>
                  </w:r>
                  <w:r>
                    <w:rPr>
                      <w:rFonts w:ascii="仿宋_GB2312" w:hAnsi="仿宋_GB2312" w:cs="仿宋_GB2312" w:eastAsia="仿宋_GB2312"/>
                      <w:sz w:val="24"/>
                      <w:color w:val="000000"/>
                    </w:rPr>
                    <w:t>物理与电气规格：</w:t>
                  </w:r>
                  <w:r>
                    <w:br/>
                  </w:r>
                  <w:r>
                    <w:rPr>
                      <w:rFonts w:ascii="仿宋_GB2312" w:hAnsi="仿宋_GB2312" w:cs="仿宋_GB2312" w:eastAsia="仿宋_GB2312"/>
                      <w:sz w:val="24"/>
                      <w:color w:val="000000"/>
                    </w:rPr>
                    <w:t>1、显示尺寸：约1210mm(W)×680mm (H)</w:t>
                  </w:r>
                  <w:r>
                    <w:br/>
                  </w:r>
                  <w:r>
                    <w:rPr>
                      <w:rFonts w:ascii="仿宋_GB2312" w:hAnsi="仿宋_GB2312" w:cs="仿宋_GB2312" w:eastAsia="仿宋_GB2312"/>
                      <w:sz w:val="24"/>
                      <w:color w:val="000000"/>
                    </w:rPr>
                    <w:t>2、VESA孔位：12-M6螺丝孔，600mm×400mm</w:t>
                  </w:r>
                  <w:r>
                    <w:br/>
                  </w:r>
                  <w:r>
                    <w:rPr>
                      <w:rFonts w:ascii="仿宋_GB2312" w:hAnsi="仿宋_GB2312" w:cs="仿宋_GB2312" w:eastAsia="仿宋_GB2312"/>
                      <w:sz w:val="24"/>
                      <w:color w:val="000000"/>
                    </w:rPr>
                    <w:t>3、电源：100~240V AC，50/60Hz</w:t>
                  </w:r>
                  <w:r>
                    <w:br/>
                  </w:r>
                  <w:r>
                    <w:rPr>
                      <w:rFonts w:ascii="仿宋_GB2312" w:hAnsi="仿宋_GB2312" w:cs="仿宋_GB2312" w:eastAsia="仿宋_GB2312"/>
                      <w:sz w:val="24"/>
                      <w:color w:val="000000"/>
                    </w:rPr>
                    <w:t>4、工作环境：温度0~40℃，湿度20%~85%（无凝露）</w:t>
                  </w:r>
                  <w:r>
                    <w:br/>
                  </w:r>
                  <w:r>
                    <w:rPr>
                      <w:rFonts w:ascii="仿宋_GB2312" w:hAnsi="仿宋_GB2312" w:cs="仿宋_GB2312" w:eastAsia="仿宋_GB2312"/>
                      <w:sz w:val="24"/>
                      <w:color w:val="000000"/>
                    </w:rPr>
                    <w:t>接口与功能：</w:t>
                  </w:r>
                  <w:r>
                    <w:br/>
                  </w:r>
                  <w:r>
                    <w:rPr>
                      <w:rFonts w:ascii="仿宋_GB2312" w:hAnsi="仿宋_GB2312" w:cs="仿宋_GB2312" w:eastAsia="仿宋_GB2312"/>
                      <w:sz w:val="24"/>
                      <w:color w:val="000000"/>
                    </w:rPr>
                    <w:t>1、信号输入：HDMI×1、DVI-D×1、VGA×1、BNC（CVBS）×1</w:t>
                  </w:r>
                  <w:r>
                    <w:br/>
                  </w:r>
                  <w:r>
                    <w:rPr>
                      <w:rFonts w:ascii="仿宋_GB2312" w:hAnsi="仿宋_GB2312" w:cs="仿宋_GB2312" w:eastAsia="仿宋_GB2312"/>
                      <w:sz w:val="24"/>
                      <w:color w:val="000000"/>
                    </w:rPr>
                    <w:t>2、控制接口：RS232（RJ45）IN×1、OUT×1（支持多屏级联控制）</w:t>
                  </w:r>
                  <w:r>
                    <w:br/>
                  </w:r>
                  <w:r>
                    <w:rPr>
                      <w:rFonts w:ascii="仿宋_GB2312" w:hAnsi="仿宋_GB2312" w:cs="仿宋_GB2312" w:eastAsia="仿宋_GB2312"/>
                      <w:sz w:val="24"/>
                      <w:color w:val="000000"/>
                    </w:rPr>
                    <w:t>3、其他：IR-IN×1、USB×1</w:t>
                  </w:r>
                  <w:r>
                    <w:br/>
                  </w:r>
                  <w:r>
                    <w:rPr>
                      <w:rFonts w:ascii="仿宋_GB2312" w:hAnsi="仿宋_GB2312" w:cs="仿宋_GB2312" w:eastAsia="仿宋_GB2312"/>
                      <w:sz w:val="24"/>
                      <w:color w:val="000000"/>
                    </w:rPr>
                    <w:t>4、工业特性：支持7×24小时连续工作，平均无故障时间（MTBF）＞60000小时</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控制软件</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基于</w:t>
                  </w:r>
                  <w:r>
                    <w:rPr>
                      <w:rFonts w:ascii="仿宋_GB2312" w:hAnsi="仿宋_GB2312" w:cs="仿宋_GB2312" w:eastAsia="仿宋_GB2312"/>
                      <w:sz w:val="24"/>
                      <w:color w:val="000000"/>
                    </w:rPr>
                    <w:t>Windows平台的控制软件，可实现整屏显示方式，单屏显示，任意拼接等功能</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固定支架</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结构稳固，尺寸合理；</w:t>
                  </w:r>
                  <w:r>
                    <w:br/>
                  </w:r>
                  <w:r>
                    <w:rPr>
                      <w:rFonts w:ascii="仿宋_GB2312" w:hAnsi="仿宋_GB2312" w:cs="仿宋_GB2312" w:eastAsia="仿宋_GB2312"/>
                      <w:sz w:val="24"/>
                      <w:color w:val="000000"/>
                    </w:rPr>
                    <w:t>2、采用框架组装式设计，框架板材采用厚</w:t>
                  </w:r>
                  <w:r>
                    <w:rPr>
                      <w:rFonts w:ascii="仿宋_GB2312" w:hAnsi="仿宋_GB2312" w:cs="仿宋_GB2312" w:eastAsia="仿宋_GB2312"/>
                      <w:sz w:val="24"/>
                      <w:color w:val="000000"/>
                    </w:rPr>
                    <w:t>≥</w:t>
                  </w:r>
                  <w:r>
                    <w:rPr>
                      <w:rFonts w:ascii="仿宋_GB2312" w:hAnsi="仿宋_GB2312" w:cs="仿宋_GB2312" w:eastAsia="仿宋_GB2312"/>
                      <w:sz w:val="24"/>
                      <w:color w:val="000000"/>
                    </w:rPr>
                    <w:t>1.0mm，立柱</w:t>
                  </w:r>
                </w:p>
                <w:p>
                  <w:pPr>
                    <w:pStyle w:val="null3"/>
                    <w:jc w:val="left"/>
                  </w:pPr>
                  <w:r>
                    <w:rPr>
                      <w:rFonts w:ascii="仿宋_GB2312" w:hAnsi="仿宋_GB2312" w:cs="仿宋_GB2312" w:eastAsia="仿宋_GB2312"/>
                      <w:sz w:val="24"/>
                      <w:color w:val="000000"/>
                    </w:rPr>
                    <w:t>3、采用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1.5mm的冷轧钢板。</w:t>
                  </w:r>
                  <w:r>
                    <w:br/>
                  </w:r>
                  <w:r>
                    <w:rPr>
                      <w:rFonts w:ascii="仿宋_GB2312" w:hAnsi="仿宋_GB2312" w:cs="仿宋_GB2312" w:eastAsia="仿宋_GB2312"/>
                      <w:sz w:val="24"/>
                      <w:color w:val="000000"/>
                    </w:rPr>
                    <w:t>4、电视墙必须设计布线空间和通道。</w:t>
                  </w:r>
                  <w:r>
                    <w:br/>
                  </w:r>
                  <w:r>
                    <w:rPr>
                      <w:rFonts w:ascii="仿宋_GB2312" w:hAnsi="仿宋_GB2312" w:cs="仿宋_GB2312" w:eastAsia="仿宋_GB2312"/>
                      <w:sz w:val="24"/>
                      <w:color w:val="000000"/>
                    </w:rPr>
                    <w:t>5、电视墙需直接落地安装。</w:t>
                  </w:r>
                  <w:r>
                    <w:br/>
                  </w:r>
                  <w:r>
                    <w:rPr>
                      <w:rFonts w:ascii="仿宋_GB2312" w:hAnsi="仿宋_GB2312" w:cs="仿宋_GB2312" w:eastAsia="仿宋_GB2312"/>
                      <w:sz w:val="24"/>
                      <w:color w:val="000000"/>
                    </w:rPr>
                    <w:t>6、钢板制品：表面处理工艺，脱脂、酸洗、磷化处理 、防静电喷粉；</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高清控制器</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1、采用嵌入式Linux操作系统，支持7×24小时稳定运行，采用化模块化的硬件设计。开机启动时间在10秒以内。</w:t>
                  </w:r>
                  <w:r>
                    <w:br/>
                  </w:r>
                  <w:r>
                    <w:rPr>
                      <w:rFonts w:ascii="仿宋_GB2312" w:hAnsi="仿宋_GB2312" w:cs="仿宋_GB2312" w:eastAsia="仿宋_GB2312"/>
                      <w:sz w:val="24"/>
                      <w:color w:val="000000"/>
                    </w:rPr>
                    <w:t>2、标准机架式设计。</w:t>
                  </w:r>
                  <w:r>
                    <w:br/>
                  </w:r>
                  <w:r>
                    <w:rPr>
                      <w:rFonts w:ascii="仿宋_GB2312" w:hAnsi="仿宋_GB2312" w:cs="仿宋_GB2312" w:eastAsia="仿宋_GB2312"/>
                      <w:sz w:val="24"/>
                      <w:color w:val="000000"/>
                    </w:rPr>
                    <w:t>3、输入板、输出板，支持输入板卡、输出板卡热插拔功能，设备无需关机重启和设置。</w:t>
                  </w:r>
                  <w:r>
                    <w:br/>
                  </w:r>
                  <w:r>
                    <w:rPr>
                      <w:rFonts w:ascii="仿宋_GB2312" w:hAnsi="仿宋_GB2312" w:cs="仿宋_GB2312" w:eastAsia="仿宋_GB2312"/>
                      <w:sz w:val="24"/>
                      <w:color w:val="000000"/>
                    </w:rPr>
                    <w:t>4、支持传输协议为国标或ONVIF的摄像机和网络视频录像机；</w:t>
                  </w:r>
                  <w:r>
                    <w:br/>
                  </w:r>
                  <w:r>
                    <w:rPr>
                      <w:rFonts w:ascii="仿宋_GB2312" w:hAnsi="仿宋_GB2312" w:cs="仿宋_GB2312" w:eastAsia="仿宋_GB2312"/>
                      <w:sz w:val="24"/>
                      <w:color w:val="000000"/>
                    </w:rPr>
                    <w:t>5、支持接入编码格式为H.264 、H.265 格式的摄像机并进行解码上墙。</w:t>
                  </w:r>
                  <w:r>
                    <w:br/>
                  </w:r>
                  <w:r>
                    <w:rPr>
                      <w:rFonts w:ascii="仿宋_GB2312" w:hAnsi="仿宋_GB2312" w:cs="仿宋_GB2312" w:eastAsia="仿宋_GB2312"/>
                      <w:sz w:val="24"/>
                      <w:color w:val="000000"/>
                    </w:rPr>
                    <w:t>6、每个输出通道支持：1路3840x2160@30/4路1080P@30/9路720P@30/16路D1@30</w:t>
                  </w:r>
                  <w:r>
                    <w:br/>
                  </w:r>
                  <w:r>
                    <w:rPr>
                      <w:rFonts w:ascii="仿宋_GB2312" w:hAnsi="仿宋_GB2312" w:cs="仿宋_GB2312" w:eastAsia="仿宋_GB2312"/>
                      <w:sz w:val="24"/>
                      <w:color w:val="000000"/>
                    </w:rPr>
                    <w:t>7、支持多网段解码，可以解码服务器添加多个不同网段进行通讯。</w:t>
                  </w:r>
                  <w:r>
                    <w:br/>
                  </w:r>
                  <w:r>
                    <w:rPr>
                      <w:rFonts w:ascii="仿宋_GB2312" w:hAnsi="仿宋_GB2312" w:cs="仿宋_GB2312" w:eastAsia="仿宋_GB2312"/>
                      <w:sz w:val="24"/>
                      <w:color w:val="000000"/>
                    </w:rPr>
                    <w:t>8、输出分辨率支持：1024x768@60Hz、1280x720@60Hz、1280x1024@60Hz、1440x900@60Hz、1600x1200@60Hz、1920x1080@60Hz、1920x1200@60Hz、3840×2160@30Hz。</w:t>
                  </w:r>
                  <w:r>
                    <w:br/>
                  </w:r>
                  <w:r>
                    <w:rPr>
                      <w:rFonts w:ascii="仿宋_GB2312" w:hAnsi="仿宋_GB2312" w:cs="仿宋_GB2312" w:eastAsia="仿宋_GB2312"/>
                      <w:sz w:val="24"/>
                      <w:color w:val="000000"/>
                    </w:rPr>
                    <w:t>9、输入分辨率支持：1024x768@60Hz、1280x720@50Hz、1280x720@60Hz、1280x1024@60Hz、1440x900@60Hz、1600x1200@60Hz、1920x1080@50Hz、1920x1080@60Hz。</w:t>
                  </w:r>
                  <w:r>
                    <w:br/>
                  </w:r>
                  <w:r>
                    <w:rPr>
                      <w:rFonts w:ascii="仿宋_GB2312" w:hAnsi="仿宋_GB2312" w:cs="仿宋_GB2312" w:eastAsia="仿宋_GB2312"/>
                      <w:sz w:val="24"/>
                      <w:color w:val="000000"/>
                    </w:rPr>
                    <w:t>10、主控卡支持多种控制方式，支持RS232串口、RS485串口、TCP网络进行控制。</w:t>
                  </w:r>
                  <w:r>
                    <w:br/>
                  </w:r>
                  <w:r>
                    <w:rPr>
                      <w:rFonts w:ascii="仿宋_GB2312" w:hAnsi="仿宋_GB2312" w:cs="仿宋_GB2312" w:eastAsia="仿宋_GB2312"/>
                      <w:sz w:val="24"/>
                      <w:color w:val="000000"/>
                    </w:rPr>
                    <w:t>11、可在同一个窗口中，画面定时进行切换。</w:t>
                  </w:r>
                  <w:r>
                    <w:br/>
                  </w:r>
                  <w:r>
                    <w:rPr>
                      <w:rFonts w:ascii="仿宋_GB2312" w:hAnsi="仿宋_GB2312" w:cs="仿宋_GB2312" w:eastAsia="仿宋_GB2312"/>
                      <w:sz w:val="24"/>
                      <w:color w:val="000000"/>
                    </w:rPr>
                    <w:t>12、支持M×N任意组合拼接显示方式，支持切换、漫游、叠加、画中画，轮巡、屏切、巡切等显示方式。</w:t>
                  </w:r>
                  <w:r>
                    <w:br/>
                  </w:r>
                  <w:r>
                    <w:rPr>
                      <w:rFonts w:ascii="仿宋_GB2312" w:hAnsi="仿宋_GB2312" w:cs="仿宋_GB2312" w:eastAsia="仿宋_GB2312"/>
                      <w:sz w:val="24"/>
                      <w:color w:val="000000"/>
                    </w:rPr>
                    <w:t>13、IP流实时解码，支持1/4/6/8/9/16 画面分割显示,支持H.265，支持ONVIF、RTSP等网络流媒体协议，支持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8路1080P、2路4K解码。支持解码自动轮巡切换显示，支持云台控制，支持本地NVR回放功能。</w:t>
                  </w:r>
                  <w:r>
                    <w:br/>
                  </w:r>
                  <w:r>
                    <w:rPr>
                      <w:rFonts w:ascii="仿宋_GB2312" w:hAnsi="仿宋_GB2312" w:cs="仿宋_GB2312" w:eastAsia="仿宋_GB2312"/>
                      <w:sz w:val="24"/>
                      <w:color w:val="000000"/>
                    </w:rPr>
                    <w:t>14、支持多路矢量虚拟LED显示。可在显示单元上显示滚动字符，滚动字符内容、滚动速度、滚动方向、字符颜色、字体、字号、字符显示背景及显示位置均可以设置。</w:t>
                  </w:r>
                  <w:r>
                    <w:br/>
                  </w:r>
                  <w:r>
                    <w:rPr>
                      <w:rFonts w:ascii="仿宋_GB2312" w:hAnsi="仿宋_GB2312" w:cs="仿宋_GB2312" w:eastAsia="仿宋_GB2312"/>
                      <w:sz w:val="24"/>
                      <w:color w:val="000000"/>
                    </w:rPr>
                    <w:t>15、支持对添加的所有输入源一键上墙功能，无需多次拖动到窗口。</w:t>
                  </w:r>
                  <w:r>
                    <w:br/>
                  </w:r>
                  <w:r>
                    <w:rPr>
                      <w:rFonts w:ascii="仿宋_GB2312" w:hAnsi="仿宋_GB2312" w:cs="仿宋_GB2312" w:eastAsia="仿宋_GB2312"/>
                      <w:sz w:val="24"/>
                      <w:color w:val="000000"/>
                    </w:rPr>
                    <w:t>16、可对设备配置文件进行导入、导出。</w:t>
                  </w:r>
                  <w:r>
                    <w:br/>
                  </w:r>
                  <w:r>
                    <w:rPr>
                      <w:rFonts w:ascii="仿宋_GB2312" w:hAnsi="仿宋_GB2312" w:cs="仿宋_GB2312" w:eastAsia="仿宋_GB2312"/>
                      <w:sz w:val="24"/>
                      <w:color w:val="000000"/>
                    </w:rPr>
                    <w:t>17、支持设备数据导入导出，实现数据备份功能。</w:t>
                  </w:r>
                  <w:r>
                    <w:br/>
                  </w:r>
                  <w:r>
                    <w:rPr>
                      <w:rFonts w:ascii="仿宋_GB2312" w:hAnsi="仿宋_GB2312" w:cs="仿宋_GB2312" w:eastAsia="仿宋_GB2312"/>
                      <w:sz w:val="24"/>
                      <w:color w:val="000000"/>
                    </w:rPr>
                    <w:t>18、支持冗余电源。</w:t>
                  </w:r>
                  <w:r>
                    <w:br/>
                  </w:r>
                  <w:r>
                    <w:rPr>
                      <w:rFonts w:ascii="仿宋_GB2312" w:hAnsi="仿宋_GB2312" w:cs="仿宋_GB2312" w:eastAsia="仿宋_GB2312"/>
                      <w:sz w:val="24"/>
                      <w:color w:val="000000"/>
                    </w:rPr>
                    <w:t>19、支持B/S架构控制，支持网页自定义Logo，名称，网页主题，Web 控制界面切换。</w:t>
                  </w:r>
                  <w:r>
                    <w:br/>
                  </w:r>
                  <w:r>
                    <w:rPr>
                      <w:rFonts w:ascii="仿宋_GB2312" w:hAnsi="仿宋_GB2312" w:cs="仿宋_GB2312" w:eastAsia="仿宋_GB2312"/>
                      <w:sz w:val="24"/>
                      <w:color w:val="000000"/>
                    </w:rPr>
                    <w:t>20、支持多种控制方式，支持麒麟、鸿蒙、Windows、iOS、Android、Linux等各类操作系统跨平台控制</w:t>
                  </w:r>
                  <w:r>
                    <w:br/>
                  </w:r>
                  <w:r>
                    <w:rPr>
                      <w:rFonts w:ascii="仿宋_GB2312" w:hAnsi="仿宋_GB2312" w:cs="仿宋_GB2312" w:eastAsia="仿宋_GB2312"/>
                      <w:sz w:val="24"/>
                      <w:color w:val="000000"/>
                    </w:rPr>
                    <w:t>21、支持在线对设备进行自检。</w:t>
                  </w:r>
                  <w:r>
                    <w:br/>
                  </w:r>
                  <w:r>
                    <w:rPr>
                      <w:rFonts w:ascii="仿宋_GB2312" w:hAnsi="仿宋_GB2312" w:cs="仿宋_GB2312" w:eastAsia="仿宋_GB2312"/>
                      <w:sz w:val="24"/>
                      <w:color w:val="000000"/>
                    </w:rPr>
                    <w:t>22、电脑操作界面可同步观看大屏显示内容，可以预览视频源视频，实现可视化部署监控墙。</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辅料及配线</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电源线、信号线、链接控制器插座及视频高清线缆等（高清线</w:t>
                  </w:r>
                  <w:r>
                    <w:rPr>
                      <w:rFonts w:ascii="仿宋_GB2312" w:hAnsi="仿宋_GB2312" w:cs="仿宋_GB2312" w:eastAsia="仿宋_GB2312"/>
                      <w:sz w:val="24"/>
                      <w:color w:val="000000"/>
                    </w:rPr>
                    <w:t>10米内）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装、调试及运输费</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包含液晶屏的运输安装、调试（含交付前的碎屏保险）以及操作培训等</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操作台</w:t>
                  </w:r>
                </w:p>
              </w:tc>
              <w:tc>
                <w:tcPr>
                  <w:tcW w:type="dxa" w:w="2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1、操作台采用拼装结构，整体钢木结合，整体采用冷轧钢板结合制作，钢板厚度</w:t>
                  </w:r>
                  <w:r>
                    <w:rPr>
                      <w:rFonts w:ascii="仿宋_GB2312" w:hAnsi="仿宋_GB2312" w:cs="仿宋_GB2312" w:eastAsia="仿宋_GB2312"/>
                      <w:sz w:val="24"/>
                      <w:color w:val="000000"/>
                    </w:rPr>
                    <w:t>≥1.0mm,主体厚度≥1.5mm</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2、操作台台面预留50mm过线孔。</w:t>
                  </w:r>
                  <w:r>
                    <w:br/>
                  </w:r>
                  <w:r>
                    <w:rPr>
                      <w:rFonts w:ascii="仿宋_GB2312" w:hAnsi="仿宋_GB2312" w:cs="仿宋_GB2312" w:eastAsia="仿宋_GB2312"/>
                      <w:sz w:val="24"/>
                      <w:color w:val="000000"/>
                    </w:rPr>
                    <w:t>3、操作台门开启方式，柜内带托盘。</w:t>
                  </w:r>
                  <w:r>
                    <w:br/>
                  </w:r>
                  <w:r>
                    <w:rPr>
                      <w:rFonts w:ascii="仿宋_GB2312" w:hAnsi="仿宋_GB2312" w:cs="仿宋_GB2312" w:eastAsia="仿宋_GB2312"/>
                      <w:sz w:val="24"/>
                      <w:color w:val="000000"/>
                    </w:rPr>
                    <w:t>4、每个操作台，台面下配有键盘托盘，前门冲风孔，后门冲有散热孔以便散热，前门左，右开起，后门脱卸方式，方便使用。</w:t>
                  </w:r>
                  <w:r>
                    <w:br/>
                  </w:r>
                  <w:r>
                    <w:rPr>
                      <w:rFonts w:ascii="仿宋_GB2312" w:hAnsi="仿宋_GB2312" w:cs="仿宋_GB2312" w:eastAsia="仿宋_GB2312"/>
                      <w:sz w:val="24"/>
                      <w:color w:val="000000"/>
                    </w:rPr>
                    <w:t>5、表面采用酸洗，磷化，静电喷涂处理。</w:t>
                  </w:r>
                  <w:r>
                    <w:br/>
                  </w:r>
                  <w:r>
                    <w:rPr>
                      <w:rFonts w:ascii="仿宋_GB2312" w:hAnsi="仿宋_GB2312" w:cs="仿宋_GB2312" w:eastAsia="仿宋_GB2312"/>
                      <w:sz w:val="24"/>
                      <w:color w:val="000000"/>
                    </w:rPr>
                    <w:t>6、长1740×深900×高750mm。</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381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对于技术要求中</w:t>
                  </w:r>
                  <w:r>
                    <w:rPr>
                      <w:rFonts w:ascii="仿宋_GB2312" w:hAnsi="仿宋_GB2312" w:cs="仿宋_GB2312" w:eastAsia="仿宋_GB2312"/>
                      <w:sz w:val="24"/>
                    </w:rPr>
                    <w:t>带</w:t>
                  </w:r>
                  <w:r>
                    <w:rPr>
                      <w:rFonts w:ascii="仿宋_GB2312" w:hAnsi="仿宋_GB2312" w:cs="仿宋_GB2312" w:eastAsia="仿宋_GB2312"/>
                      <w:sz w:val="24"/>
                    </w:rPr>
                    <w:t>“★”的参数需求为实质性要求，</w:t>
                  </w:r>
                  <w:r>
                    <w:rPr>
                      <w:rFonts w:ascii="仿宋_GB2312" w:hAnsi="仿宋_GB2312" w:cs="仿宋_GB2312" w:eastAsia="仿宋_GB2312"/>
                      <w:sz w:val="24"/>
                    </w:rPr>
                    <w:t>供应商需提供相关作证材料（材料包含但不限于检测报告、产品彩页等相关资料并加盖供应商公章），</w:t>
                  </w:r>
                  <w:r>
                    <w:rPr>
                      <w:rFonts w:ascii="仿宋_GB2312" w:hAnsi="仿宋_GB2312" w:cs="仿宋_GB2312" w:eastAsia="仿宋_GB2312"/>
                      <w:sz w:val="24"/>
                    </w:rPr>
                    <w:t>若出现关键参数不满足或负偏离情况</w:t>
                  </w:r>
                  <w:r>
                    <w:rPr>
                      <w:rFonts w:ascii="仿宋_GB2312" w:hAnsi="仿宋_GB2312" w:cs="仿宋_GB2312" w:eastAsia="仿宋_GB2312"/>
                      <w:sz w:val="24"/>
                    </w:rPr>
                    <w:t>，</w:t>
                  </w:r>
                  <w:r>
                    <w:rPr>
                      <w:rFonts w:ascii="仿宋_GB2312" w:hAnsi="仿宋_GB2312" w:cs="仿宋_GB2312" w:eastAsia="仿宋_GB2312"/>
                      <w:sz w:val="24"/>
                    </w:rPr>
                    <w:t>视为无效投标。</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合同签订后15日历天内运至指定交货地点并交付甲方验收通过。</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3.5.3提供升降课桌、单人升降课椅样品，样品于2026年07月02日14时30分前递交至西安市经济技术开发区明光路凤城五路FED创新中心B座一楼，联系人：吕博延，联系电话：029-89164609（提供样品需由供应商本单位人员手持单位介绍信及经办人身份证原件），项目发布中标（成交）结果公告后5个工作日内，供应商联系项目负责人退回样品。（中标（成交）供应商的样品将封存做为供货后验收用，暂时不予退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分项报价表 本国产品说明 中小企业声明函 中国境内生产的组件成本核算基本规则 技术和商务偏离表 响应文件封面 资格证明文件 残疾人福利性单位声明函 标的清单 关于符合本国产品标准的声明函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分项报价表 本国产品说明 中小企业声明函 中国境内生产的组件成本核算基本规则 技术和商务偏离表 响应文件封面 资格证明文件 残疾人福利性单位声明函 标的清单 关于符合本国产品标准的声明函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