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100F94">
      <w:pPr>
        <w:keepNext w:val="0"/>
        <w:keepLines w:val="0"/>
        <w:pageBreakBefore w:val="0"/>
        <w:widowControl w:val="0"/>
        <w:tabs>
          <w:tab w:val="left" w:pos="9030"/>
        </w:tabs>
        <w:kinsoku/>
        <w:wordWrap/>
        <w:overflowPunct/>
        <w:topLinePunct w:val="0"/>
        <w:autoSpaceDE/>
        <w:autoSpaceDN/>
        <w:bidi w:val="0"/>
        <w:adjustRightInd w:val="0"/>
        <w:snapToGrid w:val="0"/>
        <w:spacing w:line="360" w:lineRule="auto"/>
        <w:ind w:right="0"/>
        <w:jc w:val="center"/>
        <w:textAlignment w:val="auto"/>
        <w:outlineLvl w:val="0"/>
        <w:rPr>
          <w:rFonts w:hint="eastAsia" w:ascii="仿宋" w:hAnsi="仿宋" w:eastAsia="仿宋" w:cs="仿宋"/>
          <w:color w:val="auto"/>
          <w:sz w:val="52"/>
          <w:szCs w:val="52"/>
        </w:rPr>
      </w:pPr>
      <w:r>
        <w:rPr>
          <w:rStyle w:val="5"/>
          <w:rFonts w:hint="eastAsia" w:ascii="仿宋" w:hAnsi="仿宋" w:eastAsia="仿宋" w:cs="仿宋"/>
          <w:b/>
          <w:bCs/>
          <w:color w:val="auto"/>
          <w:sz w:val="40"/>
          <w:szCs w:val="40"/>
          <w:lang w:val="zh-CN" w:eastAsia="zh-CN"/>
        </w:rPr>
        <w:t>拟签订的合同条款文本</w:t>
      </w:r>
    </w:p>
    <w:p w14:paraId="284A42AC">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 xml:space="preserve">甲方（采购人）： </w:t>
      </w:r>
    </w:p>
    <w:p w14:paraId="63C34C01">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乙方（</w:t>
      </w:r>
      <w:r>
        <w:rPr>
          <w:rFonts w:hint="eastAsia" w:ascii="仿宋" w:hAnsi="仿宋" w:eastAsia="仿宋" w:cs="仿宋"/>
          <w:bCs/>
          <w:color w:val="auto"/>
          <w:sz w:val="24"/>
          <w:szCs w:val="24"/>
          <w:lang w:eastAsia="zh-CN"/>
        </w:rPr>
        <w:t>成交供应商</w:t>
      </w:r>
      <w:r>
        <w:rPr>
          <w:rFonts w:hint="eastAsia" w:ascii="仿宋" w:hAnsi="仿宋" w:eastAsia="仿宋" w:cs="仿宋"/>
          <w:bCs/>
          <w:color w:val="auto"/>
          <w:sz w:val="24"/>
          <w:szCs w:val="24"/>
        </w:rPr>
        <w:t xml:space="preserve">）： </w:t>
      </w:r>
    </w:p>
    <w:p w14:paraId="4C09DFE8">
      <w:pPr>
        <w:keepNext w:val="0"/>
        <w:keepLines w:val="0"/>
        <w:pageBreakBefore w:val="0"/>
        <w:widowControl w:val="0"/>
        <w:kinsoku/>
        <w:wordWrap w:val="0"/>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highlight w:val="none"/>
          <w:u w:val="single"/>
        </w:rPr>
        <w:t>长安三小课桌椅采购项目(项目编号：</w:t>
      </w:r>
      <w:r>
        <w:rPr>
          <w:rFonts w:hint="eastAsia" w:ascii="仿宋" w:hAnsi="仿宋" w:eastAsia="仿宋" w:cs="仿宋"/>
          <w:bCs/>
          <w:color w:val="auto"/>
          <w:sz w:val="24"/>
          <w:szCs w:val="24"/>
          <w:highlight w:val="none"/>
          <w:u w:val="single"/>
          <w:lang w:eastAsia="zh-CN"/>
        </w:rPr>
        <w:t>HHGJZC2026-JT378</w:t>
      </w:r>
      <w:r>
        <w:rPr>
          <w:rFonts w:hint="eastAsia" w:ascii="仿宋" w:hAnsi="仿宋" w:eastAsia="仿宋" w:cs="仿宋"/>
          <w:bCs/>
          <w:color w:val="auto"/>
          <w:sz w:val="24"/>
          <w:szCs w:val="24"/>
          <w:u w:val="single"/>
        </w:rPr>
        <w:t>)</w:t>
      </w:r>
      <w:r>
        <w:rPr>
          <w:rFonts w:hint="eastAsia" w:ascii="仿宋" w:hAnsi="仿宋" w:eastAsia="仿宋" w:cs="仿宋"/>
          <w:bCs/>
          <w:color w:val="auto"/>
          <w:sz w:val="24"/>
          <w:szCs w:val="24"/>
        </w:rPr>
        <w:t>，由陕西</w:t>
      </w:r>
      <w:r>
        <w:rPr>
          <w:rFonts w:hint="eastAsia" w:ascii="仿宋" w:hAnsi="仿宋" w:eastAsia="仿宋" w:cs="仿宋"/>
          <w:bCs/>
          <w:color w:val="auto"/>
          <w:sz w:val="24"/>
          <w:szCs w:val="24"/>
          <w:lang w:val="en-US" w:eastAsia="zh-CN"/>
        </w:rPr>
        <w:t>华海国际项目管理</w:t>
      </w:r>
      <w:r>
        <w:rPr>
          <w:rFonts w:hint="eastAsia" w:ascii="仿宋" w:hAnsi="仿宋" w:eastAsia="仿宋" w:cs="仿宋"/>
          <w:bCs/>
          <w:color w:val="auto"/>
          <w:sz w:val="24"/>
          <w:szCs w:val="24"/>
        </w:rPr>
        <w:t>有限公司组织</w:t>
      </w:r>
      <w:r>
        <w:rPr>
          <w:rFonts w:hint="eastAsia" w:ascii="仿宋" w:hAnsi="仿宋" w:eastAsia="仿宋" w:cs="仿宋"/>
          <w:bCs/>
          <w:color w:val="auto"/>
          <w:sz w:val="24"/>
          <w:szCs w:val="24"/>
          <w:lang w:val="en-US" w:eastAsia="zh-CN"/>
        </w:rPr>
        <w:t>竞争性谈判</w:t>
      </w:r>
      <w:r>
        <w:rPr>
          <w:rFonts w:hint="eastAsia" w:ascii="仿宋" w:hAnsi="仿宋" w:eastAsia="仿宋" w:cs="仿宋"/>
          <w:bCs/>
          <w:color w:val="auto"/>
          <w:sz w:val="24"/>
          <w:szCs w:val="24"/>
        </w:rPr>
        <w:t>，</w:t>
      </w:r>
      <w:r>
        <w:rPr>
          <w:rFonts w:hint="eastAsia" w:ascii="仿宋" w:hAnsi="仿宋" w:eastAsia="仿宋" w:cs="仿宋"/>
          <w:bCs/>
          <w:color w:val="auto"/>
          <w:sz w:val="24"/>
          <w:szCs w:val="24"/>
          <w:highlight w:val="none"/>
          <w:u w:val="single"/>
          <w:lang w:eastAsia="zh-CN"/>
        </w:rPr>
        <w:t>西安市长安区第三小学</w:t>
      </w:r>
      <w:r>
        <w:rPr>
          <w:rFonts w:hint="eastAsia" w:ascii="仿宋" w:hAnsi="仿宋" w:eastAsia="仿宋" w:cs="仿宋"/>
          <w:bCs/>
          <w:color w:val="auto"/>
          <w:sz w:val="24"/>
          <w:szCs w:val="24"/>
        </w:rPr>
        <w:t>(以下简称“甲方”)确定</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（以下简称“乙方”）为该项目的</w:t>
      </w:r>
      <w:r>
        <w:rPr>
          <w:rFonts w:hint="eastAsia" w:ascii="仿宋" w:hAnsi="仿宋" w:eastAsia="仿宋" w:cs="仿宋"/>
          <w:bCs/>
          <w:color w:val="auto"/>
          <w:sz w:val="24"/>
          <w:szCs w:val="24"/>
          <w:lang w:eastAsia="zh-CN"/>
        </w:rPr>
        <w:t>成交供应商</w:t>
      </w:r>
      <w:r>
        <w:rPr>
          <w:rFonts w:hint="eastAsia" w:ascii="仿宋" w:hAnsi="仿宋" w:eastAsia="仿宋" w:cs="仿宋"/>
          <w:bCs/>
          <w:color w:val="auto"/>
          <w:sz w:val="24"/>
          <w:szCs w:val="24"/>
        </w:rPr>
        <w:t>。</w:t>
      </w:r>
    </w:p>
    <w:p w14:paraId="35A80EFE">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0" w:firstLineChars="20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依据《中华人民共和国</w:t>
      </w:r>
      <w:r>
        <w:rPr>
          <w:rFonts w:hint="eastAsia" w:ascii="仿宋" w:hAnsi="仿宋" w:eastAsia="仿宋" w:cs="仿宋"/>
          <w:bCs/>
          <w:color w:val="auto"/>
          <w:sz w:val="24"/>
          <w:szCs w:val="24"/>
          <w:lang w:eastAsia="zh-CN"/>
        </w:rPr>
        <w:t>民法典</w:t>
      </w:r>
      <w:r>
        <w:rPr>
          <w:rFonts w:hint="eastAsia" w:ascii="仿宋" w:hAnsi="仿宋" w:eastAsia="仿宋" w:cs="仿宋"/>
          <w:bCs/>
          <w:color w:val="auto"/>
          <w:sz w:val="24"/>
          <w:szCs w:val="24"/>
        </w:rPr>
        <w:t>》和《中华人民共和国政府采购法》之规定，经双方在平等、自愿、互利的基础上，签订本合同，共同信守。</w:t>
      </w:r>
    </w:p>
    <w:p w14:paraId="0BE721B8">
      <w:pPr>
        <w:autoSpaceDE w:val="0"/>
        <w:autoSpaceDN w:val="0"/>
        <w:adjustRightInd w:val="0"/>
        <w:snapToGrid w:val="0"/>
        <w:spacing w:line="360" w:lineRule="auto"/>
        <w:ind w:firstLine="482" w:firstLineChars="200"/>
        <w:rPr>
          <w:rFonts w:hint="eastAsia" w:ascii="仿宋" w:hAnsi="仿宋" w:eastAsia="仿宋" w:cs="仿宋"/>
          <w:b/>
          <w:bCs/>
          <w:color w:val="auto"/>
          <w:sz w:val="24"/>
          <w:szCs w:val="24"/>
          <w:lang w:val="zh-CN"/>
        </w:rPr>
      </w:pPr>
      <w:r>
        <w:rPr>
          <w:rFonts w:hint="eastAsia" w:ascii="仿宋" w:hAnsi="仿宋" w:eastAsia="仿宋" w:cs="仿宋"/>
          <w:b/>
          <w:bCs/>
          <w:color w:val="auto"/>
          <w:sz w:val="24"/>
          <w:szCs w:val="24"/>
        </w:rPr>
        <w:t>一、</w:t>
      </w:r>
      <w:r>
        <w:rPr>
          <w:rFonts w:hint="eastAsia" w:ascii="仿宋" w:hAnsi="仿宋" w:eastAsia="仿宋" w:cs="仿宋"/>
          <w:b/>
          <w:bCs/>
          <w:color w:val="auto"/>
          <w:sz w:val="24"/>
          <w:szCs w:val="24"/>
          <w:lang w:val="zh-CN"/>
        </w:rPr>
        <w:t>合同标的</w:t>
      </w:r>
      <w:r>
        <w:rPr>
          <w:rFonts w:hint="eastAsia" w:ascii="仿宋" w:hAnsi="仿宋" w:eastAsia="仿宋" w:cs="仿宋"/>
          <w:b/>
          <w:bCs/>
          <w:color w:val="auto"/>
          <w:sz w:val="24"/>
          <w:szCs w:val="24"/>
        </w:rPr>
        <w:t>物内容</w:t>
      </w:r>
      <w:r>
        <w:rPr>
          <w:rFonts w:hint="eastAsia" w:ascii="仿宋" w:hAnsi="仿宋" w:eastAsia="仿宋" w:cs="仿宋"/>
          <w:b/>
          <w:bCs/>
          <w:color w:val="auto"/>
          <w:sz w:val="24"/>
          <w:szCs w:val="24"/>
          <w:lang w:val="zh-CN"/>
        </w:rPr>
        <w:t>及数量</w:t>
      </w:r>
    </w:p>
    <w:p w14:paraId="7A5E7B48">
      <w:pPr>
        <w:autoSpaceDE w:val="0"/>
        <w:autoSpaceDN w:val="0"/>
        <w:adjustRightInd w:val="0"/>
        <w:snapToGrid w:val="0"/>
        <w:spacing w:line="360" w:lineRule="auto"/>
        <w:ind w:firstLine="480" w:firstLineChars="200"/>
        <w:rPr>
          <w:rFonts w:hint="eastAsia" w:ascii="仿宋" w:hAnsi="仿宋" w:eastAsia="仿宋" w:cs="仿宋"/>
          <w:bCs/>
          <w:color w:val="auto"/>
          <w:sz w:val="24"/>
          <w:szCs w:val="24"/>
          <w:lang w:val="zh-CN"/>
        </w:rPr>
      </w:pPr>
      <w:r>
        <w:rPr>
          <w:rFonts w:hint="eastAsia" w:ascii="仿宋" w:hAnsi="仿宋" w:eastAsia="仿宋" w:cs="仿宋"/>
          <w:bCs/>
          <w:color w:val="auto"/>
          <w:sz w:val="24"/>
          <w:szCs w:val="24"/>
          <w:lang w:val="zh-CN"/>
        </w:rPr>
        <w:t>乙方向甲方提供下列货物（产品）：</w:t>
      </w:r>
    </w:p>
    <w:tbl>
      <w:tblPr>
        <w:tblStyle w:val="3"/>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649"/>
        <w:gridCol w:w="1481"/>
        <w:gridCol w:w="531"/>
        <w:gridCol w:w="717"/>
        <w:gridCol w:w="730"/>
        <w:gridCol w:w="1060"/>
        <w:gridCol w:w="1461"/>
      </w:tblGrid>
      <w:tr w14:paraId="7960C3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center"/>
          </w:tcPr>
          <w:p w14:paraId="199ED14E">
            <w:pPr>
              <w:autoSpaceDE w:val="0"/>
              <w:autoSpaceDN w:val="0"/>
              <w:adjustRightInd w:val="0"/>
              <w:snapToGrid w:val="0"/>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序号</w:t>
            </w:r>
          </w:p>
        </w:tc>
        <w:tc>
          <w:tcPr>
            <w:tcW w:w="1649" w:type="dxa"/>
            <w:noWrap w:val="0"/>
            <w:vAlign w:val="center"/>
          </w:tcPr>
          <w:p w14:paraId="10741A5E">
            <w:pPr>
              <w:autoSpaceDE w:val="0"/>
              <w:autoSpaceDN w:val="0"/>
              <w:adjustRightInd w:val="0"/>
              <w:snapToGrid w:val="0"/>
              <w:jc w:val="center"/>
              <w:rPr>
                <w:rFonts w:hint="eastAsia" w:ascii="仿宋" w:hAnsi="仿宋" w:eastAsia="仿宋" w:cs="仿宋"/>
                <w:bCs/>
                <w:color w:val="auto"/>
                <w:sz w:val="24"/>
                <w:szCs w:val="24"/>
              </w:rPr>
            </w:pPr>
            <w:r>
              <w:rPr>
                <w:rFonts w:hint="eastAsia" w:ascii="仿宋" w:hAnsi="仿宋" w:eastAsia="仿宋" w:cs="仿宋"/>
                <w:bCs/>
                <w:color w:val="auto"/>
                <w:sz w:val="24"/>
                <w:szCs w:val="24"/>
                <w:lang w:val="en-US" w:eastAsia="zh-CN"/>
              </w:rPr>
              <w:t>货物</w:t>
            </w:r>
            <w:r>
              <w:rPr>
                <w:rFonts w:hint="eastAsia" w:ascii="仿宋" w:hAnsi="仿宋" w:eastAsia="仿宋" w:cs="仿宋"/>
                <w:bCs/>
                <w:color w:val="auto"/>
                <w:sz w:val="24"/>
                <w:szCs w:val="24"/>
              </w:rPr>
              <w:t>名称</w:t>
            </w:r>
          </w:p>
        </w:tc>
        <w:tc>
          <w:tcPr>
            <w:tcW w:w="1481" w:type="dxa"/>
            <w:noWrap w:val="0"/>
            <w:vAlign w:val="center"/>
          </w:tcPr>
          <w:p w14:paraId="08B50234">
            <w:pPr>
              <w:autoSpaceDE w:val="0"/>
              <w:autoSpaceDN w:val="0"/>
              <w:adjustRightInd w:val="0"/>
              <w:snapToGrid w:val="0"/>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品牌/型号</w:t>
            </w:r>
          </w:p>
        </w:tc>
        <w:tc>
          <w:tcPr>
            <w:tcW w:w="531" w:type="dxa"/>
            <w:noWrap w:val="0"/>
            <w:vAlign w:val="center"/>
          </w:tcPr>
          <w:p w14:paraId="40E35D28">
            <w:pPr>
              <w:autoSpaceDE w:val="0"/>
              <w:autoSpaceDN w:val="0"/>
              <w:adjustRightInd w:val="0"/>
              <w:snapToGrid w:val="0"/>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规格</w:t>
            </w:r>
          </w:p>
        </w:tc>
        <w:tc>
          <w:tcPr>
            <w:tcW w:w="717" w:type="dxa"/>
            <w:noWrap w:val="0"/>
            <w:vAlign w:val="center"/>
          </w:tcPr>
          <w:p w14:paraId="68211333">
            <w:pPr>
              <w:autoSpaceDE w:val="0"/>
              <w:autoSpaceDN w:val="0"/>
              <w:adjustRightInd w:val="0"/>
              <w:snapToGrid w:val="0"/>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单位</w:t>
            </w:r>
          </w:p>
        </w:tc>
        <w:tc>
          <w:tcPr>
            <w:tcW w:w="730" w:type="dxa"/>
            <w:noWrap w:val="0"/>
            <w:vAlign w:val="center"/>
          </w:tcPr>
          <w:p w14:paraId="4EC0C578">
            <w:pPr>
              <w:autoSpaceDE w:val="0"/>
              <w:autoSpaceDN w:val="0"/>
              <w:adjustRightInd w:val="0"/>
              <w:snapToGrid w:val="0"/>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数量</w:t>
            </w:r>
          </w:p>
        </w:tc>
        <w:tc>
          <w:tcPr>
            <w:tcW w:w="1060" w:type="dxa"/>
            <w:noWrap w:val="0"/>
            <w:vAlign w:val="center"/>
          </w:tcPr>
          <w:p w14:paraId="35FC5682">
            <w:pPr>
              <w:autoSpaceDE w:val="0"/>
              <w:autoSpaceDN w:val="0"/>
              <w:adjustRightInd w:val="0"/>
              <w:snapToGrid w:val="0"/>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单价（元）</w:t>
            </w:r>
          </w:p>
        </w:tc>
        <w:tc>
          <w:tcPr>
            <w:tcW w:w="1461" w:type="dxa"/>
            <w:noWrap w:val="0"/>
            <w:vAlign w:val="center"/>
          </w:tcPr>
          <w:p w14:paraId="3FB28F77">
            <w:pPr>
              <w:autoSpaceDE w:val="0"/>
              <w:autoSpaceDN w:val="0"/>
              <w:adjustRightInd w:val="0"/>
              <w:snapToGrid w:val="0"/>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金额 (元)</w:t>
            </w:r>
          </w:p>
        </w:tc>
      </w:tr>
      <w:tr w14:paraId="58AB12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1B2A28FF">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1649" w:type="dxa"/>
            <w:noWrap w:val="0"/>
            <w:vAlign w:val="top"/>
          </w:tcPr>
          <w:p w14:paraId="4033781E">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1481" w:type="dxa"/>
            <w:noWrap w:val="0"/>
            <w:vAlign w:val="top"/>
          </w:tcPr>
          <w:p w14:paraId="2A030DFE">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531" w:type="dxa"/>
            <w:noWrap w:val="0"/>
            <w:vAlign w:val="top"/>
          </w:tcPr>
          <w:p w14:paraId="0A776710">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717" w:type="dxa"/>
            <w:noWrap w:val="0"/>
            <w:vAlign w:val="top"/>
          </w:tcPr>
          <w:p w14:paraId="157A6FA4">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730" w:type="dxa"/>
            <w:noWrap w:val="0"/>
            <w:vAlign w:val="top"/>
          </w:tcPr>
          <w:p w14:paraId="1876E6AD">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1060" w:type="dxa"/>
            <w:noWrap w:val="0"/>
            <w:vAlign w:val="top"/>
          </w:tcPr>
          <w:p w14:paraId="52A00F2F">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1461" w:type="dxa"/>
            <w:noWrap w:val="0"/>
            <w:vAlign w:val="top"/>
          </w:tcPr>
          <w:p w14:paraId="7043B05A">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r>
      <w:tr w14:paraId="2C402A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47A675F2">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1649" w:type="dxa"/>
            <w:noWrap w:val="0"/>
            <w:vAlign w:val="top"/>
          </w:tcPr>
          <w:p w14:paraId="4C30AA5C">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1481" w:type="dxa"/>
            <w:noWrap w:val="0"/>
            <w:vAlign w:val="top"/>
          </w:tcPr>
          <w:p w14:paraId="0FA11603">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531" w:type="dxa"/>
            <w:noWrap w:val="0"/>
            <w:vAlign w:val="top"/>
          </w:tcPr>
          <w:p w14:paraId="7DEE1C4A">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717" w:type="dxa"/>
            <w:noWrap w:val="0"/>
            <w:vAlign w:val="top"/>
          </w:tcPr>
          <w:p w14:paraId="37FEAC0C">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730" w:type="dxa"/>
            <w:noWrap w:val="0"/>
            <w:vAlign w:val="top"/>
          </w:tcPr>
          <w:p w14:paraId="21F949A9">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1060" w:type="dxa"/>
            <w:noWrap w:val="0"/>
            <w:vAlign w:val="top"/>
          </w:tcPr>
          <w:p w14:paraId="6E5DFD0F">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1461" w:type="dxa"/>
            <w:noWrap w:val="0"/>
            <w:vAlign w:val="top"/>
          </w:tcPr>
          <w:p w14:paraId="221E60F0">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r>
      <w:tr w14:paraId="7EFBC8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noWrap w:val="0"/>
            <w:vAlign w:val="top"/>
          </w:tcPr>
          <w:p w14:paraId="1B58182F">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1649" w:type="dxa"/>
            <w:noWrap w:val="0"/>
            <w:vAlign w:val="top"/>
          </w:tcPr>
          <w:p w14:paraId="17A33085">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1481" w:type="dxa"/>
            <w:noWrap w:val="0"/>
            <w:vAlign w:val="top"/>
          </w:tcPr>
          <w:p w14:paraId="5BFAFF54">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531" w:type="dxa"/>
            <w:noWrap w:val="0"/>
            <w:vAlign w:val="top"/>
          </w:tcPr>
          <w:p w14:paraId="38F7A3BF">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717" w:type="dxa"/>
            <w:noWrap w:val="0"/>
            <w:vAlign w:val="top"/>
          </w:tcPr>
          <w:p w14:paraId="03166698">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730" w:type="dxa"/>
            <w:noWrap w:val="0"/>
            <w:vAlign w:val="top"/>
          </w:tcPr>
          <w:p w14:paraId="6127EFA3">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1060" w:type="dxa"/>
            <w:noWrap w:val="0"/>
            <w:vAlign w:val="top"/>
          </w:tcPr>
          <w:p w14:paraId="3E1E7F8E">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c>
          <w:tcPr>
            <w:tcW w:w="1461" w:type="dxa"/>
            <w:noWrap w:val="0"/>
            <w:vAlign w:val="top"/>
          </w:tcPr>
          <w:p w14:paraId="388008FA">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p>
        </w:tc>
      </w:tr>
      <w:tr w14:paraId="17A092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2465" w:type="dxa"/>
            <w:gridSpan w:val="2"/>
            <w:noWrap w:val="0"/>
            <w:vAlign w:val="center"/>
          </w:tcPr>
          <w:p w14:paraId="0AC44D95">
            <w:pPr>
              <w:autoSpaceDE w:val="0"/>
              <w:autoSpaceDN w:val="0"/>
              <w:adjustRightInd w:val="0"/>
              <w:snapToGrid w:val="0"/>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合计</w:t>
            </w:r>
          </w:p>
        </w:tc>
        <w:tc>
          <w:tcPr>
            <w:tcW w:w="3459" w:type="dxa"/>
            <w:gridSpan w:val="4"/>
            <w:noWrap w:val="0"/>
            <w:vAlign w:val="center"/>
          </w:tcPr>
          <w:p w14:paraId="4B4D81C3">
            <w:pPr>
              <w:autoSpaceDE w:val="0"/>
              <w:autoSpaceDN w:val="0"/>
              <w:adjustRightInd w:val="0"/>
              <w:snapToGrid w:val="0"/>
              <w:jc w:val="left"/>
              <w:rPr>
                <w:rFonts w:hint="eastAsia" w:ascii="仿宋" w:hAnsi="仿宋" w:eastAsia="仿宋" w:cs="仿宋"/>
                <w:bCs/>
                <w:color w:val="auto"/>
                <w:sz w:val="24"/>
                <w:szCs w:val="24"/>
              </w:rPr>
            </w:pPr>
            <w:r>
              <w:rPr>
                <w:rFonts w:hint="eastAsia" w:ascii="仿宋" w:hAnsi="仿宋" w:eastAsia="仿宋" w:cs="仿宋"/>
                <w:bCs/>
                <w:color w:val="auto"/>
                <w:sz w:val="24"/>
                <w:szCs w:val="24"/>
              </w:rPr>
              <w:t>大写</w:t>
            </w:r>
          </w:p>
        </w:tc>
        <w:tc>
          <w:tcPr>
            <w:tcW w:w="2521" w:type="dxa"/>
            <w:gridSpan w:val="2"/>
            <w:noWrap w:val="0"/>
            <w:vAlign w:val="center"/>
          </w:tcPr>
          <w:p w14:paraId="090BD9EB">
            <w:pPr>
              <w:autoSpaceDE w:val="0"/>
              <w:autoSpaceDN w:val="0"/>
              <w:adjustRightInd w:val="0"/>
              <w:snapToGrid w:val="0"/>
              <w:ind w:firstLine="480" w:firstLineChars="200"/>
              <w:jc w:val="left"/>
              <w:rPr>
                <w:rFonts w:hint="eastAsia" w:ascii="仿宋" w:hAnsi="仿宋" w:eastAsia="仿宋" w:cs="仿宋"/>
                <w:bCs/>
                <w:color w:val="auto"/>
                <w:sz w:val="24"/>
                <w:szCs w:val="24"/>
              </w:rPr>
            </w:pPr>
            <w:r>
              <w:rPr>
                <w:rFonts w:hint="eastAsia" w:ascii="仿宋" w:hAnsi="仿宋" w:eastAsia="仿宋" w:cs="仿宋"/>
                <w:bCs/>
                <w:color w:val="auto"/>
                <w:sz w:val="24"/>
                <w:szCs w:val="24"/>
              </w:rPr>
              <w:t>¥</w:t>
            </w:r>
          </w:p>
        </w:tc>
      </w:tr>
    </w:tbl>
    <w:p w14:paraId="28C00B61">
      <w:pPr>
        <w:autoSpaceDE w:val="0"/>
        <w:autoSpaceDN w:val="0"/>
        <w:adjustRightInd w:val="0"/>
        <w:snapToGrid w:val="0"/>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二、合同价款</w:t>
      </w:r>
    </w:p>
    <w:p w14:paraId="413538FB">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（一）合同价款为人民币（大写）</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u w:val="single"/>
          <w:lang w:val="en-US" w:eastAsia="zh-CN"/>
        </w:rPr>
        <w:t xml:space="preserve">  </w:t>
      </w:r>
      <w:r>
        <w:rPr>
          <w:rFonts w:hint="eastAsia" w:ascii="仿宋" w:hAnsi="仿宋" w:eastAsia="仿宋" w:cs="仿宋"/>
          <w:bCs/>
          <w:color w:val="auto"/>
          <w:sz w:val="24"/>
          <w:szCs w:val="24"/>
        </w:rPr>
        <w:t>（¥</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u w:val="single"/>
          <w:lang w:val="en-US" w:eastAsia="zh-CN"/>
        </w:rPr>
        <w:t xml:space="preserve">  </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w:t>
      </w:r>
    </w:p>
    <w:p w14:paraId="11DDB6D9">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（二）合同价款包括但不限于</w:t>
      </w:r>
      <w:r>
        <w:rPr>
          <w:rFonts w:hint="eastAsia" w:ascii="仿宋" w:hAnsi="仿宋" w:eastAsia="仿宋" w:cs="仿宋"/>
          <w:color w:val="auto"/>
          <w:sz w:val="24"/>
          <w:szCs w:val="24"/>
          <w:lang w:val="zh-CN"/>
        </w:rPr>
        <w:t>产品供应费、运</w:t>
      </w:r>
      <w:r>
        <w:rPr>
          <w:rFonts w:hint="eastAsia" w:ascii="仿宋" w:hAnsi="仿宋" w:eastAsia="仿宋" w:cs="仿宋"/>
          <w:color w:val="auto"/>
          <w:sz w:val="24"/>
          <w:szCs w:val="24"/>
          <w:lang w:val="en-US" w:eastAsia="zh-CN"/>
        </w:rPr>
        <w:t>杂</w:t>
      </w:r>
      <w:r>
        <w:rPr>
          <w:rFonts w:hint="eastAsia" w:ascii="仿宋" w:hAnsi="仿宋" w:eastAsia="仿宋" w:cs="仿宋"/>
          <w:color w:val="auto"/>
          <w:sz w:val="24"/>
          <w:szCs w:val="24"/>
          <w:lang w:val="zh-CN"/>
        </w:rPr>
        <w:t>费、</w:t>
      </w:r>
      <w:r>
        <w:rPr>
          <w:rFonts w:hint="eastAsia" w:ascii="仿宋" w:hAnsi="仿宋" w:eastAsia="仿宋" w:cs="仿宋"/>
          <w:color w:val="auto"/>
          <w:sz w:val="24"/>
          <w:szCs w:val="24"/>
          <w:lang w:val="en-US" w:eastAsia="zh-CN"/>
        </w:rPr>
        <w:t>质检</w:t>
      </w:r>
      <w:r>
        <w:rPr>
          <w:rFonts w:hint="eastAsia" w:ascii="仿宋" w:hAnsi="仿宋" w:eastAsia="仿宋" w:cs="仿宋"/>
          <w:color w:val="auto"/>
          <w:sz w:val="24"/>
          <w:szCs w:val="24"/>
          <w:lang w:val="zh-CN"/>
        </w:rPr>
        <w:t>验收费、税金及其它相关的费用</w:t>
      </w:r>
      <w:r>
        <w:rPr>
          <w:rFonts w:hint="eastAsia" w:ascii="仿宋" w:hAnsi="仿宋" w:eastAsia="仿宋" w:cs="仿宋"/>
          <w:bCs/>
          <w:color w:val="auto"/>
          <w:sz w:val="24"/>
          <w:szCs w:val="24"/>
        </w:rPr>
        <w:t>。</w:t>
      </w:r>
    </w:p>
    <w:p w14:paraId="428DDED8">
      <w:pPr>
        <w:autoSpaceDE w:val="0"/>
        <w:autoSpaceDN w:val="0"/>
        <w:adjustRightIn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bCs/>
          <w:color w:val="auto"/>
          <w:sz w:val="24"/>
          <w:szCs w:val="24"/>
        </w:rPr>
        <w:t>（三）合同价款一次性包死，不受市场价格变化因素的影响。</w:t>
      </w:r>
    </w:p>
    <w:p w14:paraId="6BA27243">
      <w:pPr>
        <w:autoSpaceDE w:val="0"/>
        <w:autoSpaceDN w:val="0"/>
        <w:adjustRightInd w:val="0"/>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三、</w:t>
      </w:r>
      <w:r>
        <w:rPr>
          <w:rFonts w:hint="eastAsia" w:ascii="仿宋" w:hAnsi="仿宋" w:eastAsia="仿宋" w:cs="仿宋"/>
          <w:b/>
          <w:bCs/>
          <w:color w:val="auto"/>
          <w:sz w:val="24"/>
          <w:szCs w:val="24"/>
        </w:rPr>
        <w:t>款项结算</w:t>
      </w:r>
    </w:p>
    <w:p w14:paraId="03C9F85D">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（一）付款方式：</w:t>
      </w:r>
    </w:p>
    <w:p w14:paraId="5B5A4484">
      <w:pPr>
        <w:autoSpaceDE w:val="0"/>
        <w:autoSpaceDN w:val="0"/>
        <w:adjustRightInd w:val="0"/>
        <w:spacing w:line="360" w:lineRule="auto"/>
        <w:ind w:firstLine="480" w:firstLineChars="200"/>
        <w:rPr>
          <w:rFonts w:hint="eastAsia" w:ascii="仿宋" w:hAnsi="仿宋" w:eastAsia="仿宋" w:cs="仿宋"/>
          <w:color w:val="C00000"/>
          <w:sz w:val="24"/>
          <w:szCs w:val="24"/>
          <w:highlight w:val="none"/>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pPr>
      <w:r>
        <w:rPr>
          <w:rFonts w:hint="eastAsia" w:ascii="仿宋" w:hAnsi="仿宋" w:eastAsia="仿宋" w:cs="仿宋"/>
          <w:b w:val="0"/>
          <w:bCs/>
          <w:color w:val="C00000"/>
          <w:sz w:val="24"/>
          <w:szCs w:val="24"/>
          <w:highlight w:val="none"/>
          <w:lang w:val="en-US" w:eastAsia="zh-CN"/>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合同签订后，货物到达采购人指定地点履约验收合格后，</w:t>
      </w:r>
      <w:r>
        <w:rPr>
          <w:rFonts w:hint="eastAsia" w:ascii="仿宋" w:hAnsi="仿宋" w:eastAsia="仿宋" w:cs="仿宋"/>
          <w:color w:val="C00000"/>
          <w:sz w:val="24"/>
          <w:szCs w:val="24"/>
          <w:highlight w:val="none"/>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甲方收到乙方开具的全额增值税发票后</w:t>
      </w:r>
      <w:r>
        <w:rPr>
          <w:rFonts w:hint="eastAsia" w:ascii="仿宋" w:hAnsi="仿宋" w:eastAsia="仿宋" w:cs="仿宋"/>
          <w:color w:val="C00000"/>
          <w:sz w:val="24"/>
          <w:szCs w:val="24"/>
          <w:highlight w:val="none"/>
          <w:lang w:eastAsia="zh-CN"/>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w:t>
      </w:r>
      <w:r>
        <w:rPr>
          <w:rFonts w:hint="eastAsia" w:ascii="仿宋" w:hAnsi="仿宋" w:eastAsia="仿宋" w:cs="仿宋"/>
          <w:color w:val="C00000"/>
          <w:sz w:val="24"/>
          <w:szCs w:val="24"/>
          <w:highlight w:val="none"/>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达到付款条件起 15</w:t>
      </w:r>
      <w:r>
        <w:rPr>
          <w:rFonts w:hint="eastAsia" w:ascii="仿宋" w:hAnsi="仿宋" w:eastAsia="仿宋" w:cs="仿宋"/>
          <w:color w:val="C00000"/>
          <w:sz w:val="24"/>
          <w:szCs w:val="24"/>
          <w:highlight w:val="none"/>
          <w:lang w:val="en-US" w:eastAsia="zh-CN"/>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个工作</w:t>
      </w:r>
      <w:r>
        <w:rPr>
          <w:rFonts w:hint="eastAsia" w:ascii="仿宋" w:hAnsi="仿宋" w:eastAsia="仿宋" w:cs="仿宋"/>
          <w:color w:val="C00000"/>
          <w:sz w:val="24"/>
          <w:szCs w:val="24"/>
          <w:highlight w:val="none"/>
          <w14:textFill>
            <w14:gradFill>
              <w14:gsLst>
                <w14:gs w14:pos="50000">
                  <w14:schemeClr w14:val="tx1"/>
                </w14:gs>
                <w14:gs w14:pos="0">
                  <w14:schemeClr w14:val="tx1">
                    <w14:lumMod w14:val="25000"/>
                    <w14:lumOff w14:val="75000"/>
                  </w14:schemeClr>
                </w14:gs>
                <w14:gs w14:pos="100000">
                  <w14:schemeClr w14:val="tx1">
                    <w14:lumMod w14:val="85000"/>
                  </w14:schemeClr>
                </w14:gs>
              </w14:gsLst>
              <w14:lin w14:ang="5400000" w14:scaled="1"/>
            </w14:gradFill>
          </w14:textFill>
        </w:rPr>
        <w:t>日内，支付合同总金额的 100.00%。</w:t>
      </w:r>
    </w:p>
    <w:p w14:paraId="4C31BDEE">
      <w:pPr>
        <w:autoSpaceDE w:val="0"/>
        <w:autoSpaceDN w:val="0"/>
        <w:adjustRightIn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lang w:val="en-US" w:eastAsia="zh-CN"/>
        </w:rPr>
        <w:t>（二）结算</w:t>
      </w:r>
      <w:r>
        <w:rPr>
          <w:rFonts w:hint="eastAsia" w:ascii="仿宋" w:hAnsi="仿宋" w:eastAsia="仿宋" w:cs="仿宋"/>
          <w:bCs/>
          <w:color w:val="auto"/>
          <w:sz w:val="24"/>
          <w:szCs w:val="24"/>
        </w:rPr>
        <w:t>方式：银行转账。</w:t>
      </w:r>
    </w:p>
    <w:p w14:paraId="15E52D2D">
      <w:pPr>
        <w:autoSpaceDE w:val="0"/>
        <w:autoSpaceDN w:val="0"/>
        <w:adjustRightIn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（三）</w:t>
      </w:r>
      <w:r>
        <w:rPr>
          <w:rFonts w:hint="eastAsia" w:ascii="仿宋" w:hAnsi="仿宋" w:eastAsia="仿宋" w:cs="仿宋"/>
          <w:bCs/>
          <w:color w:val="auto"/>
          <w:sz w:val="24"/>
          <w:szCs w:val="24"/>
          <w:lang w:val="en-US" w:eastAsia="zh-CN"/>
        </w:rPr>
        <w:t>结算单位</w:t>
      </w:r>
      <w:r>
        <w:rPr>
          <w:rFonts w:hint="eastAsia" w:ascii="仿宋" w:hAnsi="仿宋" w:eastAsia="仿宋" w:cs="仿宋"/>
          <w:bCs/>
          <w:color w:val="auto"/>
          <w:sz w:val="24"/>
          <w:szCs w:val="24"/>
        </w:rPr>
        <w:t>：</w:t>
      </w:r>
      <w:r>
        <w:rPr>
          <w:rFonts w:hint="eastAsia" w:ascii="仿宋" w:hAnsi="仿宋" w:eastAsia="仿宋" w:cs="仿宋"/>
          <w:color w:val="auto"/>
          <w:sz w:val="24"/>
          <w:szCs w:val="24"/>
          <w:lang w:val="zh-CN"/>
        </w:rPr>
        <w:t>由</w:t>
      </w:r>
      <w:r>
        <w:rPr>
          <w:rFonts w:hint="eastAsia" w:ascii="仿宋" w:hAnsi="仿宋" w:eastAsia="仿宋" w:cs="仿宋"/>
          <w:color w:val="auto"/>
          <w:sz w:val="24"/>
          <w:szCs w:val="24"/>
        </w:rPr>
        <w:t>甲方</w:t>
      </w:r>
      <w:r>
        <w:rPr>
          <w:rFonts w:hint="eastAsia" w:ascii="仿宋" w:hAnsi="仿宋" w:eastAsia="仿宋" w:cs="仿宋"/>
          <w:color w:val="auto"/>
          <w:sz w:val="24"/>
          <w:szCs w:val="24"/>
          <w:lang w:val="zh-CN"/>
        </w:rPr>
        <w:t>负责结算，</w:t>
      </w:r>
      <w:r>
        <w:rPr>
          <w:rFonts w:hint="eastAsia" w:ascii="仿宋" w:hAnsi="仿宋" w:eastAsia="仿宋" w:cs="仿宋"/>
          <w:bCs/>
          <w:color w:val="auto"/>
          <w:sz w:val="24"/>
          <w:szCs w:val="24"/>
        </w:rPr>
        <w:t>乙方开具</w:t>
      </w:r>
      <w:r>
        <w:rPr>
          <w:rFonts w:hint="eastAsia" w:ascii="仿宋" w:hAnsi="仿宋" w:eastAsia="仿宋" w:cs="仿宋"/>
          <w:bCs/>
          <w:color w:val="auto"/>
          <w:sz w:val="24"/>
          <w:szCs w:val="24"/>
          <w:lang w:val="en-US" w:eastAsia="zh-CN"/>
        </w:rPr>
        <w:t>等</w:t>
      </w:r>
      <w:r>
        <w:rPr>
          <w:rFonts w:hint="eastAsia" w:ascii="仿宋" w:hAnsi="仿宋" w:eastAsia="仿宋" w:cs="仿宋"/>
          <w:bCs/>
          <w:color w:val="auto"/>
          <w:sz w:val="24"/>
          <w:szCs w:val="24"/>
        </w:rPr>
        <w:t>额发票给甲方。</w:t>
      </w:r>
    </w:p>
    <w:p w14:paraId="00A41548">
      <w:pPr>
        <w:autoSpaceDE w:val="0"/>
        <w:autoSpaceDN w:val="0"/>
        <w:adjustRightInd w:val="0"/>
        <w:spacing w:line="360" w:lineRule="auto"/>
        <w:ind w:firstLine="482" w:firstLineChars="200"/>
        <w:rPr>
          <w:rFonts w:hint="eastAsia" w:ascii="仿宋" w:hAnsi="仿宋" w:eastAsia="仿宋" w:cs="仿宋"/>
          <w:b/>
          <w:color w:val="auto"/>
          <w:sz w:val="24"/>
          <w:szCs w:val="24"/>
          <w:lang w:val="en-US" w:eastAsia="zh-CN"/>
        </w:rPr>
      </w:pPr>
      <w:r>
        <w:rPr>
          <w:rFonts w:hint="eastAsia" w:ascii="仿宋" w:hAnsi="仿宋" w:eastAsia="仿宋" w:cs="仿宋"/>
          <w:b/>
          <w:color w:val="auto"/>
          <w:sz w:val="24"/>
          <w:szCs w:val="24"/>
          <w:lang w:val="en-US" w:eastAsia="zh-CN"/>
        </w:rPr>
        <w:t>四</w:t>
      </w:r>
      <w:r>
        <w:rPr>
          <w:rFonts w:hint="eastAsia" w:ascii="仿宋" w:hAnsi="仿宋" w:eastAsia="仿宋" w:cs="仿宋"/>
          <w:b/>
          <w:color w:val="auto"/>
          <w:sz w:val="24"/>
          <w:szCs w:val="24"/>
        </w:rPr>
        <w:t>、</w:t>
      </w:r>
      <w:r>
        <w:rPr>
          <w:rFonts w:hint="eastAsia" w:ascii="仿宋" w:hAnsi="仿宋" w:eastAsia="仿宋" w:cs="仿宋"/>
          <w:b/>
          <w:color w:val="auto"/>
          <w:sz w:val="24"/>
          <w:szCs w:val="24"/>
          <w:lang w:val="en-US" w:eastAsia="zh-CN"/>
        </w:rPr>
        <w:t>交货条件</w:t>
      </w:r>
    </w:p>
    <w:p w14:paraId="34FD6A14">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rPr>
        <w:t>（一）</w:t>
      </w:r>
      <w:r>
        <w:rPr>
          <w:rFonts w:hint="eastAsia" w:ascii="仿宋" w:hAnsi="仿宋" w:eastAsia="仿宋" w:cs="仿宋"/>
          <w:bCs/>
          <w:color w:val="auto"/>
          <w:sz w:val="24"/>
          <w:szCs w:val="24"/>
          <w:highlight w:val="none"/>
          <w:lang w:val="en-US" w:eastAsia="zh-CN"/>
        </w:rPr>
        <w:t>交货期</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自合同签订后</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en-US" w:eastAsia="zh-CN"/>
        </w:rPr>
        <w:t>日内供货到位</w:t>
      </w:r>
      <w:r>
        <w:rPr>
          <w:rFonts w:hint="eastAsia" w:ascii="仿宋" w:hAnsi="仿宋" w:eastAsia="仿宋" w:cs="仿宋"/>
          <w:bCs/>
          <w:color w:val="auto"/>
          <w:sz w:val="24"/>
          <w:szCs w:val="24"/>
          <w:highlight w:val="none"/>
          <w:lang w:eastAsia="zh-CN"/>
        </w:rPr>
        <w:t>。</w:t>
      </w:r>
    </w:p>
    <w:p w14:paraId="1482F533">
      <w:pPr>
        <w:autoSpaceDE w:val="0"/>
        <w:autoSpaceDN w:val="0"/>
        <w:adjustRightIn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eastAsia="zh-CN"/>
        </w:rPr>
        <w:t>二</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val="en-US" w:eastAsia="zh-CN"/>
        </w:rPr>
        <w:t>交货</w:t>
      </w:r>
      <w:r>
        <w:rPr>
          <w:rFonts w:hint="eastAsia" w:ascii="仿宋" w:hAnsi="仿宋" w:eastAsia="仿宋" w:cs="仿宋"/>
          <w:bCs/>
          <w:color w:val="auto"/>
          <w:sz w:val="24"/>
          <w:szCs w:val="24"/>
          <w:highlight w:val="none"/>
        </w:rPr>
        <w:t>地点：</w:t>
      </w:r>
      <w:r>
        <w:rPr>
          <w:rFonts w:hint="eastAsia" w:ascii="仿宋" w:hAnsi="仿宋" w:eastAsia="仿宋" w:cs="仿宋"/>
          <w:bCs/>
          <w:color w:val="auto"/>
          <w:sz w:val="24"/>
          <w:szCs w:val="24"/>
          <w:highlight w:val="none"/>
          <w:lang w:val="en-US" w:eastAsia="zh-CN"/>
        </w:rPr>
        <w:t>甲方指定地点</w:t>
      </w:r>
      <w:r>
        <w:rPr>
          <w:rFonts w:hint="eastAsia" w:ascii="仿宋" w:hAnsi="仿宋" w:eastAsia="仿宋" w:cs="仿宋"/>
          <w:bCs/>
          <w:color w:val="auto"/>
          <w:sz w:val="24"/>
          <w:szCs w:val="24"/>
          <w:highlight w:val="none"/>
        </w:rPr>
        <w:t>。</w:t>
      </w:r>
    </w:p>
    <w:p w14:paraId="33247ED9">
      <w:pPr>
        <w:autoSpaceDE w:val="0"/>
        <w:autoSpaceDN w:val="0"/>
        <w:adjustRightInd w:val="0"/>
        <w:spacing w:line="360" w:lineRule="auto"/>
        <w:ind w:firstLine="482" w:firstLineChars="200"/>
        <w:rPr>
          <w:rFonts w:hint="eastAsia" w:ascii="仿宋" w:hAnsi="仿宋" w:eastAsia="仿宋" w:cs="仿宋"/>
          <w:b/>
          <w:color w:val="auto"/>
          <w:sz w:val="24"/>
          <w:szCs w:val="24"/>
        </w:rPr>
      </w:pPr>
      <w:r>
        <w:rPr>
          <w:rFonts w:hint="eastAsia" w:ascii="仿宋" w:hAnsi="仿宋" w:eastAsia="仿宋" w:cs="仿宋"/>
          <w:b/>
          <w:color w:val="auto"/>
          <w:sz w:val="24"/>
          <w:szCs w:val="24"/>
        </w:rPr>
        <w:t>五、技术标准、质量标准及其他要求</w:t>
      </w:r>
    </w:p>
    <w:p w14:paraId="2C4D8564">
      <w:pPr>
        <w:autoSpaceDE w:val="0"/>
        <w:autoSpaceDN w:val="0"/>
        <w:adjustRightInd w:val="0"/>
        <w:spacing w:line="360" w:lineRule="auto"/>
        <w:ind w:firstLine="480" w:firstLineChars="200"/>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rPr>
        <w:t>（一）所提供的产品符合国家现行标准和相应的技术规范，标准和技术规范应为合同签订之日为止最新公布发行的标准和技术规范。</w:t>
      </w:r>
    </w:p>
    <w:p w14:paraId="57EECC1D">
      <w:pPr>
        <w:autoSpaceDE w:val="0"/>
        <w:autoSpaceDN w:val="0"/>
        <w:adjustRightInd w:val="0"/>
        <w:spacing w:line="360" w:lineRule="auto"/>
        <w:ind w:firstLine="480" w:firstLineChars="200"/>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rPr>
        <w:t>（</w:t>
      </w:r>
      <w:r>
        <w:rPr>
          <w:rFonts w:hint="eastAsia" w:ascii="仿宋" w:hAnsi="仿宋" w:eastAsia="仿宋" w:cs="仿宋"/>
          <w:b w:val="0"/>
          <w:bCs/>
          <w:color w:val="auto"/>
          <w:sz w:val="24"/>
          <w:szCs w:val="24"/>
          <w:lang w:val="en-US" w:eastAsia="zh-CN"/>
        </w:rPr>
        <w:t>二</w:t>
      </w:r>
      <w:r>
        <w:rPr>
          <w:rFonts w:hint="eastAsia" w:ascii="仿宋" w:hAnsi="仿宋" w:eastAsia="仿宋" w:cs="仿宋"/>
          <w:b w:val="0"/>
          <w:bCs/>
          <w:color w:val="auto"/>
          <w:sz w:val="24"/>
          <w:szCs w:val="24"/>
        </w:rPr>
        <w:t>）产品质保期一年，</w:t>
      </w:r>
      <w:r>
        <w:rPr>
          <w:rFonts w:hint="eastAsia" w:ascii="仿宋" w:hAnsi="仿宋" w:eastAsia="仿宋" w:cs="仿宋"/>
          <w:b w:val="0"/>
          <w:bCs/>
          <w:color w:val="auto"/>
          <w:sz w:val="24"/>
          <w:szCs w:val="24"/>
          <w:lang w:val="en-US" w:eastAsia="zh-CN"/>
        </w:rPr>
        <w:t>货物</w:t>
      </w:r>
      <w:r>
        <w:rPr>
          <w:rFonts w:hint="eastAsia" w:ascii="仿宋" w:hAnsi="仿宋" w:eastAsia="仿宋" w:cs="仿宋"/>
          <w:b w:val="0"/>
          <w:bCs/>
          <w:color w:val="auto"/>
          <w:sz w:val="24"/>
          <w:szCs w:val="24"/>
        </w:rPr>
        <w:t>到达用户所在地后90日内，如发现</w:t>
      </w:r>
      <w:r>
        <w:rPr>
          <w:rFonts w:hint="eastAsia" w:ascii="仿宋" w:hAnsi="仿宋" w:eastAsia="仿宋" w:cs="仿宋"/>
          <w:b w:val="0"/>
          <w:bCs/>
          <w:color w:val="auto"/>
          <w:sz w:val="24"/>
          <w:szCs w:val="24"/>
          <w:lang w:val="en-US" w:eastAsia="zh-CN"/>
        </w:rPr>
        <w:t>不符合要求的货物</w:t>
      </w:r>
      <w:r>
        <w:rPr>
          <w:rFonts w:hint="eastAsia" w:ascii="仿宋" w:hAnsi="仿宋" w:eastAsia="仿宋" w:cs="仿宋"/>
          <w:b w:val="0"/>
          <w:bCs/>
          <w:color w:val="auto"/>
          <w:sz w:val="24"/>
          <w:szCs w:val="24"/>
        </w:rPr>
        <w:t>，</w:t>
      </w:r>
      <w:r>
        <w:rPr>
          <w:rFonts w:hint="eastAsia" w:ascii="仿宋" w:hAnsi="仿宋" w:eastAsia="仿宋" w:cs="仿宋"/>
          <w:b w:val="0"/>
          <w:bCs/>
          <w:color w:val="auto"/>
          <w:sz w:val="24"/>
          <w:szCs w:val="24"/>
          <w:lang w:val="en-US" w:eastAsia="zh-CN"/>
        </w:rPr>
        <w:t>供应商</w:t>
      </w:r>
      <w:r>
        <w:rPr>
          <w:rFonts w:hint="eastAsia" w:ascii="仿宋" w:hAnsi="仿宋" w:eastAsia="仿宋" w:cs="仿宋"/>
          <w:b w:val="0"/>
          <w:bCs/>
          <w:color w:val="auto"/>
          <w:sz w:val="24"/>
          <w:szCs w:val="24"/>
        </w:rPr>
        <w:t>应负责包修、包换；如发现材料及加工质量问题，制造厂商应负责包换。</w:t>
      </w:r>
    </w:p>
    <w:p w14:paraId="08D2F49A">
      <w:pPr>
        <w:autoSpaceDE w:val="0"/>
        <w:autoSpaceDN w:val="0"/>
        <w:adjustRightInd w:val="0"/>
        <w:spacing w:line="360" w:lineRule="auto"/>
        <w:ind w:firstLine="480" w:firstLineChars="200"/>
        <w:rPr>
          <w:rFonts w:hint="eastAsia" w:ascii="仿宋" w:hAnsi="仿宋" w:eastAsia="仿宋" w:cs="仿宋"/>
          <w:b w:val="0"/>
          <w:bCs/>
          <w:color w:val="auto"/>
          <w:sz w:val="24"/>
          <w:szCs w:val="24"/>
        </w:rPr>
      </w:pPr>
      <w:r>
        <w:rPr>
          <w:rFonts w:hint="eastAsia" w:ascii="仿宋" w:hAnsi="仿宋" w:eastAsia="仿宋" w:cs="仿宋"/>
          <w:b w:val="0"/>
          <w:bCs/>
          <w:color w:val="auto"/>
          <w:sz w:val="24"/>
          <w:szCs w:val="24"/>
        </w:rPr>
        <w:t>（</w:t>
      </w:r>
      <w:r>
        <w:rPr>
          <w:rFonts w:hint="eastAsia" w:ascii="仿宋" w:hAnsi="仿宋" w:eastAsia="仿宋" w:cs="仿宋"/>
          <w:b w:val="0"/>
          <w:bCs/>
          <w:color w:val="auto"/>
          <w:sz w:val="24"/>
          <w:szCs w:val="24"/>
          <w:lang w:val="en-US" w:eastAsia="zh-CN"/>
        </w:rPr>
        <w:t>三</w:t>
      </w:r>
      <w:r>
        <w:rPr>
          <w:rFonts w:hint="eastAsia" w:ascii="仿宋" w:hAnsi="仿宋" w:eastAsia="仿宋" w:cs="仿宋"/>
          <w:b w:val="0"/>
          <w:bCs/>
          <w:color w:val="auto"/>
          <w:sz w:val="24"/>
          <w:szCs w:val="24"/>
        </w:rPr>
        <w:t>）乙方提供的产品，若发生侵权而</w:t>
      </w:r>
      <w:bookmarkStart w:id="0" w:name="_GoBack"/>
      <w:bookmarkEnd w:id="0"/>
      <w:r>
        <w:rPr>
          <w:rFonts w:hint="eastAsia" w:ascii="仿宋" w:hAnsi="仿宋" w:eastAsia="仿宋" w:cs="仿宋"/>
          <w:b w:val="0"/>
          <w:bCs/>
          <w:color w:val="auto"/>
          <w:sz w:val="24"/>
          <w:szCs w:val="24"/>
        </w:rPr>
        <w:t>产生的一切后果，由乙方负责，甲方保留索赔权力。</w:t>
      </w:r>
    </w:p>
    <w:p w14:paraId="490658C8">
      <w:pPr>
        <w:autoSpaceDE w:val="0"/>
        <w:autoSpaceDN w:val="0"/>
        <w:adjustRightInd w:val="0"/>
        <w:spacing w:line="360" w:lineRule="auto"/>
        <w:ind w:firstLine="482" w:firstLineChars="200"/>
        <w:rPr>
          <w:rFonts w:hint="eastAsia" w:ascii="仿宋" w:hAnsi="仿宋" w:eastAsia="仿宋" w:cs="仿宋"/>
          <w:b/>
          <w:color w:val="auto"/>
          <w:sz w:val="24"/>
          <w:szCs w:val="24"/>
        </w:rPr>
      </w:pPr>
      <w:r>
        <w:rPr>
          <w:rFonts w:hint="eastAsia" w:ascii="仿宋" w:hAnsi="仿宋" w:eastAsia="仿宋" w:cs="仿宋"/>
          <w:b/>
          <w:color w:val="auto"/>
          <w:sz w:val="24"/>
          <w:szCs w:val="24"/>
          <w:lang w:val="en-US" w:eastAsia="zh-CN"/>
        </w:rPr>
        <w:t>六、</w:t>
      </w:r>
      <w:r>
        <w:rPr>
          <w:rFonts w:hint="eastAsia" w:ascii="仿宋" w:hAnsi="仿宋" w:eastAsia="仿宋" w:cs="仿宋"/>
          <w:b/>
          <w:color w:val="auto"/>
          <w:sz w:val="24"/>
          <w:szCs w:val="24"/>
        </w:rPr>
        <w:t>双方的权利和义务</w:t>
      </w:r>
    </w:p>
    <w:p w14:paraId="7E4FE71C">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（一）甲方的权利与义务</w:t>
      </w:r>
    </w:p>
    <w:p w14:paraId="4432449C">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1</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rPr>
        <w:t>积极配合乙方验收工作。</w:t>
      </w:r>
    </w:p>
    <w:p w14:paraId="39132893">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2</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rPr>
        <w:t>组织使用单位严格按照</w:t>
      </w:r>
      <w:r>
        <w:rPr>
          <w:rFonts w:hint="eastAsia" w:ascii="仿宋" w:hAnsi="仿宋" w:eastAsia="仿宋" w:cs="仿宋"/>
          <w:bCs/>
          <w:color w:val="auto"/>
          <w:sz w:val="24"/>
          <w:szCs w:val="24"/>
          <w:lang w:eastAsia="zh-CN"/>
        </w:rPr>
        <w:t>磋商文件</w:t>
      </w:r>
      <w:r>
        <w:rPr>
          <w:rFonts w:hint="eastAsia" w:ascii="仿宋" w:hAnsi="仿宋" w:eastAsia="仿宋" w:cs="仿宋"/>
          <w:bCs/>
          <w:color w:val="auto"/>
          <w:sz w:val="24"/>
          <w:szCs w:val="24"/>
        </w:rPr>
        <w:t>及</w:t>
      </w:r>
      <w:r>
        <w:rPr>
          <w:rFonts w:hint="eastAsia" w:ascii="仿宋" w:hAnsi="仿宋" w:eastAsia="仿宋" w:cs="仿宋"/>
          <w:bCs/>
          <w:color w:val="auto"/>
          <w:sz w:val="24"/>
          <w:szCs w:val="24"/>
          <w:lang w:val="en-US" w:eastAsia="zh-CN"/>
        </w:rPr>
        <w:t>响应文件</w:t>
      </w:r>
      <w:r>
        <w:rPr>
          <w:rFonts w:hint="eastAsia" w:ascii="仿宋" w:hAnsi="仿宋" w:eastAsia="仿宋" w:cs="仿宋"/>
          <w:bCs/>
          <w:color w:val="auto"/>
          <w:sz w:val="24"/>
          <w:szCs w:val="24"/>
        </w:rPr>
        <w:t>要求和标准验收货物。</w:t>
      </w:r>
    </w:p>
    <w:p w14:paraId="67B07D12">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（二）乙方的权利与义务</w:t>
      </w:r>
    </w:p>
    <w:p w14:paraId="47EE1C21">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1</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rPr>
        <w:t>保证对其出售的产品享有合法的权利，不存在任何未曾向甲方透露的担保物权，如抵押权、质押权、留置权。</w:t>
      </w:r>
    </w:p>
    <w:p w14:paraId="396DC751">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2</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rPr>
        <w:t>保证对其出售的产品或其任何一部分没有侵犯第三方的专利权、版权、商标权或其他权利。</w:t>
      </w:r>
    </w:p>
    <w:p w14:paraId="47A217FF">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3</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rPr>
        <w:t>负责产品的</w:t>
      </w:r>
      <w:r>
        <w:rPr>
          <w:rFonts w:hint="eastAsia" w:ascii="仿宋" w:hAnsi="仿宋" w:eastAsia="仿宋" w:cs="仿宋"/>
          <w:bCs/>
          <w:color w:val="auto"/>
          <w:sz w:val="24"/>
          <w:szCs w:val="24"/>
          <w:lang w:val="en-US" w:eastAsia="zh-CN"/>
        </w:rPr>
        <w:t>供应、</w:t>
      </w:r>
      <w:r>
        <w:rPr>
          <w:rFonts w:hint="eastAsia" w:ascii="仿宋" w:hAnsi="仿宋" w:eastAsia="仿宋" w:cs="仿宋"/>
          <w:bCs/>
          <w:color w:val="auto"/>
          <w:sz w:val="24"/>
          <w:szCs w:val="24"/>
        </w:rPr>
        <w:t>运输，并在合同约定的时间完工，运输及安装施工全过程中的安全由乙方负责。</w:t>
      </w:r>
    </w:p>
    <w:p w14:paraId="1FD272FE">
      <w:pPr>
        <w:autoSpaceDE w:val="0"/>
        <w:autoSpaceDN w:val="0"/>
        <w:adjustRightInd w:val="0"/>
        <w:snapToGrid w:val="0"/>
        <w:spacing w:line="36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rPr>
        <w:t>4</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rPr>
        <w:t>按照合同约定要求甲方及时付款。</w:t>
      </w:r>
    </w:p>
    <w:p w14:paraId="27D85106">
      <w:pPr>
        <w:autoSpaceDE w:val="0"/>
        <w:autoSpaceDN w:val="0"/>
        <w:adjustRightInd w:val="0"/>
        <w:snapToGrid w:val="0"/>
        <w:spacing w:line="360" w:lineRule="auto"/>
        <w:ind w:firstLine="482" w:firstLineChars="200"/>
        <w:rPr>
          <w:rFonts w:hint="eastAsia" w:ascii="仿宋" w:hAnsi="仿宋" w:eastAsia="仿宋" w:cs="仿宋"/>
          <w:b/>
          <w:bCs w:val="0"/>
          <w:color w:val="auto"/>
          <w:sz w:val="24"/>
          <w:szCs w:val="24"/>
          <w:lang w:val="en-US" w:eastAsia="zh-CN"/>
        </w:rPr>
      </w:pPr>
      <w:r>
        <w:rPr>
          <w:rFonts w:hint="eastAsia" w:ascii="仿宋" w:hAnsi="仿宋" w:eastAsia="仿宋" w:cs="仿宋"/>
          <w:b/>
          <w:bCs w:val="0"/>
          <w:color w:val="auto"/>
          <w:sz w:val="24"/>
          <w:szCs w:val="24"/>
          <w:lang w:val="en-US" w:eastAsia="zh-CN"/>
        </w:rPr>
        <w:t>七</w:t>
      </w:r>
      <w:r>
        <w:rPr>
          <w:rFonts w:hint="eastAsia" w:ascii="仿宋" w:hAnsi="仿宋" w:eastAsia="仿宋" w:cs="仿宋"/>
          <w:b/>
          <w:bCs w:val="0"/>
          <w:color w:val="auto"/>
          <w:sz w:val="24"/>
          <w:szCs w:val="24"/>
        </w:rPr>
        <w:t>、</w:t>
      </w:r>
      <w:r>
        <w:rPr>
          <w:rFonts w:hint="eastAsia" w:ascii="仿宋" w:hAnsi="仿宋" w:eastAsia="仿宋" w:cs="仿宋"/>
          <w:b/>
          <w:bCs w:val="0"/>
          <w:color w:val="auto"/>
          <w:sz w:val="24"/>
          <w:szCs w:val="24"/>
          <w:lang w:val="en-US" w:eastAsia="zh-CN"/>
        </w:rPr>
        <w:t>运输</w:t>
      </w:r>
    </w:p>
    <w:p w14:paraId="12EEAEB9">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（一）乙方负责所有产品的运输，确保采购产品安全、完整 到达采购人指定地点。运杂费一次性包死在总价内，采购人不再额外支付，包括从生产厂家到使用（安装）现场的包装、装载、运 输、卸载、现场保管、二次倒运等费用。</w:t>
      </w:r>
    </w:p>
    <w:p w14:paraId="20519F2A">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（二）运输方式由乙方自行选择，选择风险小、运费低、运距短的运输路线。但必须保证按期交货所有采购产品在运输、搬运的过程中，造成甲方损失的，由乙方为甲方修复或更新。</w:t>
      </w:r>
    </w:p>
    <w:p w14:paraId="660CBDCB">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（三）全部货物(产品)均应按照国家、行业规定的标准和保护措施进行包装，该包装应适应于远距离运输、防潮、防震、防锈和防野蛮装卸，以确保货物安全运抵指定地点。</w:t>
      </w:r>
    </w:p>
    <w:p w14:paraId="1AD2FA02">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（四）当包装使用塑料、纸质、木材等包装材料时，除应当按照国家、行业规定的包装标准进行包装外，还需按照《商品包装政府采购 需求标准(试行)》(财办库[2020])123号)规定的环保要求进行包装。</w:t>
      </w:r>
    </w:p>
    <w:p w14:paraId="64775C5A">
      <w:pPr>
        <w:autoSpaceDE w:val="0"/>
        <w:autoSpaceDN w:val="0"/>
        <w:adjustRightInd w:val="0"/>
        <w:snapToGrid w:val="0"/>
        <w:spacing w:line="36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rPr>
        <w:t>（五）当采用快递交货方式时，快递包装除应当按照国家、行业规定的包装标准进行包装外，还需按照《快递包装政府采购需求标准(试行)》(财办库[2020])123号)规定的环保要求进行包装。</w:t>
      </w:r>
    </w:p>
    <w:p w14:paraId="5FED488F">
      <w:pPr>
        <w:autoSpaceDE w:val="0"/>
        <w:autoSpaceDN w:val="0"/>
        <w:adjustRightInd w:val="0"/>
        <w:snapToGrid w:val="0"/>
        <w:spacing w:line="360" w:lineRule="auto"/>
        <w:ind w:firstLine="482" w:firstLineChars="200"/>
        <w:rPr>
          <w:rFonts w:hint="eastAsia" w:ascii="仿宋" w:hAnsi="仿宋" w:eastAsia="仿宋" w:cs="仿宋"/>
          <w:b/>
          <w:bCs w:val="0"/>
          <w:color w:val="auto"/>
          <w:sz w:val="24"/>
          <w:szCs w:val="24"/>
          <w:lang w:val="en-US" w:eastAsia="zh-CN"/>
        </w:rPr>
      </w:pPr>
      <w:r>
        <w:rPr>
          <w:rFonts w:hint="eastAsia" w:ascii="仿宋" w:hAnsi="仿宋" w:eastAsia="仿宋" w:cs="仿宋"/>
          <w:b/>
          <w:bCs w:val="0"/>
          <w:color w:val="auto"/>
          <w:sz w:val="24"/>
          <w:szCs w:val="24"/>
          <w:lang w:val="en-US" w:eastAsia="zh-CN"/>
        </w:rPr>
        <w:t>八</w:t>
      </w:r>
      <w:r>
        <w:rPr>
          <w:rFonts w:hint="eastAsia" w:ascii="仿宋" w:hAnsi="仿宋" w:eastAsia="仿宋" w:cs="仿宋"/>
          <w:b/>
          <w:bCs w:val="0"/>
          <w:color w:val="auto"/>
          <w:sz w:val="24"/>
          <w:szCs w:val="24"/>
        </w:rPr>
        <w:t>、</w:t>
      </w:r>
      <w:r>
        <w:rPr>
          <w:rFonts w:hint="eastAsia" w:ascii="仿宋" w:hAnsi="仿宋" w:eastAsia="仿宋" w:cs="仿宋"/>
          <w:b/>
          <w:bCs w:val="0"/>
          <w:color w:val="auto"/>
          <w:sz w:val="24"/>
          <w:szCs w:val="24"/>
          <w:lang w:val="en-US" w:eastAsia="zh-CN"/>
        </w:rPr>
        <w:t>验收</w:t>
      </w:r>
    </w:p>
    <w:p w14:paraId="76945CCF">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（一）本项目验收费用，由乙方自行承担。</w:t>
      </w:r>
    </w:p>
    <w:p w14:paraId="64290FF8">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二）初验：产品到达交货地点后，乙方须提供提供省级或以上质量监督检验机构出具的检验报告，相对应的检验费用发票复印件及所提供货物（产品）的合格证、装箱清单、配件等资料交付给甲方，甲方根据合同要求，对产品进行外观验收、确认产品的产地、规格和数量，甲方和乙方共同签署到货验收单。未签收到货验收单的产品不得擅自开箱安装。</w:t>
      </w:r>
    </w:p>
    <w:p w14:paraId="6DA29E1C">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（三）终验：产品供货完成后，乙方进行自测并形成自测报告，出现的问题限期整改。自检最终通过后，乙方提出验收申请 ，甲方确认乙方的自检内容后，会同乙方（必要时请有关专家）进行最终验收。验收合格后，填写项目验收单作为对产品的最终认可。</w:t>
      </w:r>
    </w:p>
    <w:p w14:paraId="5294410A">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（四）验收依据：</w:t>
      </w:r>
    </w:p>
    <w:p w14:paraId="2E9AC956">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1</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rPr>
        <w:t>本合同及附加文本；</w:t>
      </w:r>
    </w:p>
    <w:p w14:paraId="79132C7D">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2</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lang w:val="en-US" w:eastAsia="zh-CN"/>
        </w:rPr>
        <w:t>磋商文件</w:t>
      </w:r>
      <w:r>
        <w:rPr>
          <w:rFonts w:hint="eastAsia" w:ascii="仿宋" w:hAnsi="仿宋" w:eastAsia="仿宋" w:cs="仿宋"/>
          <w:bCs/>
          <w:color w:val="auto"/>
          <w:sz w:val="24"/>
          <w:szCs w:val="24"/>
        </w:rPr>
        <w:t>、</w:t>
      </w:r>
      <w:r>
        <w:rPr>
          <w:rFonts w:hint="eastAsia" w:ascii="仿宋" w:hAnsi="仿宋" w:eastAsia="仿宋" w:cs="仿宋"/>
          <w:bCs/>
          <w:color w:val="auto"/>
          <w:sz w:val="24"/>
          <w:szCs w:val="24"/>
          <w:lang w:val="en-US" w:eastAsia="zh-CN"/>
        </w:rPr>
        <w:t>成交供应商</w:t>
      </w:r>
      <w:r>
        <w:rPr>
          <w:rFonts w:hint="eastAsia" w:ascii="仿宋" w:hAnsi="仿宋" w:eastAsia="仿宋" w:cs="仿宋"/>
          <w:bCs/>
          <w:color w:val="auto"/>
          <w:sz w:val="24"/>
          <w:szCs w:val="24"/>
        </w:rPr>
        <w:t>的</w:t>
      </w:r>
      <w:r>
        <w:rPr>
          <w:rFonts w:hint="eastAsia" w:ascii="仿宋" w:hAnsi="仿宋" w:eastAsia="仿宋" w:cs="仿宋"/>
          <w:bCs/>
          <w:color w:val="auto"/>
          <w:sz w:val="24"/>
          <w:szCs w:val="24"/>
          <w:lang w:val="en-US" w:eastAsia="zh-CN"/>
        </w:rPr>
        <w:t>响应文件</w:t>
      </w:r>
      <w:r>
        <w:rPr>
          <w:rFonts w:hint="eastAsia" w:ascii="仿宋" w:hAnsi="仿宋" w:eastAsia="仿宋" w:cs="仿宋"/>
          <w:bCs/>
          <w:color w:val="auto"/>
          <w:sz w:val="24"/>
          <w:szCs w:val="24"/>
        </w:rPr>
        <w:t>及澄清（承诺）函；</w:t>
      </w:r>
    </w:p>
    <w:p w14:paraId="1FB5F6AE">
      <w:pPr>
        <w:autoSpaceDE w:val="0"/>
        <w:autoSpaceDN w:val="0"/>
        <w:adjustRightInd w:val="0"/>
        <w:snapToGrid w:val="0"/>
        <w:spacing w:line="360" w:lineRule="auto"/>
        <w:ind w:firstLine="480" w:firstLineChars="200"/>
        <w:rPr>
          <w:rFonts w:hint="eastAsia" w:ascii="仿宋" w:hAnsi="仿宋" w:eastAsia="仿宋" w:cs="仿宋"/>
          <w:b w:val="0"/>
          <w:bCs/>
          <w:color w:val="auto"/>
          <w:sz w:val="24"/>
          <w:szCs w:val="24"/>
          <w:lang w:val="en-US" w:eastAsia="zh-CN"/>
        </w:rPr>
      </w:pPr>
      <w:r>
        <w:rPr>
          <w:rFonts w:hint="eastAsia" w:ascii="仿宋" w:hAnsi="仿宋" w:eastAsia="仿宋" w:cs="仿宋"/>
          <w:bCs/>
          <w:color w:val="auto"/>
          <w:sz w:val="24"/>
          <w:szCs w:val="24"/>
        </w:rPr>
        <w:t>3</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rPr>
        <w:t>国家相应的标准、规范。</w:t>
      </w:r>
    </w:p>
    <w:p w14:paraId="2CD80BB0">
      <w:pPr>
        <w:autoSpaceDE w:val="0"/>
        <w:autoSpaceDN w:val="0"/>
        <w:adjustRightInd w:val="0"/>
        <w:snapToGrid w:val="0"/>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九</w:t>
      </w:r>
      <w:r>
        <w:rPr>
          <w:rFonts w:hint="eastAsia" w:ascii="仿宋" w:hAnsi="仿宋" w:eastAsia="仿宋" w:cs="仿宋"/>
          <w:b/>
          <w:bCs/>
          <w:color w:val="auto"/>
          <w:sz w:val="24"/>
          <w:szCs w:val="24"/>
        </w:rPr>
        <w:t>、违约责任</w:t>
      </w:r>
    </w:p>
    <w:p w14:paraId="30632D9E">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（一）按《中华人民共和国民法典》中的相关条款执行。</w:t>
      </w:r>
    </w:p>
    <w:p w14:paraId="2E3F2F58">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（二）</w:t>
      </w:r>
      <w:r>
        <w:rPr>
          <w:rFonts w:hint="eastAsia" w:ascii="仿宋" w:hAnsi="仿宋" w:eastAsia="仿宋" w:cs="仿宋"/>
          <w:bCs/>
          <w:color w:val="auto"/>
          <w:sz w:val="24"/>
          <w:szCs w:val="24"/>
          <w:lang w:val="en-US" w:eastAsia="zh-CN"/>
        </w:rPr>
        <w:t>未按合同要求提供服务或服务质量不能满足合同要求，甲方有权依据《</w:t>
      </w:r>
      <w:r>
        <w:rPr>
          <w:rFonts w:hint="eastAsia" w:ascii="仿宋" w:hAnsi="仿宋" w:eastAsia="仿宋" w:cs="仿宋"/>
          <w:bCs/>
          <w:color w:val="auto"/>
          <w:sz w:val="24"/>
          <w:szCs w:val="24"/>
        </w:rPr>
        <w:t>中华人民共和国民法典</w:t>
      </w:r>
      <w:r>
        <w:rPr>
          <w:rFonts w:hint="eastAsia" w:ascii="仿宋" w:hAnsi="仿宋" w:eastAsia="仿宋" w:cs="仿宋"/>
          <w:bCs/>
          <w:color w:val="auto"/>
          <w:sz w:val="24"/>
          <w:szCs w:val="24"/>
          <w:lang w:val="en-US" w:eastAsia="zh-CN"/>
        </w:rPr>
        <w:t>》有关条款及合同约定终止合同，并要求乙方承担违约责任。</w:t>
      </w:r>
    </w:p>
    <w:p w14:paraId="3B058314">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（三）</w:t>
      </w:r>
      <w:r>
        <w:rPr>
          <w:rFonts w:hint="eastAsia" w:ascii="仿宋" w:hAnsi="仿宋" w:eastAsia="仿宋" w:cs="仿宋"/>
          <w:bCs/>
          <w:color w:val="auto"/>
          <w:sz w:val="24"/>
          <w:szCs w:val="24"/>
          <w:lang w:val="en-US" w:eastAsia="zh-CN"/>
        </w:rPr>
        <w:t>乙方未按合同约定的交货日期交货的，每逾期一个日历日，向甲方支付逾期交付货物价款的3%的违约金，但不超过合同总金额10%。乙方支付逾期交货违约金并不免除其交货的责任</w:t>
      </w:r>
      <w:r>
        <w:rPr>
          <w:rFonts w:hint="eastAsia" w:ascii="仿宋" w:hAnsi="仿宋" w:eastAsia="仿宋" w:cs="仿宋"/>
          <w:bCs/>
          <w:color w:val="auto"/>
          <w:sz w:val="24"/>
          <w:szCs w:val="24"/>
        </w:rPr>
        <w:t>。</w:t>
      </w:r>
    </w:p>
    <w:p w14:paraId="4389FB64">
      <w:pPr>
        <w:autoSpaceDE w:val="0"/>
        <w:autoSpaceDN w:val="0"/>
        <w:adjustRightInd w:val="0"/>
        <w:snapToGrid w:val="0"/>
        <w:spacing w:line="360" w:lineRule="auto"/>
        <w:ind w:firstLine="480" w:firstLineChars="200"/>
        <w:rPr>
          <w:rFonts w:hint="eastAsia"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lang w:val="en-US" w:eastAsia="zh-CN"/>
        </w:rPr>
        <w:t>四</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lang w:val="en-US" w:eastAsia="zh-CN"/>
        </w:rPr>
        <w:t>如乙方在政府采购合同规定的交货日期后5个日历日后仍未能交货，则视为乙方不能交货，甲方有权解除政府采购合同，乙方除退还已收取的货款外，还应向甲方偿付政府采购合同总金额30%的违约金，并承担由此给甲方造成的一切损失。</w:t>
      </w:r>
    </w:p>
    <w:p w14:paraId="0E89C1B4">
      <w:pPr>
        <w:autoSpaceDE w:val="0"/>
        <w:autoSpaceDN w:val="0"/>
        <w:adjustRightInd w:val="0"/>
        <w:snapToGrid w:val="0"/>
        <w:spacing w:line="360" w:lineRule="auto"/>
        <w:ind w:firstLine="480" w:firstLineChars="200"/>
        <w:rPr>
          <w:rFonts w:hint="eastAsia"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lang w:val="en-US" w:eastAsia="zh-CN"/>
        </w:rPr>
        <w:t>五</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lang w:val="en-US" w:eastAsia="zh-CN"/>
        </w:rPr>
        <w:t>乙方所交付货物及伴随的工程或服务不符合其投标承诺，存在偷工减料、以次充好情形的，甲方要求更换一次后仍不符合约定的，甲方有权解除政府采购合同，并将有关情况上报政府购监管部门处理。</w:t>
      </w:r>
    </w:p>
    <w:p w14:paraId="151F085C">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w:t>
      </w:r>
      <w:r>
        <w:rPr>
          <w:rFonts w:hint="eastAsia" w:ascii="仿宋" w:hAnsi="仿宋" w:eastAsia="仿宋" w:cs="仿宋"/>
          <w:bCs/>
          <w:color w:val="auto"/>
          <w:sz w:val="24"/>
          <w:szCs w:val="24"/>
          <w:lang w:val="en-US" w:eastAsia="zh-CN"/>
        </w:rPr>
        <w:t>六</w:t>
      </w:r>
      <w:r>
        <w:rPr>
          <w:rFonts w:hint="eastAsia" w:ascii="仿宋" w:hAnsi="仿宋" w:eastAsia="仿宋" w:cs="仿宋"/>
          <w:bCs/>
          <w:color w:val="auto"/>
          <w:sz w:val="24"/>
          <w:szCs w:val="24"/>
        </w:rPr>
        <w:t>）任何一方因不可抗力原因不能履行协议时，应尽快通知对方，双方均设法补偿。如仍无法履约协议，可协商延缓或撤销协议，双方责任免除。</w:t>
      </w:r>
    </w:p>
    <w:p w14:paraId="78212992">
      <w:pPr>
        <w:autoSpaceDE w:val="0"/>
        <w:autoSpaceDN w:val="0"/>
        <w:adjustRightInd w:val="0"/>
        <w:snapToGrid w:val="0"/>
        <w:spacing w:line="360" w:lineRule="auto"/>
        <w:ind w:firstLine="482" w:firstLineChars="200"/>
        <w:rPr>
          <w:rFonts w:hint="eastAsia" w:ascii="仿宋" w:hAnsi="仿宋" w:eastAsia="仿宋" w:cs="仿宋"/>
          <w:bCs/>
          <w:color w:val="auto"/>
          <w:sz w:val="24"/>
          <w:szCs w:val="24"/>
        </w:rPr>
      </w:pPr>
      <w:r>
        <w:rPr>
          <w:rFonts w:hint="eastAsia" w:ascii="仿宋" w:hAnsi="仿宋" w:eastAsia="仿宋" w:cs="仿宋"/>
          <w:b/>
          <w:bCs/>
          <w:color w:val="auto"/>
          <w:sz w:val="24"/>
          <w:szCs w:val="24"/>
        </w:rPr>
        <w:t>十、合同争议解决的方式</w:t>
      </w:r>
    </w:p>
    <w:p w14:paraId="090E00A3">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（一）本合同在履行过程中发生的争议，由甲、乙双方当事人协商解决，协商不成的按下列第</w:t>
      </w:r>
      <w:r>
        <w:rPr>
          <w:rFonts w:hint="eastAsia" w:ascii="仿宋" w:hAnsi="仿宋" w:eastAsia="仿宋" w:cs="仿宋"/>
          <w:bCs/>
          <w:color w:val="auto"/>
          <w:sz w:val="24"/>
          <w:szCs w:val="24"/>
          <w:u w:val="single"/>
        </w:rPr>
        <w:t xml:space="preserve"> 2 </w:t>
      </w:r>
      <w:r>
        <w:rPr>
          <w:rFonts w:hint="eastAsia" w:ascii="仿宋" w:hAnsi="仿宋" w:eastAsia="仿宋" w:cs="仿宋"/>
          <w:bCs/>
          <w:color w:val="auto"/>
          <w:sz w:val="24"/>
          <w:szCs w:val="24"/>
        </w:rPr>
        <w:t>种方式解决：</w:t>
      </w:r>
    </w:p>
    <w:p w14:paraId="2A09EBB3">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1</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rPr>
        <w:t>提交西安市仲裁委员会仲裁；</w:t>
      </w:r>
    </w:p>
    <w:p w14:paraId="3ABD0856">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2</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rPr>
        <w:t>依法向甲方所在地人民法院起诉。</w:t>
      </w:r>
    </w:p>
    <w:p w14:paraId="40B9D485">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（二）因质量问题发生的争议，由国家权威技术单位进行质量鉴定，该鉴定结论为最终结果，甲乙双方应当接受。</w:t>
      </w:r>
    </w:p>
    <w:p w14:paraId="43568881">
      <w:pPr>
        <w:autoSpaceDE w:val="0"/>
        <w:autoSpaceDN w:val="0"/>
        <w:adjustRightInd w:val="0"/>
        <w:snapToGrid w:val="0"/>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十</w:t>
      </w:r>
      <w:r>
        <w:rPr>
          <w:rFonts w:hint="eastAsia" w:ascii="仿宋" w:hAnsi="仿宋" w:eastAsia="仿宋" w:cs="仿宋"/>
          <w:b/>
          <w:bCs/>
          <w:color w:val="auto"/>
          <w:sz w:val="24"/>
          <w:szCs w:val="24"/>
          <w:lang w:val="en-US" w:eastAsia="zh-CN"/>
        </w:rPr>
        <w:t>一</w:t>
      </w:r>
      <w:r>
        <w:rPr>
          <w:rFonts w:hint="eastAsia" w:ascii="仿宋" w:hAnsi="仿宋" w:eastAsia="仿宋" w:cs="仿宋"/>
          <w:b/>
          <w:bCs/>
          <w:color w:val="auto"/>
          <w:sz w:val="24"/>
          <w:szCs w:val="24"/>
        </w:rPr>
        <w:t>、合同生效</w:t>
      </w:r>
    </w:p>
    <w:p w14:paraId="0DDF4221">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（一）本合同须经甲、乙双方的法定代表人（授权代理人）在合同书上签字并加盖本单位公章后正式生效。</w:t>
      </w:r>
    </w:p>
    <w:p w14:paraId="37FEDFFF">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（二）合同生效后，甲、乙双方须严格执行本合同条款的规定，全面履行合同，违者按《中华人民共和国民法典》的有关规定承担相应责任。</w:t>
      </w:r>
    </w:p>
    <w:p w14:paraId="7F658891">
      <w:pPr>
        <w:autoSpaceDE w:val="0"/>
        <w:autoSpaceDN w:val="0"/>
        <w:adjustRightInd w:val="0"/>
        <w:snapToGrid w:val="0"/>
        <w:spacing w:line="360" w:lineRule="auto"/>
        <w:ind w:firstLine="480" w:firstLineChars="200"/>
        <w:rPr>
          <w:rFonts w:hint="eastAsia" w:ascii="仿宋" w:hAnsi="仿宋" w:eastAsia="仿宋" w:cs="仿宋"/>
          <w:bCs/>
          <w:color w:val="auto"/>
          <w:sz w:val="24"/>
          <w:szCs w:val="24"/>
        </w:rPr>
      </w:pPr>
      <w:r>
        <w:rPr>
          <w:rFonts w:hint="eastAsia" w:ascii="仿宋" w:hAnsi="仿宋" w:eastAsia="仿宋" w:cs="仿宋"/>
          <w:bCs/>
          <w:color w:val="auto"/>
          <w:sz w:val="24"/>
          <w:szCs w:val="24"/>
        </w:rPr>
        <w:t>（三）本合同一式</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份，甲乙双方各执</w:t>
      </w:r>
      <w:r>
        <w:rPr>
          <w:rFonts w:hint="eastAsia" w:ascii="仿宋" w:hAnsi="仿宋" w:eastAsia="仿宋" w:cs="仿宋"/>
          <w:bCs/>
          <w:color w:val="auto"/>
          <w:sz w:val="24"/>
          <w:szCs w:val="24"/>
          <w:u w:val="single"/>
        </w:rPr>
        <w:t xml:space="preserve">    </w:t>
      </w:r>
      <w:r>
        <w:rPr>
          <w:rFonts w:hint="eastAsia" w:ascii="仿宋" w:hAnsi="仿宋" w:eastAsia="仿宋" w:cs="仿宋"/>
          <w:bCs/>
          <w:color w:val="auto"/>
          <w:sz w:val="24"/>
          <w:szCs w:val="24"/>
        </w:rPr>
        <w:t>份。</w:t>
      </w:r>
    </w:p>
    <w:p w14:paraId="031EF79E">
      <w:pPr>
        <w:autoSpaceDE w:val="0"/>
        <w:autoSpaceDN w:val="0"/>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bCs/>
          <w:color w:val="auto"/>
          <w:sz w:val="24"/>
          <w:szCs w:val="24"/>
        </w:rPr>
        <w:t>（四）本合同如有未尽事宜，甲、乙双方协商解决。</w:t>
      </w:r>
    </w:p>
    <w:p w14:paraId="5AC04E29">
      <w:pPr>
        <w:rPr>
          <w:rFonts w:hint="eastAsia" w:ascii="仿宋" w:hAnsi="仿宋" w:eastAsia="仿宋" w:cs="仿宋"/>
          <w:color w:val="auto"/>
          <w:sz w:val="24"/>
          <w:szCs w:val="24"/>
          <w:lang w:val="en-US" w:eastAsia="zh-CN"/>
        </w:rPr>
      </w:pPr>
    </w:p>
    <w:p w14:paraId="325327C7">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br w:type="page"/>
      </w:r>
    </w:p>
    <w:p w14:paraId="46386224">
      <w:pPr>
        <w:rPr>
          <w:rFonts w:hint="eastAsia" w:ascii="仿宋" w:hAnsi="仿宋" w:eastAsia="仿宋" w:cs="仿宋"/>
          <w:color w:val="auto"/>
          <w:lang w:val="en-US" w:eastAsia="zh-CN"/>
        </w:rPr>
      </w:pPr>
    </w:p>
    <w:tbl>
      <w:tblPr>
        <w:tblStyle w:val="3"/>
        <w:tblW w:w="0" w:type="auto"/>
        <w:jc w:val="center"/>
        <w:tblLayout w:type="fixed"/>
        <w:tblCellMar>
          <w:top w:w="0" w:type="dxa"/>
          <w:left w:w="108" w:type="dxa"/>
          <w:bottom w:w="0" w:type="dxa"/>
          <w:right w:w="108" w:type="dxa"/>
        </w:tblCellMar>
      </w:tblPr>
      <w:tblGrid>
        <w:gridCol w:w="4201"/>
        <w:gridCol w:w="4202"/>
      </w:tblGrid>
      <w:tr w14:paraId="15B66534">
        <w:tblPrEx>
          <w:tblCellMar>
            <w:top w:w="0" w:type="dxa"/>
            <w:left w:w="108" w:type="dxa"/>
            <w:bottom w:w="0" w:type="dxa"/>
            <w:right w:w="108" w:type="dxa"/>
          </w:tblCellMar>
        </w:tblPrEx>
        <w:trPr>
          <w:trHeight w:val="564" w:hRule="exact"/>
          <w:jc w:val="center"/>
        </w:trPr>
        <w:tc>
          <w:tcPr>
            <w:tcW w:w="4201" w:type="dxa"/>
            <w:noWrap w:val="0"/>
            <w:vAlign w:val="center"/>
          </w:tcPr>
          <w:p w14:paraId="25EF276D">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甲  方</w:t>
            </w:r>
          </w:p>
        </w:tc>
        <w:tc>
          <w:tcPr>
            <w:tcW w:w="4202" w:type="dxa"/>
            <w:noWrap w:val="0"/>
            <w:vAlign w:val="center"/>
          </w:tcPr>
          <w:p w14:paraId="26E60690">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乙  方</w:t>
            </w:r>
          </w:p>
        </w:tc>
      </w:tr>
      <w:tr w14:paraId="0DB0EC94">
        <w:tblPrEx>
          <w:tblCellMar>
            <w:top w:w="0" w:type="dxa"/>
            <w:left w:w="108" w:type="dxa"/>
            <w:bottom w:w="0" w:type="dxa"/>
            <w:right w:w="108" w:type="dxa"/>
          </w:tblCellMar>
        </w:tblPrEx>
        <w:trPr>
          <w:trHeight w:val="550" w:hRule="exact"/>
          <w:jc w:val="center"/>
        </w:trPr>
        <w:tc>
          <w:tcPr>
            <w:tcW w:w="4201" w:type="dxa"/>
            <w:noWrap w:val="0"/>
            <w:vAlign w:val="center"/>
          </w:tcPr>
          <w:p w14:paraId="7B47EDBF">
            <w:pPr>
              <w:autoSpaceDE w:val="0"/>
              <w:autoSpaceDN w:val="0"/>
              <w:adjustRightInd w:val="0"/>
              <w:jc w:val="both"/>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（盖章）</w:t>
            </w:r>
          </w:p>
        </w:tc>
        <w:tc>
          <w:tcPr>
            <w:tcW w:w="4202" w:type="dxa"/>
            <w:noWrap w:val="0"/>
            <w:vAlign w:val="center"/>
          </w:tcPr>
          <w:p w14:paraId="6744793F">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（盖章）</w:t>
            </w:r>
          </w:p>
        </w:tc>
      </w:tr>
      <w:tr w14:paraId="1B6B0DF1">
        <w:tblPrEx>
          <w:tblCellMar>
            <w:top w:w="0" w:type="dxa"/>
            <w:left w:w="108" w:type="dxa"/>
            <w:bottom w:w="0" w:type="dxa"/>
            <w:right w:w="108" w:type="dxa"/>
          </w:tblCellMar>
        </w:tblPrEx>
        <w:trPr>
          <w:trHeight w:val="550" w:hRule="exact"/>
          <w:jc w:val="center"/>
        </w:trPr>
        <w:tc>
          <w:tcPr>
            <w:tcW w:w="4201" w:type="dxa"/>
            <w:noWrap w:val="0"/>
            <w:vAlign w:val="center"/>
          </w:tcPr>
          <w:p w14:paraId="5262B3D2">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 xml:space="preserve">地址： </w:t>
            </w:r>
          </w:p>
        </w:tc>
        <w:tc>
          <w:tcPr>
            <w:tcW w:w="4202" w:type="dxa"/>
            <w:noWrap w:val="0"/>
            <w:vAlign w:val="center"/>
          </w:tcPr>
          <w:p w14:paraId="6D5DA718">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地址：</w:t>
            </w:r>
          </w:p>
        </w:tc>
      </w:tr>
      <w:tr w14:paraId="58E599A3">
        <w:tblPrEx>
          <w:tblCellMar>
            <w:top w:w="0" w:type="dxa"/>
            <w:left w:w="108" w:type="dxa"/>
            <w:bottom w:w="0" w:type="dxa"/>
            <w:right w:w="108" w:type="dxa"/>
          </w:tblCellMar>
        </w:tblPrEx>
        <w:trPr>
          <w:trHeight w:val="579" w:hRule="exact"/>
          <w:jc w:val="center"/>
        </w:trPr>
        <w:tc>
          <w:tcPr>
            <w:tcW w:w="4201" w:type="dxa"/>
            <w:noWrap w:val="0"/>
            <w:vAlign w:val="center"/>
          </w:tcPr>
          <w:p w14:paraId="3D5EEF5C">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邮编：</w:t>
            </w:r>
          </w:p>
        </w:tc>
        <w:tc>
          <w:tcPr>
            <w:tcW w:w="4202" w:type="dxa"/>
            <w:noWrap w:val="0"/>
            <w:vAlign w:val="center"/>
          </w:tcPr>
          <w:p w14:paraId="6AA5548C">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邮编：</w:t>
            </w:r>
          </w:p>
        </w:tc>
      </w:tr>
      <w:tr w14:paraId="43075008">
        <w:tblPrEx>
          <w:tblCellMar>
            <w:top w:w="0" w:type="dxa"/>
            <w:left w:w="108" w:type="dxa"/>
            <w:bottom w:w="0" w:type="dxa"/>
            <w:right w:w="108" w:type="dxa"/>
          </w:tblCellMar>
        </w:tblPrEx>
        <w:trPr>
          <w:trHeight w:val="622" w:hRule="exact"/>
          <w:jc w:val="center"/>
        </w:trPr>
        <w:tc>
          <w:tcPr>
            <w:tcW w:w="4201" w:type="dxa"/>
            <w:noWrap w:val="0"/>
            <w:vAlign w:val="center"/>
          </w:tcPr>
          <w:p w14:paraId="74E3E747">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 xml:space="preserve">法定代表人： </w:t>
            </w:r>
          </w:p>
        </w:tc>
        <w:tc>
          <w:tcPr>
            <w:tcW w:w="4202" w:type="dxa"/>
            <w:noWrap w:val="0"/>
            <w:vAlign w:val="center"/>
          </w:tcPr>
          <w:p w14:paraId="06000618">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法定代表人：</w:t>
            </w:r>
          </w:p>
        </w:tc>
      </w:tr>
      <w:tr w14:paraId="38D8AB59">
        <w:tblPrEx>
          <w:tblCellMar>
            <w:top w:w="0" w:type="dxa"/>
            <w:left w:w="108" w:type="dxa"/>
            <w:bottom w:w="0" w:type="dxa"/>
            <w:right w:w="108" w:type="dxa"/>
          </w:tblCellMar>
        </w:tblPrEx>
        <w:trPr>
          <w:trHeight w:val="593" w:hRule="exact"/>
          <w:jc w:val="center"/>
        </w:trPr>
        <w:tc>
          <w:tcPr>
            <w:tcW w:w="4201" w:type="dxa"/>
            <w:noWrap w:val="0"/>
            <w:vAlign w:val="center"/>
          </w:tcPr>
          <w:p w14:paraId="1A610CD2">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被授权代表：</w:t>
            </w:r>
          </w:p>
        </w:tc>
        <w:tc>
          <w:tcPr>
            <w:tcW w:w="4202" w:type="dxa"/>
            <w:noWrap w:val="0"/>
            <w:vAlign w:val="center"/>
          </w:tcPr>
          <w:p w14:paraId="550229EE">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被授权代表：</w:t>
            </w:r>
          </w:p>
        </w:tc>
      </w:tr>
      <w:tr w14:paraId="48875FE1">
        <w:tblPrEx>
          <w:tblCellMar>
            <w:top w:w="0" w:type="dxa"/>
            <w:left w:w="108" w:type="dxa"/>
            <w:bottom w:w="0" w:type="dxa"/>
            <w:right w:w="108" w:type="dxa"/>
          </w:tblCellMar>
        </w:tblPrEx>
        <w:trPr>
          <w:trHeight w:val="578" w:hRule="exact"/>
          <w:jc w:val="center"/>
        </w:trPr>
        <w:tc>
          <w:tcPr>
            <w:tcW w:w="4201" w:type="dxa"/>
            <w:noWrap w:val="0"/>
            <w:vAlign w:val="center"/>
          </w:tcPr>
          <w:p w14:paraId="6EB4E4B0">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电话：</w:t>
            </w:r>
          </w:p>
        </w:tc>
        <w:tc>
          <w:tcPr>
            <w:tcW w:w="4202" w:type="dxa"/>
            <w:noWrap w:val="0"/>
            <w:vAlign w:val="center"/>
          </w:tcPr>
          <w:p w14:paraId="0651BE80">
            <w:pPr>
              <w:autoSpaceDE w:val="0"/>
              <w:autoSpaceDN w:val="0"/>
              <w:adjustRightInd w:val="0"/>
              <w:ind w:left="840" w:hanging="600" w:hangingChars="30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电话：</w:t>
            </w:r>
          </w:p>
        </w:tc>
      </w:tr>
      <w:tr w14:paraId="7B01C03A">
        <w:tblPrEx>
          <w:tblCellMar>
            <w:top w:w="0" w:type="dxa"/>
            <w:left w:w="108" w:type="dxa"/>
            <w:bottom w:w="0" w:type="dxa"/>
            <w:right w:w="108" w:type="dxa"/>
          </w:tblCellMar>
        </w:tblPrEx>
        <w:trPr>
          <w:trHeight w:val="578" w:hRule="exact"/>
          <w:jc w:val="center"/>
        </w:trPr>
        <w:tc>
          <w:tcPr>
            <w:tcW w:w="4201" w:type="dxa"/>
            <w:noWrap w:val="0"/>
            <w:vAlign w:val="center"/>
          </w:tcPr>
          <w:p w14:paraId="3B7F0D6A">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传真：</w:t>
            </w:r>
          </w:p>
        </w:tc>
        <w:tc>
          <w:tcPr>
            <w:tcW w:w="4202" w:type="dxa"/>
            <w:noWrap w:val="0"/>
            <w:vAlign w:val="center"/>
          </w:tcPr>
          <w:p w14:paraId="5F2AEC41">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传真：</w:t>
            </w:r>
          </w:p>
        </w:tc>
      </w:tr>
      <w:tr w14:paraId="75051210">
        <w:tblPrEx>
          <w:tblCellMar>
            <w:top w:w="0" w:type="dxa"/>
            <w:left w:w="108" w:type="dxa"/>
            <w:bottom w:w="0" w:type="dxa"/>
            <w:right w:w="108" w:type="dxa"/>
          </w:tblCellMar>
        </w:tblPrEx>
        <w:trPr>
          <w:trHeight w:val="607" w:hRule="exact"/>
          <w:jc w:val="center"/>
        </w:trPr>
        <w:tc>
          <w:tcPr>
            <w:tcW w:w="4201" w:type="dxa"/>
            <w:noWrap w:val="0"/>
            <w:vAlign w:val="center"/>
          </w:tcPr>
          <w:p w14:paraId="3CB454BE">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开户银行：</w:t>
            </w:r>
          </w:p>
        </w:tc>
        <w:tc>
          <w:tcPr>
            <w:tcW w:w="4202" w:type="dxa"/>
            <w:noWrap w:val="0"/>
            <w:vAlign w:val="center"/>
          </w:tcPr>
          <w:p w14:paraId="6EAE380B">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开户银行：</w:t>
            </w:r>
          </w:p>
        </w:tc>
      </w:tr>
      <w:tr w14:paraId="70FBB612">
        <w:tblPrEx>
          <w:tblCellMar>
            <w:top w:w="0" w:type="dxa"/>
            <w:left w:w="108" w:type="dxa"/>
            <w:bottom w:w="0" w:type="dxa"/>
            <w:right w:w="108" w:type="dxa"/>
          </w:tblCellMar>
        </w:tblPrEx>
        <w:trPr>
          <w:trHeight w:val="594" w:hRule="exact"/>
          <w:jc w:val="center"/>
        </w:trPr>
        <w:tc>
          <w:tcPr>
            <w:tcW w:w="4201" w:type="dxa"/>
            <w:noWrap w:val="0"/>
            <w:vAlign w:val="center"/>
          </w:tcPr>
          <w:p w14:paraId="5ECE3464">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日期：</w:t>
            </w:r>
          </w:p>
        </w:tc>
        <w:tc>
          <w:tcPr>
            <w:tcW w:w="4202" w:type="dxa"/>
            <w:noWrap w:val="0"/>
            <w:vAlign w:val="center"/>
          </w:tcPr>
          <w:p w14:paraId="66A9B5BD">
            <w:pPr>
              <w:autoSpaceDE w:val="0"/>
              <w:autoSpaceDN w:val="0"/>
              <w:adjustRightInd w:val="0"/>
              <w:rPr>
                <w:rFonts w:hint="eastAsia" w:ascii="仿宋" w:hAnsi="仿宋" w:eastAsia="仿宋" w:cs="仿宋"/>
                <w:color w:val="auto"/>
                <w:spacing w:val="-20"/>
                <w:kern w:val="0"/>
                <w:sz w:val="24"/>
                <w:szCs w:val="24"/>
              </w:rPr>
            </w:pPr>
            <w:r>
              <w:rPr>
                <w:rFonts w:hint="eastAsia" w:ascii="仿宋" w:hAnsi="仿宋" w:eastAsia="仿宋" w:cs="仿宋"/>
                <w:color w:val="auto"/>
                <w:spacing w:val="-20"/>
                <w:kern w:val="0"/>
                <w:sz w:val="24"/>
                <w:szCs w:val="24"/>
              </w:rPr>
              <w:t>日期：</w:t>
            </w:r>
          </w:p>
        </w:tc>
      </w:tr>
    </w:tbl>
    <w:p w14:paraId="2F2DACC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F87B59"/>
    <w:rsid w:val="74E618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5"/>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标题 1 Char"/>
    <w:link w:val="2"/>
    <w:qFormat/>
    <w:uiPriority w:val="0"/>
    <w:rPr>
      <w:rFonts w:hint="eastAsia" w:ascii="宋体" w:hAnsi="宋体" w:eastAsia="宋体" w:cs="宋体"/>
      <w:b/>
      <w:bCs/>
      <w:kern w:val="44"/>
      <w:sz w:val="48"/>
      <w:szCs w:val="48"/>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2505</Words>
  <Characters>2552</Characters>
  <Lines>0</Lines>
  <Paragraphs>0</Paragraphs>
  <TotalTime>0</TotalTime>
  <ScaleCrop>false</ScaleCrop>
  <LinksUpToDate>false</LinksUpToDate>
  <CharactersWithSpaces>2607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2026-06-28T12:55:00Z</dcterms:created>
  <dc:creator>23808</dc:creator>
  <cp:lastModifiedBy>王小臭</cp:lastModifiedBy>
  <dcterms:modified xsi:type="dcterms:W3CDTF">2026-06-28T13:54:37Z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eyJoZGlkIjoiYTc2ZGZiNzZiNDVlOGViOWVmM2JhOTY0NGJkNjUyYzgiLCJ1c2VySWQiOiI2NjgyMTAyNjYifQ==</vt:lpwstr>
  </property>
  <property fmtid="{D5CDD505-2E9C-101B-9397-08002B2CF9AE}" pid="4" name="ICV">
    <vt:lpwstr>6E513FB9CD81455CA6C3462066D3845D_12</vt:lpwstr>
  </property>
</Properties>
</file>