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版本号：ZCSP-渭南市-2025-00817、SCZB2025-ZB-0971-7RRRR20260514001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2026年后勤物资采购项目(五次)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ZCSP-渭南市-2025-00817、SCZB2025-ZB-0971-7RRRR</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2026年后勤物资采购项目(五次)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ZCSP-渭南市-2025-00817、SCZB2025-ZB-0971-7RRRR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2026年后勤物资采购项目(五次)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采购后勤物资一批，包含水暖材料。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 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3、投标人单位负责人为同一人或者存在直接控股、管理关系的不同投标人，不得同时参加本次采购活动。：投标人单位负责人为同一人或者存在直接控股、管理关系的不同投标人，不得同时参加本次采购活动。</w:t>
      </w:r>
    </w:p>
    <w:p>
      <w:pPr>
        <w:pStyle w:val="null3"/>
      </w:pPr>
      <w:r>
        <w:rPr>
          <w:rFonts w:ascii="仿宋_GB2312" w:hAnsi="仿宋_GB2312" w:cs="仿宋_GB2312" w:eastAsia="仿宋_GB2312"/>
        </w:rPr>
        <w:t>4、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银行账号：102861184846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代理服务费收费标准：参照《国家计委关于印发&lt;招标代理服务收费管理暂行办法&gt;的通知》（计价格[2002]1980号）规定标准（按采购包）收取，不足6000元按6000元收取。 中标单位的招标代理服务费交纳信息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采购后勤物资一批，包含水暖材料。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后勤物资采购项目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标的名称：后勤物资采购项目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一、采购内容清</w:t>
            </w:r>
            <w:r>
              <w:rPr>
                <w:rFonts w:ascii="仿宋_GB2312" w:hAnsi="仿宋_GB2312" w:cs="仿宋_GB2312" w:eastAsia="仿宋_GB2312"/>
              </w:rPr>
              <w:t>单</w:t>
            </w:r>
          </w:p>
          <w:tbl>
            <w:tblPr>
              <w:tblBorders>
                <w:top w:val="single"/>
                <w:left w:val="single"/>
                <w:bottom w:val="single"/>
                <w:right w:val="single"/>
                <w:insideH w:val="single"/>
                <w:insideV w:val="single"/>
              </w:tblBorders>
            </w:tblPr>
            <w:tblGrid>
              <w:gridCol w:w="195"/>
              <w:gridCol w:w="391"/>
              <w:gridCol w:w="805"/>
              <w:gridCol w:w="190"/>
              <w:gridCol w:w="255"/>
              <w:gridCol w:w="391"/>
              <w:gridCol w:w="326"/>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名称</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规格及参考技术参数</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单价限价（元）</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不锈钢地漏</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10cmX10cm全铜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不锈钢下水洁具</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32#（304加厚）不锈钢 翻盖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带靠背拖把池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50cmx50cm#(全瓷)</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单流阀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低弯铜龙头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15*（铜体加重.节水.抗冻）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电子浮球控制器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M-15*不锈钢球体 耐酸碱 耐高温</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80x3.5*（热镀国标）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65x3.25* （热镀国标）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15x2.5*（热镀国标）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20x2.5#（热镀国标）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25x2.75#（热镀国标）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93.58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50x3.0#（热镀国标）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100x3.5#（热镀国标）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高弯铜龙头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15*（铜体加重.节水.抗冻）国标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哈弗节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100*400（铸钢加重型）国标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混水铜龙头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15*（铜体加重.节水.抗冻）国标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立柱洗手盆</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75cmX65cmX45cm (全瓷)</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龙头底座</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15*（铜镀珞家装管件）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40cmX26cm（国标.加厚）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燃气压力表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15X1.6mpaX10cm负责检测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上水洁具</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生料带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（聚四弗乙烯）国标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20#透明橡胶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塑料龙头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水银浮球控制器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FYKG耐高温 耐腐蚀</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96.90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铁补芯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40*20(镀锌国标)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铜脚踏阀</w:t>
                  </w:r>
                </w:p>
              </w:tc>
              <w:tc>
                <w:tcPr>
                  <w:tcW w:type="dxa" w:w="805"/>
                  <w:tcMar>
                    <w:top w:type="dxa" w:w="0"/>
                    <w:left w:type="dxa" w:w="105"/>
                    <w:bottom w:type="dxa" w:w="0"/>
                    <w:right w:type="dxa" w:w="105"/>
                  </w:tcMar>
                </w:tcPr>
                <w:p>
                  <w:pPr>
                    <w:pStyle w:val="null3"/>
                    <w:jc w:val="left"/>
                  </w:pPr>
                  <w:r>
                    <w:rPr>
                      <w:rFonts w:ascii="仿宋_GB2312" w:hAnsi="仿宋_GB2312" w:cs="仿宋_GB2312" w:eastAsia="仿宋_GB2312"/>
                    </w:rPr>
                    <w:t>SF7512*全铜材质 国标</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186.20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洗衣机快开铜龙头</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15*（铜体.加长杆.加重）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下水洁具</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消声止回阀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消声止回阀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小便池下水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32*（钢化防冻）国标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小便延时阀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066*（铜体加重.节水.抗冻）国标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延时阀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25*斜压式  全铜阀体国标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潜水泵</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2.2KW</w:t>
                  </w:r>
                  <w:r>
                    <w:rPr>
                      <w:rFonts w:ascii="仿宋_GB2312" w:hAnsi="仿宋_GB2312" w:cs="仿宋_GB2312" w:eastAsia="仿宋_GB2312"/>
                      <w:color w:val="000000"/>
                    </w:rPr>
                    <w:t>纯铜电机线圈国标，口径50#，扬程120米，流量15立方米</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1140.00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自吸泵</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1.1KW</w:t>
                  </w:r>
                  <w:r>
                    <w:rPr>
                      <w:rFonts w:ascii="仿宋_GB2312" w:hAnsi="仿宋_GB2312" w:cs="仿宋_GB2312" w:eastAsia="仿宋_GB2312"/>
                      <w:color w:val="000000"/>
                    </w:rPr>
                    <w:t>纯铜电机线圈国标，口径50#，扬程15米，流量20立方米</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646.00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下水井盖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700#（球墨铸铁加重型）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蹲便池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53*42CM（全瓷防臭型）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马桶排水阀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WDS21*10（国标）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25#（国标加长U型）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32#（国标加长U型）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50#（国标加长U型）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马桶螺丝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浮球阀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15#（304不锈钢）</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100#（伟星）国标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医用龙头（立式）</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DY04#加长手柄18厘米全铜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100#指针式国标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214.70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法兰伸缩节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（定制50*60#）国标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50#（硅胶）国标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法兰盘</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125#（锻造高压）国标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法兰盘</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110#（锻造高压）国标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125#（硅胶）国标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110#（硅胶）国标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水不漏</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5KG国标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橡胶管（刚边带）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法兰伸缩节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定制65X56cm（304不锈钢丝管）国标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外丝扣伸缩节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定制50X65cm（304不锈钢丝管）国标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65#（硅胶）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金属钢垫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伸缩龙头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BE0110#医用 不锈钢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哈弗节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200*400#（铸钢加重型）国标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自动排气阀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25#耐高温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铁堵头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铁堵头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不锈钢排气阀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20#（材质：不锈钢304）国标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浮球阀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32#（304不锈钢）</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塑料龙头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134.90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169.10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PVC胶水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150g超强粘合力</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PVC胶水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250g超强粘合力</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PVC胶水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500g超强粘合力</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下水软管伸缩管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32*（钢丝加长）</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35*26（国标.加厚）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龙头底座</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铝塑复合管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16*（交联热水）国标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铝塑复合管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20*（交联热水）国标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铝塑复合管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25*（交联热水.）国标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40*（铜镀珞高温.高压加重型）国标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86.93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50*（铜镀珞高温.高压加重型）国标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65.55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67.45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69.83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94.05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113.05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33.73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内螺纹90度弯头（水栓）</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内螺纹90度弯头（水栓）</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内螺纹90度弯头（水栓）</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116.85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20X2.5mpa（国标）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25X2.5mpa（国标）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32X2.0mpa（国标）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40X2.0mpa（国标）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50X2.0mpa（国标）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150g无毒粘合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500g无毒粘合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立式止回阀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立式止回阀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排污阀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蝶阀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173.85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铁堵头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布基胶带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42XAF自粘背胶 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自动烘干手机</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挂壁式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压力表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15X1.6mpaX10cm国标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504</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保温管</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25cmX3cmX180cm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6.65</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505</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保温管</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32cmX3cmX180cm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9.50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506</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保温管</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50cmX3cmX180cm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10.45</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保温扎带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50cmX30m自粘性材质 抗氧化</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508</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橡塑保温板</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100cmX3cmX500cm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卷</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71.25</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洗衣机快开铜龙头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15*（铜体.短杆.加重）国标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水龙带</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75X20M</w:t>
                  </w:r>
                  <w:r>
                    <w:rPr>
                      <w:rFonts w:ascii="仿宋_GB2312" w:hAnsi="仿宋_GB2312" w:cs="仿宋_GB2312" w:eastAsia="仿宋_GB2312"/>
                      <w:color w:val="000000"/>
                    </w:rPr>
                    <w:t>尼龙帆布 抗氧化20米 国标</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卷</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171.00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511</w:t>
                  </w:r>
                </w:p>
              </w:tc>
              <w:tc>
                <w:tcPr>
                  <w:tcW w:type="dxa" w:w="39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水龙带接头</w:t>
                  </w:r>
                </w:p>
              </w:tc>
              <w:tc>
                <w:tcPr>
                  <w:tcW w:type="dxa" w:w="80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75*（国标加厚）铝合金材质 国标</w:t>
                  </w:r>
                </w:p>
              </w:tc>
              <w:tc>
                <w:tcPr>
                  <w:tcW w:type="dxa" w:w="19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w:t>
                  </w:r>
                </w:p>
              </w:tc>
              <w:tc>
                <w:tcPr>
                  <w:tcW w:type="dxa" w:w="32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512</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铜脚踏阀</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QT/597（铜体加重.节水抗冻）国标</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175.75</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感应水龙头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（铜体.节水.抗冻.两用可插电.可安装电池.样式可选）国标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小便池感应器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（铜体.节水.抗冻.两用可插电.可安装电池.样式可选)国标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148.68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三角阀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16*（铜球体.加重）整体锻造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核心产品</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坐便器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全瓷、样式可选、国标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台上盆</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45*36*全瓷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蹲便池感应器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（铜体.节水.抗冻.样式可选）国标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1.5-16-0.37千瓦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10-34-2.2千瓦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15-30-3千瓦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16-40-4千瓦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25-25-2.2千瓦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888.25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切割泵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15-20-3千瓦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高压哈弗节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160#铸铁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洗衣盆</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65*50全瓷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空气阀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定制160#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空气阀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疏通机</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CQ-150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减压阀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定制80#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减压阀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马桶法兰</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90mm-100mm通用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160×50加厚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110×50加厚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80×30加厚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50×30加厚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22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b/>
                    </w:rPr>
                    <w:t>注：所有阀门承压为16kg</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二、售后服务要求</w:t>
            </w:r>
          </w:p>
          <w:p>
            <w:pPr>
              <w:pStyle w:val="null3"/>
              <w:ind w:firstLine="400"/>
              <w:jc w:val="both"/>
            </w:pPr>
            <w:r>
              <w:rPr>
                <w:rFonts w:ascii="仿宋_GB2312" w:hAnsi="仿宋_GB2312" w:cs="仿宋_GB2312" w:eastAsia="仿宋_GB2312"/>
              </w:rPr>
              <w:t>1、供应商应具备专人配送及技术指导服务，如遇特殊产品、异型产品、维修配件等其他类别产品应积极组织调配，因推诿、滞后造成严重后果的医院有权终止合同。</w:t>
            </w:r>
          </w:p>
          <w:p>
            <w:pPr>
              <w:pStyle w:val="null3"/>
              <w:ind w:firstLine="400"/>
              <w:jc w:val="both"/>
            </w:pPr>
            <w:r>
              <w:rPr>
                <w:rFonts w:ascii="仿宋_GB2312" w:hAnsi="仿宋_GB2312" w:cs="仿宋_GB2312" w:eastAsia="仿宋_GB2312"/>
              </w:rPr>
              <w:t>2、不合格产品必须建立有效期预警召回机制；并及时补充更换。</w:t>
            </w:r>
          </w:p>
          <w:p>
            <w:pPr>
              <w:pStyle w:val="null3"/>
              <w:ind w:firstLine="400"/>
              <w:jc w:val="both"/>
            </w:pPr>
            <w:r>
              <w:rPr>
                <w:rFonts w:ascii="仿宋_GB2312" w:hAnsi="仿宋_GB2312" w:cs="仿宋_GB2312" w:eastAsia="仿宋_GB2312"/>
              </w:rPr>
              <w:t>3、供应商需对医院服务的行为负责并承担责任，产品若有质量问题，必须及时更换，若因产品质量问题或供应商关联引发的医疗纠纷所造成的不良后果及经济损失均由供应方承担并负责赔偿一切经济损失，同时无条件配合医院相关事宜。供应商如不能提供相应质量保证，医院有权终止合同。</w:t>
            </w:r>
          </w:p>
          <w:p>
            <w:pPr>
              <w:pStyle w:val="null3"/>
              <w:ind w:firstLine="400"/>
              <w:jc w:val="both"/>
            </w:pPr>
            <w:r>
              <w:rPr>
                <w:rFonts w:ascii="仿宋_GB2312" w:hAnsi="仿宋_GB2312" w:cs="仿宋_GB2312" w:eastAsia="仿宋_GB2312"/>
              </w:rPr>
              <w:t>4、供应商按医院要求分批次供货，配送产品到医院指定地点，所产生一切费用均由供应商承担。</w:t>
            </w:r>
          </w:p>
          <w:p>
            <w:pPr>
              <w:pStyle w:val="null3"/>
              <w:ind w:firstLine="400"/>
              <w:jc w:val="both"/>
            </w:pPr>
            <w:r>
              <w:rPr>
                <w:rFonts w:ascii="仿宋_GB2312" w:hAnsi="仿宋_GB2312" w:cs="仿宋_GB2312" w:eastAsia="仿宋_GB2312"/>
              </w:rPr>
              <w:t>5、供应商配送产品必须包装完好，在有效期内，否则库房不予接收。若产品质保期临近≤3个月库房不予接收。</w:t>
            </w:r>
          </w:p>
          <w:p>
            <w:pPr>
              <w:pStyle w:val="null3"/>
              <w:ind w:firstLine="400"/>
              <w:jc w:val="both"/>
            </w:pPr>
            <w:r>
              <w:rPr>
                <w:rFonts w:ascii="仿宋_GB2312" w:hAnsi="仿宋_GB2312" w:cs="仿宋_GB2312" w:eastAsia="仿宋_GB2312"/>
              </w:rPr>
              <w:t>6、供应商配送产品同时提供产品的正式发票，若因特殊原因发票不能与产品同步，至少在15个日历日内送至医院，发票应为正规税务发票，若发票不符合国家政策规定，责任供应方自负，与医院无关。供应商如不能及时配送及影响医院正常运转，造成经济损失及后果均由供应方承担，医院有权终止合同。</w:t>
            </w:r>
          </w:p>
          <w:p>
            <w:pPr>
              <w:pStyle w:val="null3"/>
              <w:ind w:firstLine="402"/>
              <w:jc w:val="both"/>
            </w:pPr>
            <w:r>
              <w:rPr>
                <w:rFonts w:ascii="仿宋_GB2312" w:hAnsi="仿宋_GB2312" w:cs="仿宋_GB2312" w:eastAsia="仿宋_GB2312"/>
                <w:b/>
              </w:rPr>
              <w:t>三、维修维护要求及响应时间要求</w:t>
            </w:r>
          </w:p>
          <w:p>
            <w:pPr>
              <w:pStyle w:val="null3"/>
              <w:ind w:firstLine="400"/>
              <w:jc w:val="both"/>
            </w:pPr>
            <w:r>
              <w:rPr>
                <w:rFonts w:ascii="仿宋_GB2312" w:hAnsi="仿宋_GB2312" w:cs="仿宋_GB2312" w:eastAsia="仿宋_GB2312"/>
              </w:rPr>
              <w:t>1、合同供应商24小时内接到医院通知后（含节假日），须在1小时内响应，4小时内免费派遣负责人员或技术人员及时到达医院指定地点配合院方工作人员对清洁劳保类维修或更新更换相匹配的配件。未按医院要求及时解决相关事宜的医院有权终止合同，供应商承担一切违约责任。</w:t>
            </w:r>
          </w:p>
          <w:p>
            <w:pPr>
              <w:pStyle w:val="null3"/>
              <w:ind w:firstLine="400"/>
              <w:jc w:val="both"/>
            </w:pPr>
            <w:r>
              <w:rPr>
                <w:rFonts w:ascii="仿宋_GB2312" w:hAnsi="仿宋_GB2312" w:cs="仿宋_GB2312" w:eastAsia="仿宋_GB2312"/>
              </w:rPr>
              <w:t>2、医院如遇突发事件等情况（含节假日），双方约定响应时间，供应商须提供储备物资、运输调配及其它服务，所产生的一切费用由供应商承担。</w:t>
            </w:r>
          </w:p>
          <w:p>
            <w:pPr>
              <w:pStyle w:val="null3"/>
              <w:ind w:firstLine="402"/>
              <w:jc w:val="both"/>
            </w:pPr>
            <w:r>
              <w:rPr>
                <w:rFonts w:ascii="仿宋_GB2312" w:hAnsi="仿宋_GB2312" w:cs="仿宋_GB2312" w:eastAsia="仿宋_GB2312"/>
                <w:b/>
              </w:rPr>
              <w:t>四、验收标准及验收方式</w:t>
            </w:r>
          </w:p>
          <w:p>
            <w:pPr>
              <w:pStyle w:val="null3"/>
              <w:ind w:firstLine="400"/>
              <w:jc w:val="both"/>
            </w:pPr>
            <w:r>
              <w:rPr>
                <w:rFonts w:ascii="仿宋_GB2312" w:hAnsi="仿宋_GB2312" w:cs="仿宋_GB2312" w:eastAsia="仿宋_GB2312"/>
              </w:rPr>
              <w:t>产品必须包装完好，无破损，在有效期内并核对单据或发票上所列代码、批号、品名、规格、数量、技术参数等项目是否与货物相符；现场签字验收。</w:t>
            </w:r>
          </w:p>
          <w:p>
            <w:pPr>
              <w:pStyle w:val="null3"/>
              <w:ind w:firstLine="402"/>
              <w:jc w:val="both"/>
            </w:pPr>
            <w:r>
              <w:rPr>
                <w:rFonts w:ascii="仿宋_GB2312" w:hAnsi="仿宋_GB2312" w:cs="仿宋_GB2312" w:eastAsia="仿宋_GB2312"/>
                <w:b/>
              </w:rPr>
              <w:t>五、人员培训要求</w:t>
            </w:r>
          </w:p>
          <w:p>
            <w:pPr>
              <w:pStyle w:val="null3"/>
              <w:ind w:firstLine="400"/>
              <w:jc w:val="both"/>
            </w:pPr>
            <w:r>
              <w:rPr>
                <w:rFonts w:ascii="仿宋_GB2312" w:hAnsi="仿宋_GB2312" w:cs="仿宋_GB2312" w:eastAsia="仿宋_GB2312"/>
              </w:rPr>
              <w:t>根据医院需求，提供相应的保障服务培训。</w:t>
            </w:r>
          </w:p>
          <w:p>
            <w:pPr>
              <w:pStyle w:val="null3"/>
              <w:ind w:firstLine="402"/>
              <w:jc w:val="both"/>
            </w:pPr>
            <w:r>
              <w:rPr>
                <w:rFonts w:ascii="仿宋_GB2312" w:hAnsi="仿宋_GB2312" w:cs="仿宋_GB2312" w:eastAsia="仿宋_GB2312"/>
                <w:b/>
              </w:rPr>
              <w:t>六、其他商务条款</w:t>
            </w:r>
          </w:p>
          <w:p>
            <w:pPr>
              <w:pStyle w:val="null3"/>
              <w:ind w:firstLine="400"/>
              <w:jc w:val="both"/>
            </w:pPr>
            <w:r>
              <w:rPr>
                <w:rFonts w:ascii="仿宋_GB2312" w:hAnsi="仿宋_GB2312" w:cs="仿宋_GB2312" w:eastAsia="仿宋_GB2312"/>
              </w:rPr>
              <w:t>1、供应商若更名或终止合同，需提前30个日历日以上告知医院并核清往来账目。更名或终止合同，余款支付仍按照我院结算方式执行。若未按约定办理，造成损失及责任均由供应方给负全责。</w:t>
            </w:r>
          </w:p>
          <w:p>
            <w:pPr>
              <w:pStyle w:val="null3"/>
              <w:ind w:firstLine="400"/>
              <w:jc w:val="both"/>
            </w:pPr>
            <w:r>
              <w:rPr>
                <w:rFonts w:ascii="仿宋_GB2312" w:hAnsi="仿宋_GB2312" w:cs="仿宋_GB2312" w:eastAsia="仿宋_GB2312"/>
              </w:rPr>
              <w:t>2、自合同签订之日起，有效期为一年，投标报价一览表中标明的价格在合同有效期内任何产品不得涨价。</w:t>
            </w:r>
          </w:p>
          <w:p>
            <w:pPr>
              <w:pStyle w:val="null3"/>
              <w:ind w:firstLine="400"/>
              <w:jc w:val="both"/>
            </w:pPr>
            <w:r>
              <w:rPr>
                <w:rFonts w:ascii="仿宋_GB2312" w:hAnsi="仿宋_GB2312" w:cs="仿宋_GB2312" w:eastAsia="仿宋_GB2312"/>
              </w:rPr>
              <w:t>3、合同供应商除不可抗力因素（如自然灾害、社会异常事件）外应按照约定时间配送物资，如不能按期限约定配送，供应方承担一切经济损失及后果，医院有权终止合同。</w:t>
            </w:r>
          </w:p>
          <w:p>
            <w:pPr>
              <w:pStyle w:val="null3"/>
              <w:ind w:firstLine="400"/>
              <w:jc w:val="both"/>
            </w:pPr>
            <w:r>
              <w:rPr>
                <w:rFonts w:ascii="仿宋_GB2312" w:hAnsi="仿宋_GB2312" w:cs="仿宋_GB2312" w:eastAsia="仿宋_GB2312"/>
              </w:rPr>
              <w:t>4、合同供应商在对医院供货服务时，如接到临床、医技、行政后勤等科室的投诉，第一次予以警告，第二次予以停货整改，第三次予以解除合同。</w:t>
            </w:r>
          </w:p>
          <w:p>
            <w:pPr>
              <w:pStyle w:val="null3"/>
            </w:pPr>
            <w:r>
              <w:rPr>
                <w:rFonts w:ascii="仿宋_GB2312" w:hAnsi="仿宋_GB2312" w:cs="仿宋_GB2312" w:eastAsia="仿宋_GB2312"/>
              </w:rPr>
              <w:t>5、供应商有责任及义务对已到期资质的最新资质及时更换，如不能提供有效的资质文件，医院有权终止合同。同时满足医院信息化建设管理服务的需求。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按照国家对产品质保期三包行业政策的相关规定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1.本章3.3技术要求中所有参数要求投标人均需在“产品技术参数表”中逐条响应并注明技术支持资料所在页码。 2.核心产品详见本章3.3技术要求。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2、投标人依法缴纳税收和社会保障资金的证明材料复印件；（依法免税或无须缴纳税收的供应商，应提供相应文件证明。依法不需要缴纳社会保障资金的，应提供相应证明文件，并加盖本单位公章。） 3、投标人具备履行合同所必需的设备和专业技术能力的承诺； 4、投标人参加政府采购活动前3年内在经营活动中没有重大违法记录的书面声明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 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332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投标人投标报价没有超出采购预算或最高限价，且各分项单价报价没有超出单价限价</w:t>
            </w:r>
          </w:p>
        </w:tc>
        <w:tc>
          <w:tcPr>
            <w:tcW w:type="dxa" w:w="1661"/>
          </w:tcPr>
          <w:p>
            <w:pPr>
              <w:pStyle w:val="null3"/>
            </w:pPr>
            <w:r>
              <w:rPr>
                <w:rFonts w:ascii="仿宋_GB2312" w:hAnsi="仿宋_GB2312" w:cs="仿宋_GB2312" w:eastAsia="仿宋_GB2312"/>
              </w:rPr>
              <w:t>开标一览表 投标函 投标分项报价表-包2水暖材料.docx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每提供一个计0.5分，满分1分。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1.技术指标规格全部满足招标文件要求得25分； 2.任何一项技术指标低于招标要求或不具备，扣0.5分，扣完为止。（招标文件第三章3.3技术要求中所有技术指标均须提供技术支持资料，包括但不限于技术白皮书、生产商出具的产品宣传彩页、产品外包装图、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实施方案，方案各部分内容全面详细、阐述条理清晰详尽、符合招标要求。方案内容包含①供货进度计划；②物流保障措施；③管理制度和协调方案；④项目验收方案；⑤项目团队配备方案。 评审标准:上述每项方案内容无缺陷得1.2分，满分为6分。方案内容每存在1处缺陷：扣0.5分，扣完为止；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评审内容:根据投标人针对本项目的质量保证方案，方案各部分内容全面详细、阐述条理清晰详尽、符合招标要求。方案内容包含①仓储条件；②运输成品保护；③配送中遇到的紧急情况等处理方案。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人员配置；③售后服务保障措施；④产品交付采购方后出现质量问题的响应时间；⑤供货不及时、出现残次品等补货换货解决方案；⑥售后服务承诺。 评审标准:上述每项方案内容无缺陷得1分，满分为6分。方案内容每存在1处缺陷：扣0.5分，扣完为止；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投标人近三年具有类似项目业绩（2022年1月至今，以合同签订时间为准并提供完整的合同复印件加盖公章），每提供一份得0.5分，满分3分。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本采购包非专门面向中小企业采购，投标人所投产品制造商均为小微企业、或监狱企业、或残疾人福利企业，则投标人的投标总报价扣除15%后参与评审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详见附件：投标分项报价表-包2水暖材料.docx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