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980E8">
      <w:pPr>
        <w:pStyle w:val="4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777B291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根据评审内容自行编制。</w:t>
      </w:r>
    </w:p>
    <w:p w14:paraId="25988371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2、供应商认为有必要说明的其他内容。</w:t>
      </w:r>
    </w:p>
    <w:p w14:paraId="3D129C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70590"/>
    <w:rsid w:val="7B17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2026-06-01T06:18:00Z</dcterms:created>
  <dc:creator>四方衡裕</dc:creator>
  <cp:lastModifiedBy>四方衡裕</cp:lastModifiedBy>
  <dcterms:modified xsi:type="dcterms:W3CDTF">2026-06-01T06:19:01Z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ADB23B74E8974D05AF336C36B4474600_11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