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版本号：YMD-2026041F-0120260514001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学院运转保障经费（2026年度全院教职工健康体检项目）(二次)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YMD-2026041F-01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学院运转保障经费（2026年度全院教职工健康体检项目）(二次)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YMD-2026041F-01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学院运转保障经费（2026年度全院教职工健康体检项目）(二次)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随着教职工生活水平的提高，大家越来越关注生活质量，注重疾病预防。为了保障教职员工的身体健康，学院每年给职工组织一次体检。让大家对自己的健康状况有较全面的了解，做好有效的预防。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主要负责人）委托授权书\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p>
      <w:pPr>
        <w:pStyle w:val="null3"/>
      </w:pPr>
      <w:r>
        <w:rPr>
          <w:rFonts w:ascii="仿宋_GB2312" w:hAnsi="仿宋_GB2312" w:cs="仿宋_GB2312" w:eastAsia="仿宋_GB2312"/>
        </w:rPr>
        <w:t>3、资质：供应商应具有卫生行政部门核准登记取得的《医疗机构执业许可证》和《放射诊疗许可证》。</w:t>
      </w:r>
    </w:p>
    <w:p>
      <w:pPr>
        <w:pStyle w:val="null3"/>
      </w:pPr>
      <w:r>
        <w:rPr>
          <w:rFonts w:ascii="仿宋_GB2312" w:hAnsi="仿宋_GB2312" w:cs="仿宋_GB2312" w:eastAsia="仿宋_GB2312"/>
        </w:rPr>
        <w:t>4、财务状况：提供2024年度或2025年度经审计的财务会计报告或提交投标文件截止时间三个月内其基本账户开户银行出具的资信证明（附基本存款账户信息）。</w:t>
      </w:r>
    </w:p>
    <w:p>
      <w:pPr>
        <w:pStyle w:val="null3"/>
      </w:pPr>
      <w:r>
        <w:rPr>
          <w:rFonts w:ascii="仿宋_GB2312" w:hAnsi="仿宋_GB2312" w:cs="仿宋_GB2312" w:eastAsia="仿宋_GB2312"/>
        </w:rPr>
        <w:t>5、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6、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8、提供具有履行的专业技术承诺：供应商须提供具有履行合同所必需的设备和专业技术能力的承诺。</w:t>
      </w:r>
    </w:p>
    <w:p>
      <w:pPr>
        <w:pStyle w:val="null3"/>
      </w:pPr>
      <w:r>
        <w:rPr>
          <w:rFonts w:ascii="仿宋_GB2312" w:hAnsi="仿宋_GB2312" w:cs="仿宋_GB2312" w:eastAsia="仿宋_GB2312"/>
        </w:rPr>
        <w:t>9、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10、联合体磋商：本项目不接受联合体磋商（提供相应承诺）;供应商需在项目电子化交易系统中按要求上传相应证明文件并进行电子签章。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029-88692613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陕西省西安市雁塔区旺座曲江M座25楼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领取成交通知书前，一次性向采购代理机构支付成交服务费，服务费由采购人与采购代理机构约定：按照《招标代理服务收费管理暂行办法》（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按照体检项目内容和要求提供符合现行的国家标准或国家行政部门颁布的法律法规、规章制度以及行业标准的体检服务。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随着教职工生活水平的提高，大家越来越关注生活质量，注重疾病预防。为了保障教职员工的身体健康，学院每年给职工组织一次体检。让大家对自己的健康状况有较全面的了解，做好有效的预防。</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2026年度全院教职工健康体检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标的名称：2026年度全院教职工健康体检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sz w:val="22"/>
                <w:b/>
              </w:rPr>
              <w:t>一、项目概况</w:t>
            </w:r>
          </w:p>
          <w:p>
            <w:pPr>
              <w:pStyle w:val="null3"/>
              <w:ind w:firstLine="440"/>
              <w:jc w:val="both"/>
            </w:pPr>
            <w:r>
              <w:rPr>
                <w:rFonts w:ascii="仿宋_GB2312" w:hAnsi="仿宋_GB2312" w:cs="仿宋_GB2312" w:eastAsia="仿宋_GB2312"/>
                <w:sz w:val="22"/>
              </w:rPr>
              <w:t>随着教职工生活水平的提高，大家越来越关注生活质量，注重疾病预防。为了保障教职员工的身体健康，学院每年给职工组织一次体检。让大家对自己的健康状况有较全面的了解，做好有效的预防。</w:t>
            </w:r>
          </w:p>
          <w:p>
            <w:pPr>
              <w:pStyle w:val="null3"/>
              <w:ind w:firstLine="442"/>
              <w:jc w:val="both"/>
            </w:pPr>
            <w:r>
              <w:rPr>
                <w:rFonts w:ascii="仿宋_GB2312" w:hAnsi="仿宋_GB2312" w:cs="仿宋_GB2312" w:eastAsia="仿宋_GB2312"/>
                <w:sz w:val="22"/>
                <w:b/>
              </w:rPr>
              <w:t>二、服务内容（包括工作区域、工作内容等）</w:t>
            </w:r>
          </w:p>
          <w:p>
            <w:pPr>
              <w:pStyle w:val="null3"/>
              <w:ind w:firstLine="440"/>
              <w:jc w:val="both"/>
            </w:pPr>
            <w:r>
              <w:rPr>
                <w:rFonts w:ascii="仿宋_GB2312" w:hAnsi="仿宋_GB2312" w:cs="仿宋_GB2312" w:eastAsia="仿宋_GB2312"/>
                <w:sz w:val="22"/>
              </w:rPr>
              <w:t>具体包括：血常规、尿常规、肝功十项、乙肝五项、肾功四项、空腹血糖、血脂四项、甲功三项、肿瘤标志物、心电图、胸部</w:t>
            </w:r>
            <w:r>
              <w:rPr>
                <w:rFonts w:ascii="仿宋_GB2312" w:hAnsi="仿宋_GB2312" w:cs="仿宋_GB2312" w:eastAsia="仿宋_GB2312"/>
                <w:sz w:val="22"/>
              </w:rPr>
              <w:t>CT</w:t>
            </w:r>
            <w:r>
              <w:rPr>
                <w:rFonts w:ascii="仿宋_GB2312" w:hAnsi="仿宋_GB2312" w:cs="仿宋_GB2312" w:eastAsia="仿宋_GB2312"/>
                <w:sz w:val="22"/>
              </w:rPr>
              <w:t>、头颅</w:t>
            </w:r>
            <w:r>
              <w:rPr>
                <w:rFonts w:ascii="仿宋_GB2312" w:hAnsi="仿宋_GB2312" w:cs="仿宋_GB2312" w:eastAsia="仿宋_GB2312"/>
                <w:sz w:val="22"/>
              </w:rPr>
              <w:t>CT</w:t>
            </w:r>
            <w:r>
              <w:rPr>
                <w:rFonts w:ascii="仿宋_GB2312" w:hAnsi="仿宋_GB2312" w:cs="仿宋_GB2312" w:eastAsia="仿宋_GB2312"/>
                <w:sz w:val="22"/>
              </w:rPr>
              <w:t>、腹部</w:t>
            </w:r>
            <w:r>
              <w:rPr>
                <w:rFonts w:ascii="仿宋_GB2312" w:hAnsi="仿宋_GB2312" w:cs="仿宋_GB2312" w:eastAsia="仿宋_GB2312"/>
                <w:sz w:val="22"/>
              </w:rPr>
              <w:t>+</w:t>
            </w:r>
            <w:r>
              <w:rPr>
                <w:rFonts w:ascii="仿宋_GB2312" w:hAnsi="仿宋_GB2312" w:cs="仿宋_GB2312" w:eastAsia="仿宋_GB2312"/>
                <w:sz w:val="22"/>
              </w:rPr>
              <w:t>盆腔</w:t>
            </w:r>
            <w:r>
              <w:rPr>
                <w:rFonts w:ascii="仿宋_GB2312" w:hAnsi="仿宋_GB2312" w:cs="仿宋_GB2312" w:eastAsia="仿宋_GB2312"/>
                <w:sz w:val="22"/>
              </w:rPr>
              <w:t>B</w:t>
            </w:r>
            <w:r>
              <w:rPr>
                <w:rFonts w:ascii="仿宋_GB2312" w:hAnsi="仿宋_GB2312" w:cs="仿宋_GB2312" w:eastAsia="仿宋_GB2312"/>
                <w:sz w:val="22"/>
              </w:rPr>
              <w:t>超（彩色）、甲状腺彩超、骨密度、</w:t>
            </w:r>
            <w:r>
              <w:rPr>
                <w:rFonts w:ascii="仿宋_GB2312" w:hAnsi="仿宋_GB2312" w:cs="仿宋_GB2312" w:eastAsia="仿宋_GB2312"/>
                <w:sz w:val="22"/>
              </w:rPr>
              <w:t>C13</w:t>
            </w:r>
            <w:r>
              <w:rPr>
                <w:rFonts w:ascii="仿宋_GB2312" w:hAnsi="仿宋_GB2312" w:cs="仿宋_GB2312" w:eastAsia="仿宋_GB2312"/>
                <w:sz w:val="22"/>
              </w:rPr>
              <w:t>呼气试验、肺通气功能检查、内科、外科、耳鼻喉科、眼科等。女性增加妇科检查白带常规、宫颈</w:t>
            </w:r>
            <w:r>
              <w:rPr>
                <w:rFonts w:ascii="仿宋_GB2312" w:hAnsi="仿宋_GB2312" w:cs="仿宋_GB2312" w:eastAsia="仿宋_GB2312"/>
                <w:sz w:val="22"/>
              </w:rPr>
              <w:t>TCT</w:t>
            </w:r>
            <w:r>
              <w:rPr>
                <w:rFonts w:ascii="仿宋_GB2312" w:hAnsi="仿宋_GB2312" w:cs="仿宋_GB2312" w:eastAsia="仿宋_GB2312"/>
                <w:sz w:val="22"/>
              </w:rPr>
              <w:t>、乳腺检查等。</w:t>
            </w:r>
          </w:p>
          <w:p>
            <w:pPr>
              <w:pStyle w:val="null3"/>
              <w:ind w:firstLine="442"/>
              <w:jc w:val="both"/>
            </w:pPr>
            <w:r>
              <w:rPr>
                <w:rFonts w:ascii="仿宋_GB2312" w:hAnsi="仿宋_GB2312" w:cs="仿宋_GB2312" w:eastAsia="仿宋_GB2312"/>
                <w:sz w:val="22"/>
                <w:b/>
              </w:rPr>
              <w:t>三</w:t>
            </w:r>
            <w:r>
              <w:rPr>
                <w:rFonts w:ascii="仿宋_GB2312" w:hAnsi="仿宋_GB2312" w:cs="仿宋_GB2312" w:eastAsia="仿宋_GB2312"/>
                <w:sz w:val="22"/>
                <w:b/>
              </w:rPr>
              <w:t>、服务要求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拥有先进的医疗资源和体检设备。提供常用体检设备的图片及相关介绍。</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针对教师职业特征、性别、年龄段分别列出详细的体检项目及内容。</w:t>
            </w:r>
          </w:p>
          <w:tbl>
            <w:tblPr>
              <w:tblInd w:type="dxa" w:w="135"/>
              <w:tblBorders>
                <w:top w:val="none" w:color="000000" w:sz="4"/>
                <w:left w:val="none" w:color="000000" w:sz="4"/>
                <w:bottom w:val="none" w:color="000000" w:sz="4"/>
                <w:right w:val="none" w:color="000000" w:sz="4"/>
                <w:insideH w:val="none"/>
                <w:insideV w:val="none"/>
              </w:tblBorders>
            </w:tblPr>
            <w:tblGrid>
              <w:gridCol w:w="243"/>
              <w:gridCol w:w="486"/>
              <w:gridCol w:w="334"/>
              <w:gridCol w:w="304"/>
              <w:gridCol w:w="304"/>
              <w:gridCol w:w="304"/>
              <w:gridCol w:w="319"/>
              <w:gridCol w:w="258"/>
            </w:tblGrid>
            <w:tr>
              <w:tc>
                <w:tcPr>
                  <w:tcW w:type="dxa" w:w="243"/>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8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项目</w:t>
                  </w:r>
                </w:p>
              </w:tc>
              <w:tc>
                <w:tcPr>
                  <w:tcW w:type="dxa" w:w="63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岁</w:t>
                  </w:r>
                </w:p>
              </w:tc>
              <w:tc>
                <w:tcPr>
                  <w:tcW w:type="dxa" w:w="60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岁</w:t>
                  </w:r>
                </w:p>
              </w:tc>
              <w:tc>
                <w:tcPr>
                  <w:tcW w:type="dxa" w:w="577"/>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退休</w:t>
                  </w:r>
                </w:p>
              </w:tc>
            </w:tr>
            <w:tr>
              <w:tc>
                <w:tcPr>
                  <w:tcW w:type="dxa" w:w="243"/>
                  <w:vMerge/>
                  <w:tcBorders>
                    <w:top w:val="single" w:color="000000" w:sz="4"/>
                    <w:left w:val="single" w:color="000000" w:sz="4"/>
                    <w:bottom w:val="single" w:color="000000" w:sz="4"/>
                    <w:right w:val="single" w:color="000000" w:sz="4"/>
                  </w:tcBorders>
                </w:tcPr>
                <w:p/>
              </w:tc>
              <w:tc>
                <w:tcPr>
                  <w:tcW w:type="dxa" w:w="486"/>
                  <w:vMerge/>
                  <w:tcBorders>
                    <w:top w:val="single" w:color="000000" w:sz="4"/>
                    <w:left w:val="none" w:color="000000" w:sz="4"/>
                    <w:bottom w:val="single" w:color="000000" w:sz="4"/>
                    <w:right w:val="single" w:color="000000" w:sz="4"/>
                  </w:tcBorders>
                </w:tcP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男士</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女士</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男士</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女士</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男士</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女士</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血常规</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尿常规</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尿β</w:t>
                  </w:r>
                  <w:r>
                    <w:rPr>
                      <w:rFonts w:ascii="仿宋_GB2312" w:hAnsi="仿宋_GB2312" w:cs="仿宋_GB2312" w:eastAsia="仿宋_GB2312"/>
                      <w:sz w:val="24"/>
                    </w:rPr>
                    <w:t>2</w:t>
                  </w:r>
                  <w:r>
                    <w:rPr>
                      <w:rFonts w:ascii="仿宋_GB2312" w:hAnsi="仿宋_GB2312" w:cs="仿宋_GB2312" w:eastAsia="仿宋_GB2312"/>
                      <w:sz w:val="24"/>
                    </w:rPr>
                    <w:t>微球蛋白</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肝功十项</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乙肝五项</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空腹血糖</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糖化血红蛋白</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血脂四项</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肾功四项</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甲胎蛋白</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癌胚抗原</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糖类抗原</w:t>
                  </w:r>
                  <w:r>
                    <w:rPr>
                      <w:rFonts w:ascii="仿宋_GB2312" w:hAnsi="仿宋_GB2312" w:cs="仿宋_GB2312" w:eastAsia="仿宋_GB2312"/>
                      <w:sz w:val="24"/>
                    </w:rPr>
                    <w:t>125</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糖类抗原</w:t>
                  </w:r>
                  <w:r>
                    <w:rPr>
                      <w:rFonts w:ascii="仿宋_GB2312" w:hAnsi="仿宋_GB2312" w:cs="仿宋_GB2312" w:eastAsia="仿宋_GB2312"/>
                      <w:sz w:val="24"/>
                    </w:rPr>
                    <w:t>153</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铁蛋白测定</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糖类抗原</w:t>
                  </w:r>
                  <w:r>
                    <w:rPr>
                      <w:rFonts w:ascii="仿宋_GB2312" w:hAnsi="仿宋_GB2312" w:cs="仿宋_GB2312" w:eastAsia="仿宋_GB2312"/>
                      <w:sz w:val="24"/>
                    </w:rPr>
                    <w:t>724</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糖类抗原</w:t>
                  </w:r>
                  <w:r>
                    <w:rPr>
                      <w:rFonts w:ascii="仿宋_GB2312" w:hAnsi="仿宋_GB2312" w:cs="仿宋_GB2312" w:eastAsia="仿宋_GB2312"/>
                      <w:sz w:val="24"/>
                    </w:rPr>
                    <w:t>242</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EB</w:t>
                  </w:r>
                  <w:r>
                    <w:rPr>
                      <w:rFonts w:ascii="仿宋_GB2312" w:hAnsi="仿宋_GB2312" w:cs="仿宋_GB2312" w:eastAsia="仿宋_GB2312"/>
                      <w:sz w:val="24"/>
                    </w:rPr>
                    <w:t>病毒抗体</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前列腺特异抗原</w:t>
                  </w:r>
                  <w:r>
                    <w:rPr>
                      <w:rFonts w:ascii="仿宋_GB2312" w:hAnsi="仿宋_GB2312" w:cs="仿宋_GB2312" w:eastAsia="仿宋_GB2312"/>
                      <w:sz w:val="24"/>
                    </w:rPr>
                    <w:t>PSA</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脑卒中筛查</w:t>
                  </w:r>
                  <w:r>
                    <w:rPr>
                      <w:rFonts w:ascii="仿宋_GB2312" w:hAnsi="仿宋_GB2312" w:cs="仿宋_GB2312" w:eastAsia="仿宋_GB2312"/>
                      <w:sz w:val="24"/>
                    </w:rPr>
                    <w:t>10</w:t>
                  </w:r>
                  <w:r>
                    <w:rPr>
                      <w:rFonts w:ascii="仿宋_GB2312" w:hAnsi="仿宋_GB2312" w:cs="仿宋_GB2312" w:eastAsia="仿宋_GB2312"/>
                      <w:sz w:val="24"/>
                    </w:rPr>
                    <w:t>项</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脂蛋白</w:t>
                  </w:r>
                  <w:r>
                    <w:rPr>
                      <w:rFonts w:ascii="仿宋_GB2312" w:hAnsi="仿宋_GB2312" w:cs="仿宋_GB2312" w:eastAsia="仿宋_GB2312"/>
                      <w:sz w:val="24"/>
                    </w:rPr>
                    <w:t>a</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心肌酶谱</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血清维生素</w:t>
                  </w:r>
                  <w:r>
                    <w:rPr>
                      <w:rFonts w:ascii="仿宋_GB2312" w:hAnsi="仿宋_GB2312" w:cs="仿宋_GB2312" w:eastAsia="仿宋_GB2312"/>
                      <w:sz w:val="24"/>
                    </w:rPr>
                    <w:t>D</w:t>
                  </w:r>
                  <w:r>
                    <w:rPr>
                      <w:rFonts w:ascii="仿宋_GB2312" w:hAnsi="仿宋_GB2312" w:cs="仿宋_GB2312" w:eastAsia="仿宋_GB2312"/>
                      <w:sz w:val="24"/>
                    </w:rPr>
                    <w:t>定量</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胸部</w:t>
                  </w:r>
                  <w:r>
                    <w:rPr>
                      <w:rFonts w:ascii="仿宋_GB2312" w:hAnsi="仿宋_GB2312" w:cs="仿宋_GB2312" w:eastAsia="仿宋_GB2312"/>
                      <w:sz w:val="24"/>
                    </w:rPr>
                    <w:t>CT</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腰椎正侧位片</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腹部</w:t>
                  </w:r>
                  <w:r>
                    <w:rPr>
                      <w:rFonts w:ascii="仿宋_GB2312" w:hAnsi="仿宋_GB2312" w:cs="仿宋_GB2312" w:eastAsia="仿宋_GB2312"/>
                      <w:sz w:val="24"/>
                    </w:rPr>
                    <w:t>B</w:t>
                  </w:r>
                  <w:r>
                    <w:rPr>
                      <w:rFonts w:ascii="仿宋_GB2312" w:hAnsi="仿宋_GB2312" w:cs="仿宋_GB2312" w:eastAsia="仿宋_GB2312"/>
                      <w:sz w:val="24"/>
                    </w:rPr>
                    <w:t>超（彩色）</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泌尿系</w:t>
                  </w:r>
                  <w:r>
                    <w:rPr>
                      <w:rFonts w:ascii="仿宋_GB2312" w:hAnsi="仿宋_GB2312" w:cs="仿宋_GB2312" w:eastAsia="仿宋_GB2312"/>
                      <w:sz w:val="24"/>
                    </w:rPr>
                    <w:t>B</w:t>
                  </w:r>
                  <w:r>
                    <w:rPr>
                      <w:rFonts w:ascii="仿宋_GB2312" w:hAnsi="仿宋_GB2312" w:cs="仿宋_GB2312" w:eastAsia="仿宋_GB2312"/>
                      <w:sz w:val="24"/>
                    </w:rPr>
                    <w:t>超（彩色）</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前列腺彩超</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甲状腺彩超</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颈动脉彩超</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内科</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AI</w:t>
                  </w:r>
                  <w:r>
                    <w:rPr>
                      <w:rFonts w:ascii="仿宋_GB2312" w:hAnsi="仿宋_GB2312" w:cs="仿宋_GB2312" w:eastAsia="仿宋_GB2312"/>
                      <w:sz w:val="24"/>
                    </w:rPr>
                    <w:t>眼底</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裂隙灯检查</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眼底镜</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视力、色觉检查</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外科</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耳鼻喉科</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心电图</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口腔科</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骨密度</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经颅多普勒</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0"/>
                    </w:rPr>
                    <w:t>　</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0"/>
                    </w:rPr>
                    <w:t>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糖尿病风险检查</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C13</w:t>
                  </w:r>
                  <w:r>
                    <w:rPr>
                      <w:rFonts w:ascii="仿宋_GB2312" w:hAnsi="仿宋_GB2312" w:cs="仿宋_GB2312" w:eastAsia="仿宋_GB2312"/>
                      <w:sz w:val="24"/>
                    </w:rPr>
                    <w:t>呼气试验</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妇科检查</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白带常规</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宫颈</w:t>
                  </w:r>
                  <w:r>
                    <w:rPr>
                      <w:rFonts w:ascii="仿宋_GB2312" w:hAnsi="仿宋_GB2312" w:cs="仿宋_GB2312" w:eastAsia="仿宋_GB2312"/>
                      <w:sz w:val="24"/>
                    </w:rPr>
                    <w:t>TCT</w:t>
                  </w:r>
                  <w:r>
                    <w:rPr>
                      <w:rFonts w:ascii="仿宋_GB2312" w:hAnsi="仿宋_GB2312" w:cs="仿宋_GB2312" w:eastAsia="仿宋_GB2312"/>
                      <w:sz w:val="24"/>
                    </w:rPr>
                    <w:t>液基细胞</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HPV</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子宫及附件彩超</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4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乳光超</w:t>
                  </w:r>
                </w:p>
              </w:tc>
              <w:tc>
                <w:tcPr>
                  <w:tcW w:type="dxa" w:w="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按照学院的体检时间安排为教职工提供车辆接送服务，并为参加体检的教职工提供简单早餐（牛奶、面包）。</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体检完后针对每个教职工的健康情况进行分析，并提出参考和建议。集中组织专家到校解读报告专场两至三次。</w:t>
            </w:r>
          </w:p>
          <w:p>
            <w:pPr>
              <w:pStyle w:val="null3"/>
              <w:ind w:firstLine="442"/>
              <w:jc w:val="both"/>
            </w:pPr>
            <w:r>
              <w:rPr>
                <w:rFonts w:ascii="仿宋_GB2312" w:hAnsi="仿宋_GB2312" w:cs="仿宋_GB2312" w:eastAsia="仿宋_GB2312"/>
                <w:sz w:val="22"/>
                <w:b/>
              </w:rPr>
              <w:t>四</w:t>
            </w:r>
            <w:r>
              <w:rPr>
                <w:rFonts w:ascii="仿宋_GB2312" w:hAnsi="仿宋_GB2312" w:cs="仿宋_GB2312" w:eastAsia="仿宋_GB2312"/>
                <w:sz w:val="22"/>
                <w:b/>
              </w:rPr>
              <w:t>、商务要求（如服务期限、款项结算等）</w:t>
            </w:r>
          </w:p>
          <w:p>
            <w:pPr>
              <w:pStyle w:val="null3"/>
              <w:ind w:firstLine="440"/>
              <w:jc w:val="both"/>
            </w:pPr>
            <w:r>
              <w:rPr>
                <w:rFonts w:ascii="仿宋_GB2312" w:hAnsi="仿宋_GB2312" w:cs="仿宋_GB2312" w:eastAsia="仿宋_GB2312"/>
                <w:sz w:val="22"/>
              </w:rPr>
              <w:t>（一）服务期限。</w:t>
            </w:r>
          </w:p>
          <w:p>
            <w:pPr>
              <w:pStyle w:val="null3"/>
              <w:ind w:firstLine="440"/>
              <w:jc w:val="both"/>
            </w:pPr>
            <w:r>
              <w:rPr>
                <w:rFonts w:ascii="仿宋_GB2312" w:hAnsi="仿宋_GB2312" w:cs="仿宋_GB2312" w:eastAsia="仿宋_GB2312"/>
                <w:sz w:val="22"/>
              </w:rPr>
              <w:t>合同签订后两个月内。</w:t>
            </w:r>
          </w:p>
          <w:p>
            <w:pPr>
              <w:pStyle w:val="null3"/>
              <w:ind w:firstLine="440"/>
              <w:jc w:val="both"/>
            </w:pPr>
            <w:r>
              <w:rPr>
                <w:rFonts w:ascii="仿宋_GB2312" w:hAnsi="仿宋_GB2312" w:cs="仿宋_GB2312" w:eastAsia="仿宋_GB2312"/>
                <w:sz w:val="22"/>
              </w:rPr>
              <w:t>（二）款项结算。</w:t>
            </w:r>
          </w:p>
          <w:p>
            <w:pPr>
              <w:pStyle w:val="null3"/>
              <w:ind w:firstLine="440"/>
              <w:jc w:val="both"/>
            </w:pPr>
            <w:r>
              <w:rPr>
                <w:rFonts w:ascii="仿宋_GB2312" w:hAnsi="仿宋_GB2312" w:cs="仿宋_GB2312" w:eastAsia="仿宋_GB2312"/>
                <w:sz w:val="22"/>
                <w:shd w:fill="FFFFFF" w:val="clear"/>
              </w:rPr>
              <w:t>服务期满并验收合格后，</w:t>
            </w:r>
            <w:r>
              <w:rPr>
                <w:rFonts w:ascii="仿宋_GB2312" w:hAnsi="仿宋_GB2312" w:cs="仿宋_GB2312" w:eastAsia="仿宋_GB2312"/>
                <w:sz w:val="22"/>
              </w:rPr>
              <w:t>按照实际体检人数及分类体检套餐费用据实结算，</w:t>
            </w:r>
            <w:r>
              <w:rPr>
                <w:rFonts w:ascii="仿宋_GB2312" w:hAnsi="仿宋_GB2312" w:cs="仿宋_GB2312" w:eastAsia="仿宋_GB2312"/>
                <w:sz w:val="22"/>
                <w:shd w:fill="FFFFFF" w:val="clear"/>
              </w:rPr>
              <w:t>由体检单位开具发票，到采购单位办理转帐付款手续。此费用</w:t>
            </w:r>
            <w:r>
              <w:rPr>
                <w:rFonts w:ascii="仿宋_GB2312" w:hAnsi="仿宋_GB2312" w:cs="仿宋_GB2312" w:eastAsia="仿宋_GB2312"/>
                <w:sz w:val="22"/>
              </w:rPr>
              <w:t>一次性全款付清。</w:t>
            </w:r>
          </w:p>
          <w:p>
            <w:pPr>
              <w:pStyle w:val="null3"/>
              <w:ind w:firstLine="442"/>
              <w:jc w:val="both"/>
            </w:pPr>
            <w:r>
              <w:rPr>
                <w:rFonts w:ascii="仿宋_GB2312" w:hAnsi="仿宋_GB2312" w:cs="仿宋_GB2312" w:eastAsia="仿宋_GB2312"/>
                <w:sz w:val="22"/>
                <w:b/>
              </w:rPr>
              <w:t>五</w:t>
            </w:r>
            <w:r>
              <w:rPr>
                <w:rFonts w:ascii="仿宋_GB2312" w:hAnsi="仿宋_GB2312" w:cs="仿宋_GB2312" w:eastAsia="仿宋_GB2312"/>
                <w:sz w:val="22"/>
                <w:b/>
              </w:rPr>
              <w:t>、其他（如有要求，请写明）</w:t>
            </w:r>
          </w:p>
          <w:p>
            <w:pPr>
              <w:pStyle w:val="null3"/>
              <w:ind w:firstLine="440"/>
              <w:jc w:val="both"/>
            </w:pPr>
            <w:r>
              <w:rPr>
                <w:rFonts w:ascii="仿宋_GB2312" w:hAnsi="仿宋_GB2312" w:cs="仿宋_GB2312" w:eastAsia="仿宋_GB2312"/>
                <w:sz w:val="22"/>
              </w:rPr>
              <w:t>（一）进度要求</w:t>
            </w:r>
          </w:p>
          <w:p>
            <w:pPr>
              <w:pStyle w:val="null3"/>
              <w:ind w:firstLine="440"/>
              <w:jc w:val="both"/>
            </w:pPr>
            <w:r>
              <w:rPr>
                <w:rFonts w:ascii="仿宋_GB2312" w:hAnsi="仿宋_GB2312" w:cs="仿宋_GB2312" w:eastAsia="仿宋_GB2312"/>
                <w:sz w:val="22"/>
              </w:rPr>
              <w:t>在职在编人员、离退休教职工体检时间分别为</w:t>
            </w:r>
            <w:r>
              <w:rPr>
                <w:rFonts w:ascii="仿宋_GB2312" w:hAnsi="仿宋_GB2312" w:cs="仿宋_GB2312" w:eastAsia="仿宋_GB2312"/>
                <w:sz w:val="22"/>
              </w:rPr>
              <w:t>1</w:t>
            </w:r>
            <w:r>
              <w:rPr>
                <w:rFonts w:ascii="仿宋_GB2312" w:hAnsi="仿宋_GB2312" w:cs="仿宋_GB2312" w:eastAsia="仿宋_GB2312"/>
                <w:sz w:val="22"/>
              </w:rPr>
              <w:t>个月。</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二</w:t>
            </w:r>
            <w:r>
              <w:rPr>
                <w:rFonts w:ascii="仿宋_GB2312" w:hAnsi="仿宋_GB2312" w:cs="仿宋_GB2312" w:eastAsia="仿宋_GB2312"/>
                <w:sz w:val="22"/>
              </w:rPr>
              <w:t>）质量验收标准或规范</w:t>
            </w:r>
          </w:p>
          <w:p>
            <w:pPr>
              <w:pStyle w:val="null3"/>
              <w:ind w:firstLine="422"/>
            </w:pPr>
            <w:r>
              <w:rPr>
                <w:rFonts w:ascii="仿宋_GB2312" w:hAnsi="仿宋_GB2312" w:cs="仿宋_GB2312" w:eastAsia="仿宋_GB2312"/>
                <w:sz w:val="22"/>
              </w:rPr>
              <w:t>按照体检项目内容和要求提供符合现行的国家标准或国家行政部门颁布的法律法规、规章制度以及行业标准的体检服务。</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三</w:t>
            </w:r>
            <w:r>
              <w:rPr>
                <w:rFonts w:ascii="仿宋_GB2312" w:hAnsi="仿宋_GB2312" w:cs="仿宋_GB2312" w:eastAsia="仿宋_GB2312"/>
                <w:sz w:val="22"/>
              </w:rPr>
              <w:t>）违约责任</w:t>
            </w:r>
          </w:p>
          <w:p>
            <w:pPr>
              <w:pStyle w:val="null3"/>
              <w:ind w:firstLine="440"/>
              <w:jc w:val="both"/>
            </w:pPr>
            <w:r>
              <w:rPr>
                <w:rFonts w:ascii="仿宋_GB2312" w:hAnsi="仿宋_GB2312" w:cs="仿宋_GB2312" w:eastAsia="仿宋_GB2312"/>
                <w:sz w:val="22"/>
              </w:rPr>
              <w:t>服务商无正当理由未能按合同约定提供服务，经采购方提出后仍无正当理由不改正的，服务商应支付采购方总体检费用的20%作为违约金。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针对教师职业特征、性别、年龄段分别列出详细的体检项目及内容。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体检医院必须具有《医疗机构执业许可证》和《放射诊疗许可证》。拥有先进的医疗资源和体检设备。提供常用体检设备的图片及相关介绍。</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合同签订后两个月内。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按照体检项目内容和要求提供符合现行的国家标准或国家行政部门颁布的法律法规、规章制度以及行业标准的体检服务。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服务期满并验收合格后，按照实际体检人数及分类体检套餐费用据实结算，由体检单位开具发票，到采购单位办理转帐付款手续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本合同在履行过程中发生的争议，由甲方、乙方双方当事人协商解决，协商不成的依法向甲方所在地人民法院起诉。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3.4.1.成交供应商在领取中标通知书时提供纸质版响应文件一正二副。 3.4.2.本项目报价要求为固定单价，开标一览表和标的清单中的单价为各体检项目的单价合计（即单价合计=男士（＜40岁）单价+男士（≥40岁）单价+退休男士单价+女士（＜40岁）单价+女士（≥40岁）单价+退休女士单价），未按照要求进行报价的，响应文件被否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投标文件截止时间前近三个月内任意一个月本单位社会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供应商应提交的相关资格证明材料 标的清单 响应函 服务方案.docx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供应商磋商报价没有超出采购预算或最高限价，按照磋商文件要求进行报价。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拟投入本项目的体检服务团队</w:t>
            </w:r>
          </w:p>
        </w:tc>
        <w:tc>
          <w:tcPr>
            <w:tcW w:type="dxa" w:w="2492"/>
          </w:tcPr>
          <w:p>
            <w:pPr>
              <w:pStyle w:val="null3"/>
            </w:pPr>
            <w:r>
              <w:rPr>
                <w:rFonts w:ascii="仿宋_GB2312" w:hAnsi="仿宋_GB2312" w:cs="仿宋_GB2312" w:eastAsia="仿宋_GB2312"/>
              </w:rPr>
              <w:t>1、总检验审核人员为副高级及以上职称，得3分； 2、主检医生为副高级及以上职称每个得3分，中级职称每个得1分，最高得6分。 3、拟派医务人员中检验、影像、超声等人员每有一名副高级及以上职称得3分，每有一名中级及以上职称得1分，最高得3分； 4、辅助人员从业年限5年以上，每提供一个得1分，最高得3分。（需提供从业年限证明，包括但不限于社保证明或聘用合同等） 注：①所有得分项需提供对应有效证明材料（职称证书、社保证明、聘用合同等）；②同一人员不得在多个分项中重复计分。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仪器设备配置</w:t>
            </w:r>
          </w:p>
        </w:tc>
        <w:tc>
          <w:tcPr>
            <w:tcW w:type="dxa" w:w="2492"/>
          </w:tcPr>
          <w:p>
            <w:pPr>
              <w:pStyle w:val="null3"/>
            </w:pPr>
            <w:r>
              <w:rPr>
                <w:rFonts w:ascii="仿宋_GB2312" w:hAnsi="仿宋_GB2312" w:cs="仿宋_GB2312" w:eastAsia="仿宋_GB2312"/>
              </w:rPr>
              <w:t>供应商提供先进的体检仪器设备至少包括：彩超仪器、心电图机、CT检测仪器、脑血管检测设备数量、肿瘤检测设备、无创早期糖尿病筛查设备等； 1、彩超仪器数量≥6台的得3分，6台以下大于4台得2分，4台（含）以下大于2台得1分，其他不得分； 2、心电图机数量≥4台的得2分，4台以下大于2台得1分，其他不得分； 3、CT检测仪器（不少于16排）数量≥2台的得2分，仅提供1台，得1分，其他不得分； 4、脑血管检测设备数量≥2台的得2分，仅提供1台，得1分； 5、肿瘤检测设备数量≥2台的得2分，仅提供1台，得1分； 6、无创早期糖尿病筛查设备数量≥2台的得2分，仅提供1台，得1分； 备注说明：须提供设备清单、规格型号、购置发票复印件，未提供不得分。 7、供应商提供的体检仪器设备（包括：彩超仪器、心电图机、CT检测仪器、脑血管检测设备数量、肿瘤检测设备、无创早期糖尿病筛查设备）购置年限进行评分；以上设备购置年限在5年(含)以内，并能正常运行的，每台得1分；6-8年(含)得0.5分；大于8年不得分。（每类设备满分2分，6类共计满分12分。须提供设备清单、规格型号、购置发票复印件，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组织方案</w:t>
            </w:r>
          </w:p>
        </w:tc>
        <w:tc>
          <w:tcPr>
            <w:tcW w:type="dxa" w:w="2492"/>
          </w:tcPr>
          <w:p>
            <w:pPr>
              <w:pStyle w:val="null3"/>
            </w:pPr>
            <w:r>
              <w:rPr>
                <w:rFonts w:ascii="仿宋_GB2312" w:hAnsi="仿宋_GB2312" w:cs="仿宋_GB2312" w:eastAsia="仿宋_GB2312"/>
              </w:rPr>
              <w:t>供应商提供具备完善的实施方案，包括但不限于: 1、体检服务工作流程； 2、检前预约及告知方案； 3、各项体检操作规程； 4、主要检测项目的检测方法； 5、隐私保护措施； 6、质量保证措施。 要求：方案各项内容全面详细、阐述条理清晰得满分12分，每有一项缺项扣2分，每有一项内容存在缺陷，扣1分，扣完为止。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健康体检基本制度</w:t>
            </w:r>
          </w:p>
        </w:tc>
        <w:tc>
          <w:tcPr>
            <w:tcW w:type="dxa" w:w="2492"/>
          </w:tcPr>
          <w:p>
            <w:pPr>
              <w:pStyle w:val="null3"/>
            </w:pPr>
            <w:r>
              <w:rPr>
                <w:rFonts w:ascii="仿宋_GB2312" w:hAnsi="仿宋_GB2312" w:cs="仿宋_GB2312" w:eastAsia="仿宋_GB2312"/>
              </w:rPr>
              <w:t>1、质量管理制度（包括：质量目标、样本采集、检验报告管理等）齐全，科学； 2、制度是否切合单位实际、并适时调整修改； 3、具有各制度的执行记录。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场地配备</w:t>
            </w:r>
          </w:p>
        </w:tc>
        <w:tc>
          <w:tcPr>
            <w:tcW w:type="dxa" w:w="2492"/>
          </w:tcPr>
          <w:p>
            <w:pPr>
              <w:pStyle w:val="null3"/>
            </w:pPr>
            <w:r>
              <w:rPr>
                <w:rFonts w:ascii="仿宋_GB2312" w:hAnsi="仿宋_GB2312" w:cs="仿宋_GB2312" w:eastAsia="仿宋_GB2312"/>
              </w:rPr>
              <w:t>1、医检分离或具有独立的体检中心场地、交通便利，有停车场； 2、男女体检区域划分，环境布局合理； 3、现场标识清晰合理，能有效引导受检人员提高检查效率。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医疗应急保障措施</w:t>
            </w:r>
          </w:p>
        </w:tc>
        <w:tc>
          <w:tcPr>
            <w:tcW w:type="dxa" w:w="2492"/>
          </w:tcPr>
          <w:p>
            <w:pPr>
              <w:pStyle w:val="null3"/>
            </w:pPr>
            <w:r>
              <w:rPr>
                <w:rFonts w:ascii="仿宋_GB2312" w:hAnsi="仿宋_GB2312" w:cs="仿宋_GB2312" w:eastAsia="仿宋_GB2312"/>
              </w:rPr>
              <w:t>供应商根据在体检过程中可能发生的特殊情况应急保障措施方案，方案至少包括: 1、项目实施过程中可能出现的（晕针晕血、低血糖、意外跌倒等事件）制定具有可操作性得到应急服务措施； 2、具备应急能力； 3、配备应急处事反应时效设备、药品、人员、场所等。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体检高危异常结果管理方案</w:t>
            </w:r>
          </w:p>
        </w:tc>
        <w:tc>
          <w:tcPr>
            <w:tcW w:type="dxa" w:w="2492"/>
          </w:tcPr>
          <w:p>
            <w:pPr>
              <w:pStyle w:val="null3"/>
            </w:pPr>
            <w:r>
              <w:rPr>
                <w:rFonts w:ascii="仿宋_GB2312" w:hAnsi="仿宋_GB2312" w:cs="仿宋_GB2312" w:eastAsia="仿宋_GB2312"/>
              </w:rPr>
              <w:t>1、查看高危异常检查结果报告制度； 2、高危异常结果审批复核、上报流程图； 3、查看高危异常检查结果是否在规定时间内告知受检者，检查相关记录，包括通知的时间、通知情况、通知未果者的处理、随访情况等。 要求：方案各项内容全面详细、阐述条理清晰得满分3分，每有一项缺项扣1分，每有一项内容存在缺陷，扣0.5分，扣完为止。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w:t>
            </w:r>
          </w:p>
        </w:tc>
        <w:tc>
          <w:tcPr>
            <w:tcW w:type="dxa" w:w="2492"/>
          </w:tcPr>
          <w:p>
            <w:pPr>
              <w:pStyle w:val="null3"/>
            </w:pPr>
            <w:r>
              <w:rPr>
                <w:rFonts w:ascii="仿宋_GB2312" w:hAnsi="仿宋_GB2312" w:cs="仿宋_GB2312" w:eastAsia="仿宋_GB2312"/>
              </w:rPr>
              <w:t>1、供应商根据体检套餐的具体情况，提供个人体检报告，内容包括:阴性参考值范围，主要阳性结果及建议，医学解释及指导方案，体检结果《影像学检测结果包括结果描述及意见)，内容完整得4分，以上内容缺项扣1分，扣完为止。 2、供应商承诺个人体检完成3个工作日内提供体检报告(纸质版及电子版），得1分，未提供得0分。 3、供应商承诺全体人员体检结束后10天内提供单位整体健康报告，得1分，未提供得0分。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1、供应商能为本项目提供专场服务，开辟绿色通道的服务承诺，得2分，内容缺失或未提供得0分。(提供承诺函加盖公章)。 2、供应商应保证参检人员所有信息数据不得外泄，做好保密工作，有具体的保密措施及承诺，得2分，内容缺失或未提供得0分。 3、供应商须提供针对本项目的人员服务态度保障方案，有相应的管理制度及投诉处理措施，得1分，内容缺失或未提供得0分。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1、供应商承诺体检完成后提供专家上门解读报告服务，并能出具健康风险评估方案及检后评估干预指导方案的，得2分，内容缺失或未提供得0分。(提供承诺函加盖公章)。 2、按照要求的体检时间安排给教职工提供车辆接送服务。为体检教职工提供体检温馨提示一份，以便体检顺利进行，得2分，内容缺失或未提供得0分。(提供承诺函加盖公章)。 3、承诺给体检完的教职工提供简易早餐（牛奶、面包等）的得1分，无承诺或未提供得0分。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以合同签订时间为准）至今同类项目（体检服务类）业绩（以中标通知书和合同为准，时间以中标通知书日期或合同签订日期为准，可以提交中标通知书和合同复印件但必须加盖单位公章），每份计2分，满分10分。未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有效供应商最低报价作为基准价，各供应商的报价得分按下列公式计算：报价得分=（基准价/投标报价）×10%×100分。 计算分数时四舍五入取小数点后两位。（对小型和微型企业、监狱企业、残疾人福利性单位提供的本企业产品或其他小微企业产品的价格给予10%的价格扣除，用扣除后的价格参与评审，除此之外的其他情形均不适用本款规定；未提供中小企业声明函的不享受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