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版本号：HZJZS2026--0057.1B120260612001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汉中市博物馆“五馆联动”数字化应用项目(二次)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HZJZS2026--0057.1B1</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汉中市博物馆“五馆联动”数字化应用项目(二次)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HZJZS2026--0057.1B1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汉中市博物馆“五馆联动”数字化应用项目(二次)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汉中市内五家相关博物馆资源或场地，运用增强现实、虚拟现实等数字科技并融合文化创意等元素，通过文旅融合、虚实结合等方式，设计研发本地文化内容，开发“两汉三国”等主题沉浸式互动体验空间，配套购置相关设备；通过软件开发和硬件配套，构建“古汉台”数字化互动展示平台，将汉中市历史文化资源转化为可感知、可互动的数字化体验，充分体现旅游与科技的深度融合，创新提升游客的多维旅游体验，培育旅游消费新场景新热点，提升博物馆质量效益，增强用户粘性和参与度，提供长期可靠的技术支持和服务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采购包1（汉中市博物馆“五馆联动”数字化应用项目）：属于专门面向小微企业采购。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汉中市汉台区北关街道办事处留侯路东方明珠小区南门临街商铺2层#1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 0165 0042 0000 0712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代理服务费收费标准：以中标金额为基数，参照国家计委颁发的《招标代理服务收费管理暂行办法》（计价格[2002]1980号）和《关于招标代理服务收费有关问题的通知》（发改办价格[2003]857号）的有关规定执行。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地址：汉中市汉台区北关街道办事处留侯路东方明珠小区南门临街商铺2层#1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汉中市内五家相关博物馆资源或场地，运用增强现实、虚拟现实等数字科技并融合文化创意等元素，通过文旅融合、虚实结合等方式，设计研发本地文化内容，开发“两汉三国”等主题沉浸式互动体验空间，配套购置相关设备；通过软件开发和硬件配套，构建“古汉台”数字化互动展示平台，将汉中市历史文化资源转化为可感知、可互动的数字化体验，充分体现旅游与科技的深度融合，创新提升游客的多维旅游体验，培育旅游消费新场景新热点，提升博物馆质量效益，增强用户粘性和参与度，提供长期可靠的技术支持和服务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汉中市博物馆五馆联动数字化应用项目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标的名称：汉中市博物馆五馆联动数字化应用项目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b/>
              </w:rPr>
              <w:t>1.建设内容</w:t>
            </w:r>
          </w:p>
          <w:tbl>
            <w:tblPr>
              <w:tblBorders>
                <w:top w:val="none" w:color="000000" w:sz="4"/>
                <w:left w:val="none" w:color="000000" w:sz="4"/>
                <w:bottom w:val="none" w:color="000000" w:sz="4"/>
                <w:right w:val="none" w:color="000000" w:sz="4"/>
                <w:insideH w:val="none"/>
                <w:insideV w:val="none"/>
              </w:tblBorders>
            </w:tblPr>
            <w:tblGrid>
              <w:gridCol w:w="302"/>
              <w:gridCol w:w="1532"/>
              <w:gridCol w:w="348"/>
              <w:gridCol w:w="371"/>
            </w:tblGrid>
            <w:tr>
              <w:tc>
                <w:tcPr>
                  <w:tcW w:type="dxa" w:w="30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53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348"/>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71"/>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数字制作及程序开发</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运营设施设备及运营配套服务</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文创衍生及活动宣发配套</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2.数字制作及程序开发</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立足古汉台作为汉王朝发祥地的核心历史地位，以</w:t>
            </w:r>
            <w:r>
              <w:rPr>
                <w:rFonts w:ascii="仿宋_GB2312" w:hAnsi="仿宋_GB2312" w:cs="仿宋_GB2312" w:eastAsia="仿宋_GB2312"/>
                <w:sz w:val="24"/>
              </w:rPr>
              <w:t>“溯源汉魂、活化遗产”为核心，借AR虚实交融技术让游客亲历汉文明的开篇历程。其核心的数字内容制作及程序开发要求如下表：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项目深度策划及专家审校</w:t>
                  </w:r>
                </w:p>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1）基于古汉台馆AR主题进行项目深度创意策划与设计；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2）主题策划、知识大纲及文稿创作充分结合汉中市的文化与历史，注重科学性、严谨性与原创性；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3）贯彻创新性、互动性、趣味性相结合的原则，内容应通俗易懂，能深刻掌握历史知识、了解文物背后的故事；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4）深度策划文本需经馆方组织专家完成审校。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AR导览策划及基础氛围元素</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1）结合环境对每个点位进行AR技术评估；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2）对明确AR点位进行用户体验式线路规划；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3）根据点位的环境特点，明确体验者站位范</w:t>
                  </w:r>
                  <w:r>
                    <w:rPr>
                      <w:rFonts w:ascii="仿宋_GB2312" w:hAnsi="仿宋_GB2312" w:cs="仿宋_GB2312" w:eastAsia="仿宋_GB2312"/>
                      <w:sz w:val="21"/>
                    </w:rPr>
                    <w:t>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4）点位标牌、指示标牌设计开发及制作；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5）常规导览中展示 UI 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6）点缀氛围元素开发和优化。</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英雄</w:t>
                  </w:r>
                  <w:r>
                    <w:rPr>
                      <w:rFonts w:ascii="仿宋_GB2312" w:hAnsi="仿宋_GB2312" w:cs="仿宋_GB2312" w:eastAsia="仿宋_GB2312"/>
                      <w:sz w:val="21"/>
                    </w:rPr>
                    <w:t>IP数字人</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1）IP数字人创意设计：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2）3D建模，含人物、服装造型；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3）骨骼绑定及模型动作渲染。</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数字地图</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博物馆概况、建议参观路线和所有点位分布情况。包括导览图建模和引导讲解。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1）点位标牌、指示标牌设计开发；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2）常规导览中展示UI设计开发；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3）点缀氛围元素开发和优化。</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交互讲解体验点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每个点位不少于</w:t>
                  </w:r>
                  <w:r>
                    <w:rPr>
                      <w:rFonts w:ascii="仿宋_GB2312" w:hAnsi="仿宋_GB2312" w:cs="仿宋_GB2312" w:eastAsia="仿宋_GB2312"/>
                      <w:sz w:val="21"/>
                    </w:rPr>
                    <w:t>90 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1）导览内容策划、脚本及解说词撰写；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2）每个点位都需要进行一个核心模型二维或三维制作；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3）每个点位配套数字视频制作；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核心展项模型制作、场景氛围与交互</w:t>
                  </w:r>
                  <w:r>
                    <w:rPr>
                      <w:rFonts w:ascii="仿宋_GB2312" w:hAnsi="仿宋_GB2312" w:cs="仿宋_GB2312" w:eastAsia="仿宋_GB2312"/>
                      <w:sz w:val="21"/>
                    </w:rPr>
                    <w:t>UI设计开发；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可交互</w:t>
                  </w:r>
                  <w:r>
                    <w:rPr>
                      <w:rFonts w:ascii="仿宋_GB2312" w:hAnsi="仿宋_GB2312" w:cs="仿宋_GB2312" w:eastAsia="仿宋_GB2312"/>
                      <w:sz w:val="21"/>
                    </w:rPr>
                    <w:t>AR应用单元集成开发</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场景交互体验点</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重点场景复活呈现，包含场景建模、核心</w:t>
                  </w:r>
                  <w:r>
                    <w:rPr>
                      <w:rFonts w:ascii="仿宋_GB2312" w:hAnsi="仿宋_GB2312" w:cs="仿宋_GB2312" w:eastAsia="仿宋_GB2312"/>
                      <w:sz w:val="21"/>
                    </w:rPr>
                    <w:t>3D内容模型建模以及配套氛围模型点缀。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1）每个点位都需要进行场景*1和核心三维内容模型*1的建模；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核心展项模型制作、场景氛围与交互</w:t>
                  </w:r>
                  <w:r>
                    <w:rPr>
                      <w:rFonts w:ascii="仿宋_GB2312" w:hAnsi="仿宋_GB2312" w:cs="仿宋_GB2312" w:eastAsia="仿宋_GB2312"/>
                      <w:sz w:val="21"/>
                    </w:rPr>
                    <w:t>UI设计开发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可交互</w:t>
                  </w:r>
                  <w:r>
                    <w:rPr>
                      <w:rFonts w:ascii="仿宋_GB2312" w:hAnsi="仿宋_GB2312" w:cs="仿宋_GB2312" w:eastAsia="仿宋_GB2312"/>
                      <w:sz w:val="21"/>
                    </w:rPr>
                    <w:t>AR应用单元集成开发</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AR眼镜应用部署服务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服务平台支持模块化体验区域设定。平台需支持导入与管理图文、音视频、</w:t>
                  </w:r>
                  <w:r>
                    <w:rPr>
                      <w:rFonts w:ascii="仿宋_GB2312" w:hAnsi="仿宋_GB2312" w:cs="仿宋_GB2312" w:eastAsia="仿宋_GB2312"/>
                      <w:sz w:val="21"/>
                    </w:rPr>
                    <w:t>360°全景视频等基础媒资，并能集成、打包及发布一个统一的、包含所有体验区域内容与交互逻辑的应用程序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2）支持基于语音识别、图像识别、空间识别等识别触发场景；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3）能够快速进行AR眼镜端进行各体验区域应用/媒资内容进行统一集成部署；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4）各体验区域点位AR内容能够快速、灵活、迭代和优化；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5）体验区域点位识别能力可进行AR眼镜端部署离线使用；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需提供体验区域的空间数据采集与处理服务，为空间定位与内容部署提供基础数据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7）对接应用开发的SDK及API接口，及空间定位的技术服务。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体验区域点云空间定位服务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1）体验区域场景点位识别算法训练；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2）体验区域场景识别算法优化服务。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3.运营设施设备及运营配套服务</w:t>
            </w:r>
          </w:p>
          <w:p>
            <w:pPr>
              <w:pStyle w:val="null3"/>
            </w:pPr>
            <w:r>
              <w:rPr>
                <w:rFonts w:ascii="仿宋_GB2312" w:hAnsi="仿宋_GB2312" w:cs="仿宋_GB2312" w:eastAsia="仿宋_GB2312"/>
                <w:sz w:val="24"/>
              </w:rPr>
              <w:t>为支撑古汉台馆</w:t>
            </w:r>
            <w:r>
              <w:rPr>
                <w:rFonts w:ascii="仿宋_GB2312" w:hAnsi="仿宋_GB2312" w:cs="仿宋_GB2312" w:eastAsia="仿宋_GB2312"/>
                <w:sz w:val="24"/>
              </w:rPr>
              <w:t>AR主题体验，需提供运营所必需的设施设备及配套服务，详细要求如下表：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AR眼镜</w:t>
                  </w:r>
                </w:p>
                <w:p>
                  <w:pPr>
                    <w:pStyle w:val="null3"/>
                    <w:jc w:val="center"/>
                  </w:pPr>
                  <w:r>
                    <w:rPr>
                      <w:rFonts w:ascii="仿宋_GB2312" w:hAnsi="仿宋_GB2312" w:cs="仿宋_GB2312" w:eastAsia="仿宋_GB2312"/>
                      <w:sz w:val="21"/>
                    </w:rPr>
                    <w:t>套装</w:t>
                  </w:r>
                </w:p>
                <w:p>
                  <w:pPr>
                    <w:pStyle w:val="null3"/>
                    <w:jc w:val="center"/>
                  </w:p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1）分辨率：</w:t>
                  </w:r>
                  <w:r>
                    <w:rPr>
                      <w:rFonts w:ascii="仿宋_GB2312" w:hAnsi="仿宋_GB2312" w:cs="仿宋_GB2312" w:eastAsia="仿宋_GB2312"/>
                      <w:sz w:val="21"/>
                    </w:rPr>
                    <w:t>单目物理分辨率</w:t>
                  </w:r>
                  <w:r>
                    <w:rPr>
                      <w:rFonts w:ascii="仿宋_GB2312" w:hAnsi="仿宋_GB2312" w:cs="仿宋_GB2312" w:eastAsia="仿宋_GB2312"/>
                      <w:sz w:val="21"/>
                    </w:rPr>
                    <w:t>≥1920*1080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2）刷新率：≥60Hz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视场角</w:t>
                  </w:r>
                  <w:r>
                    <w:rPr>
                      <w:rFonts w:ascii="仿宋_GB2312" w:hAnsi="仿宋_GB2312" w:cs="仿宋_GB2312" w:eastAsia="仿宋_GB2312"/>
                      <w:sz w:val="21"/>
                    </w:rPr>
                    <w:t>(FOV):≥50°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4）镜腿：可折叠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具备空间感知能力</w:t>
                  </w:r>
                </w:p>
                <w:p>
                  <w:pPr>
                    <w:pStyle w:val="null3"/>
                    <w:jc w:val="both"/>
                  </w:pPr>
                  <w:r>
                    <w:rPr>
                      <w:rFonts w:ascii="仿宋_GB2312" w:hAnsi="仿宋_GB2312" w:cs="仿宋_GB2312" w:eastAsia="仿宋_GB2312"/>
                      <w:sz w:val="21"/>
                    </w:rPr>
                    <w:t>眼镜主机</w:t>
                  </w:r>
                  <w:r>
                    <w:rPr>
                      <w:rFonts w:ascii="仿宋_GB2312" w:hAnsi="仿宋_GB2312" w:cs="仿宋_GB2312" w:eastAsia="仿宋_GB2312"/>
                      <w:sz w:val="21"/>
                    </w:rPr>
                    <w:t>(计算单元)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性能：内存</w:t>
                  </w:r>
                  <w:r>
                    <w:rPr>
                      <w:rFonts w:ascii="仿宋_GB2312" w:hAnsi="仿宋_GB2312" w:cs="仿宋_GB2312" w:eastAsia="仿宋_GB2312"/>
                      <w:sz w:val="21"/>
                    </w:rPr>
                    <w:t>≥2GB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2）储存：≥32GB。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续航：电池容量</w:t>
                  </w:r>
                  <w:r>
                    <w:rPr>
                      <w:rFonts w:ascii="仿宋_GB2312" w:hAnsi="仿宋_GB2312" w:cs="仿宋_GB2312" w:eastAsia="仿宋_GB2312"/>
                      <w:sz w:val="21"/>
                    </w:rPr>
                    <w:t>≥3000毫安时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4）传输方式：支持wifi，蓝牙5.0及以上。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w:t>
                  </w:r>
                  <w:r>
                    <w:rPr>
                      <w:rFonts w:ascii="仿宋_GB2312" w:hAnsi="仿宋_GB2312" w:cs="仿宋_GB2312" w:eastAsia="仿宋_GB2312"/>
                      <w:sz w:val="21"/>
                    </w:rPr>
                    <w:t>操作系统需具备开放性，支持安装并稳定运行由</w:t>
                  </w:r>
                  <w:r>
                    <w:rPr>
                      <w:rFonts w:ascii="仿宋_GB2312" w:hAnsi="仿宋_GB2312" w:cs="仿宋_GB2312" w:eastAsia="仿宋_GB2312"/>
                      <w:sz w:val="21"/>
                    </w:rPr>
                    <w:t>Unity、Unreal Engine等主流引擎构建的应用程序</w:t>
                  </w:r>
                  <w:r>
                    <w:rPr>
                      <w:rFonts w:ascii="仿宋_GB2312" w:hAnsi="仿宋_GB2312" w:cs="仿宋_GB2312" w:eastAsia="仿宋_GB2312"/>
                      <w:sz w:val="21"/>
                    </w:rPr>
                    <w: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AR眼镜套装质保服务</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AR眼镜套装提供第一年免费维保（人为引起损坏除外），硬件延保2年。</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r>
                    <w:rPr>
                      <w:rFonts w:ascii="仿宋_GB2312" w:hAnsi="仿宋_GB2312" w:cs="仿宋_GB2312" w:eastAsia="仿宋_GB2312"/>
                      <w:sz w:val="21"/>
                    </w:rPr>
                    <w:t>/2年</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运营充电柜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1）充电位：≥6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2）材质：主要材质钣金+ABS；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3）存放方式：分隔存放；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4）供电：AC交流供电；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5）万向轮：≥4个；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6）门锁数量：≥1个。</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经营设备</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电脑</w:t>
                  </w:r>
                  <w:r>
                    <w:rPr>
                      <w:rFonts w:ascii="仿宋_GB2312" w:hAnsi="仿宋_GB2312" w:cs="仿宋_GB2312" w:eastAsia="仿宋_GB2312"/>
                      <w:sz w:val="21"/>
                    </w:rPr>
                    <w:t>+扫码枪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台式机电脑、</w:t>
                  </w:r>
                  <w:r>
                    <w:rPr>
                      <w:rFonts w:ascii="仿宋_GB2312" w:hAnsi="仿宋_GB2312" w:cs="仿宋_GB2312" w:eastAsia="仿宋_GB2312"/>
                      <w:sz w:val="21"/>
                    </w:rPr>
                    <w:t>23.8英寸显示器；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2）有线扫码枪，支持条形码、二维码、屏幕码等。</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运营三件套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1）防滑绑带*1；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2）背壳*1；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3）背绳*1。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运营租赁服务系统</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1）订单小程序系统开发；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2）运营管理平台开发；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3）支持PC端、小程序端。</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设备及系统安装调试、人员培训及试运营保障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1）资源及软件内容联动测试；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2）AR眼镜硬件及系统刷机适配；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3）现场功能点测试及优调；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4）设施设备、系统安装及整体部署；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5）试运营阶段技术人员现场保障：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6）运营服务的系统性培训服务。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运营物料设计制作</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1）运营美陈打卡物料设计及制作；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2）易拉宝整体设计及制作：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3）运营DM单设计及制作，4折页：1万份。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32"/>
                <w:b/>
              </w:rPr>
              <w:t>4.文创衍生及活动宣发配套</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为丰富和推广</w:t>
            </w:r>
            <w:r>
              <w:rPr>
                <w:rFonts w:ascii="仿宋_GB2312" w:hAnsi="仿宋_GB2312" w:cs="仿宋_GB2312" w:eastAsia="仿宋_GB2312"/>
                <w:sz w:val="24"/>
              </w:rPr>
              <w:t>“古汉台”AR体验项目，设计开发AI小程序实现打卡、合影等功能，丰富现场体验，完成相关文创衍生品的设计、开发与销售，并通过制作系列宣发视频，结合媒体平台完成宣发，相关要求如下表：</w:t>
            </w:r>
          </w:p>
          <w:tbl>
            <w:tblPr>
              <w:tblBorders>
                <w:top w:val="none" w:color="000000" w:sz="4"/>
                <w:left w:val="none" w:color="000000" w:sz="4"/>
                <w:bottom w:val="none" w:color="000000" w:sz="4"/>
                <w:right w:val="none" w:color="000000" w:sz="4"/>
                <w:insideH w:val="none"/>
                <w:insideV w:val="none"/>
              </w:tblBorders>
            </w:tblPr>
            <w:tblGrid>
              <w:gridCol w:w="217"/>
              <w:gridCol w:w="392"/>
              <w:gridCol w:w="1403"/>
              <w:gridCol w:w="277"/>
              <w:gridCol w:w="263"/>
            </w:tblGrid>
            <w:tr>
              <w:tc>
                <w:tcPr>
                  <w:tcW w:type="dxa" w:w="21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2"/>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140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77"/>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3"/>
                  <w:tcBorders>
                    <w:top w:val="single" w:color="000000" w:sz="4"/>
                    <w:left w:val="single" w:color="000000" w:sz="4"/>
                    <w:bottom w:val="single" w:color="000000" w:sz="4"/>
                    <w:right w:val="singl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AI小程序开发（一期）</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游客通过</w:t>
                  </w:r>
                  <w:r>
                    <w:rPr>
                      <w:rFonts w:ascii="仿宋_GB2312" w:hAnsi="仿宋_GB2312" w:cs="仿宋_GB2312" w:eastAsia="仿宋_GB2312"/>
                      <w:sz w:val="21"/>
                    </w:rPr>
                    <w:t>AI小程序可以在现场完成打卡、合影，并得到相关活动和产品推荐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1）全局设计；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2）UI整体设计；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3）基础功能模块开发；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4）AR合影模块开发：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5）AI虚拟助手开发：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6）AR徽章体验模块开发；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7）管理后台开发；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8）支付模块开发；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9）数据资源配置；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10）单元测试、功能测试及整体测试。</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文创衍生品设计、开发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1）主题纪念章元素设计</w:t>
                  </w:r>
                  <w:r>
                    <w:rPr>
                      <w:rFonts w:ascii="仿宋_GB2312" w:hAnsi="仿宋_GB2312" w:cs="仿宋_GB2312" w:eastAsia="仿宋_GB2312"/>
                      <w:sz w:val="21"/>
                    </w:rPr>
                    <w:t>≥</w:t>
                  </w:r>
                  <w:r>
                    <w:rPr>
                      <w:rFonts w:ascii="仿宋_GB2312" w:hAnsi="仿宋_GB2312" w:cs="仿宋_GB2312" w:eastAsia="仿宋_GB2312"/>
                      <w:sz w:val="21"/>
                    </w:rPr>
                    <w:t>4套；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2）活动主题盖章卡设计及制作</w:t>
                  </w:r>
                  <w:r>
                    <w:rPr>
                      <w:rFonts w:ascii="仿宋_GB2312" w:hAnsi="仿宋_GB2312" w:cs="仿宋_GB2312" w:eastAsia="仿宋_GB2312"/>
                      <w:sz w:val="21"/>
                    </w:rPr>
                    <w:t>≥</w:t>
                  </w:r>
                  <w:r>
                    <w:rPr>
                      <w:rFonts w:ascii="仿宋_GB2312" w:hAnsi="仿宋_GB2312" w:cs="仿宋_GB2312" w:eastAsia="仿宋_GB2312"/>
                      <w:sz w:val="21"/>
                    </w:rPr>
                    <w:t>4*1000；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3）AR纪念章设计及制作</w:t>
                  </w:r>
                  <w:r>
                    <w:rPr>
                      <w:rFonts w:ascii="仿宋_GB2312" w:hAnsi="仿宋_GB2312" w:cs="仿宋_GB2312" w:eastAsia="仿宋_GB2312"/>
                      <w:sz w:val="21"/>
                    </w:rPr>
                    <w:t>≥</w:t>
                  </w:r>
                  <w:r>
                    <w:rPr>
                      <w:rFonts w:ascii="仿宋_GB2312" w:hAnsi="仿宋_GB2312" w:cs="仿宋_GB2312" w:eastAsia="仿宋_GB2312"/>
                      <w:sz w:val="21"/>
                    </w:rPr>
                    <w:t>4*1000；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4）AR纪念章数字内容制作。</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宣发视频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1）项目整体宣传推荐视频制作套，不少于90秒；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2）项目宣发短视频策划及包装制作</w:t>
                  </w:r>
                  <w:r>
                    <w:rPr>
                      <w:rFonts w:ascii="仿宋_GB2312" w:hAnsi="仿宋_GB2312" w:cs="仿宋_GB2312" w:eastAsia="仿宋_GB2312"/>
                      <w:sz w:val="21"/>
                    </w:rPr>
                    <w:t>≥</w:t>
                  </w:r>
                  <w:r>
                    <w:rPr>
                      <w:rFonts w:ascii="仿宋_GB2312" w:hAnsi="仿宋_GB2312" w:cs="仿宋_GB2312" w:eastAsia="仿宋_GB2312"/>
                      <w:sz w:val="21"/>
                    </w:rPr>
                    <w:t>10套，每套不少于15秒。</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新闻媒体宣发</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在新闻媒体宣发，平台重点推荐</w:t>
                  </w:r>
                  <w:r>
                    <w:rPr>
                      <w:rFonts w:ascii="仿宋_GB2312" w:hAnsi="仿宋_GB2312" w:cs="仿宋_GB2312" w:eastAsia="仿宋_GB2312"/>
                      <w:sz w:val="21"/>
                    </w:rPr>
                    <w:t>，全国范围推荐阅读不少于50万人次。</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服务要求：</w:t>
            </w:r>
          </w:p>
          <w:p>
            <w:pPr>
              <w:pStyle w:val="null3"/>
              <w:ind w:firstLine="640"/>
              <w:jc w:val="both"/>
            </w:pPr>
            <w:r>
              <w:rPr>
                <w:rFonts w:ascii="仿宋_GB2312" w:hAnsi="仿宋_GB2312" w:cs="仿宋_GB2312" w:eastAsia="仿宋_GB2312"/>
                <w:sz w:val="32"/>
              </w:rPr>
              <w:t>1）培训要求</w:t>
            </w:r>
          </w:p>
          <w:p>
            <w:pPr>
              <w:pStyle w:val="null3"/>
              <w:ind w:firstLine="640"/>
              <w:jc w:val="both"/>
            </w:pPr>
            <w:r>
              <w:rPr>
                <w:rFonts w:ascii="仿宋_GB2312" w:hAnsi="仿宋_GB2312" w:cs="仿宋_GB2312" w:eastAsia="仿宋_GB2312"/>
                <w:sz w:val="32"/>
              </w:rPr>
              <w:t>培训业主单位专业业务人员次数不少于</w:t>
            </w:r>
            <w:r>
              <w:rPr>
                <w:rFonts w:ascii="仿宋_GB2312" w:hAnsi="仿宋_GB2312" w:cs="仿宋_GB2312" w:eastAsia="仿宋_GB2312"/>
                <w:sz w:val="32"/>
              </w:rPr>
              <w:t>3次。</w:t>
            </w:r>
          </w:p>
          <w:p>
            <w:pPr>
              <w:pStyle w:val="null3"/>
              <w:ind w:firstLine="640"/>
              <w:jc w:val="both"/>
            </w:pPr>
            <w:r>
              <w:rPr>
                <w:rFonts w:ascii="仿宋_GB2312" w:hAnsi="仿宋_GB2312" w:cs="仿宋_GB2312" w:eastAsia="仿宋_GB2312"/>
                <w:sz w:val="32"/>
              </w:rPr>
              <w:t>2）售后要求</w:t>
            </w:r>
          </w:p>
          <w:p>
            <w:pPr>
              <w:pStyle w:val="null3"/>
              <w:ind w:firstLine="640"/>
              <w:jc w:val="both"/>
            </w:pPr>
            <w:r>
              <w:rPr>
                <w:rFonts w:ascii="仿宋_GB2312" w:hAnsi="仿宋_GB2312" w:cs="仿宋_GB2312" w:eastAsia="仿宋_GB2312"/>
                <w:sz w:val="32"/>
              </w:rPr>
              <w:t>质保期</w:t>
            </w:r>
            <w:r>
              <w:rPr>
                <w:rFonts w:ascii="仿宋_GB2312" w:hAnsi="仿宋_GB2312" w:cs="仿宋_GB2312" w:eastAsia="仿宋_GB2312"/>
                <w:sz w:val="32"/>
              </w:rPr>
              <w:t>1年，在质保期内提供7x24小时响应服务，24小时内解决问题。</w:t>
            </w:r>
          </w:p>
          <w:p>
            <w:pPr>
              <w:pStyle w:val="null3"/>
              <w:ind w:firstLine="640"/>
              <w:jc w:val="both"/>
            </w:pPr>
            <w:r>
              <w:rPr>
                <w:rFonts w:ascii="仿宋_GB2312" w:hAnsi="仿宋_GB2312" w:cs="仿宋_GB2312" w:eastAsia="仿宋_GB2312"/>
                <w:sz w:val="32"/>
              </w:rPr>
              <w:t>3）免费运营期：自项目竣工验收合格之日起一年。</w:t>
            </w:r>
          </w:p>
          <w:p>
            <w:pPr>
              <w:pStyle w:val="null3"/>
              <w:ind w:firstLine="640"/>
              <w:jc w:val="both"/>
            </w:pPr>
            <w:r>
              <w:rPr>
                <w:rFonts w:ascii="仿宋_GB2312" w:hAnsi="仿宋_GB2312" w:cs="仿宋_GB2312" w:eastAsia="仿宋_GB2312"/>
                <w:sz w:val="32"/>
              </w:rPr>
              <w:t>4）项目驻场人员要求：不少于1人。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项目所有硬件到甲方指定地点且核心数字内容初验通过后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项目所有建设内容完成交付，经甲方验收合格后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法定代表人身份证明及授权委托书.docx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服务内容及服务邀请应答表 中小企业声明函 商务应答表 汉中市政府采购供应商资格承诺函.docx 投标人应提交的相关资格证明材料 法定代表人身份证明及授权委托书.docx 硬件产品技术指标.docx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服务内容及服务邀请应答表 中小企业声明函 商务应答表 汉中市政府采购供应商资格承诺函.docx 投标人应提交的相关资格证明材料 法定代表人身份证明及授权委托书.docx 硬件产品技术指标.docx 非联合体声明.docx 投标函 残疾人福利性单位声明函 服务方案 标的清单 投标文件封面 业绩相关证明材料.docx 项目拟派人员情况表.docx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不得提交选择性报价，投标报价符合招标文件要求</w:t>
            </w:r>
          </w:p>
        </w:tc>
        <w:tc>
          <w:tcPr>
            <w:tcW w:type="dxa" w:w="1661"/>
          </w:tcPr>
          <w:p>
            <w:pPr>
              <w:pStyle w:val="null3"/>
            </w:pPr>
            <w:r>
              <w:rPr>
                <w:rFonts w:ascii="仿宋_GB2312" w:hAnsi="仿宋_GB2312" w:cs="仿宋_GB2312" w:eastAsia="仿宋_GB2312"/>
              </w:rPr>
              <w:t>开标一览表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自2023年1月1日起（以合同签订日期为准）承担过的类似项目业绩，每提供1个得2.5分，最高得5分。类似业绩指：数字化展示平台开发或数字内容创作或AR/VR/MR应用开发沉浸式体验等相关业绩。须提供加盖投标人公章的合同扫描件，合同内容应能够体现项目服务内容；未提供或提供内容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1、项目经理具备软件/信息技术类高级职称得3分，中级职称得2分，初级职称得1分、无职称不得分。 2、项目实施团队成员中(不含项目经理)，每具有一个高级职称得3分，每具有一个中级职称得2分，每具有一个初级职称得1分，最高得9分。 备注:须提供人员身份证、相关职称证书。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项目实施保障方案</w:t>
            </w:r>
          </w:p>
        </w:tc>
        <w:tc>
          <w:tcPr>
            <w:tcW w:type="dxa" w:w="2492"/>
          </w:tcPr>
          <w:p>
            <w:pPr>
              <w:pStyle w:val="null3"/>
            </w:pPr>
            <w:r>
              <w:rPr>
                <w:rFonts w:ascii="仿宋_GB2312" w:hAnsi="仿宋_GB2312" w:cs="仿宋_GB2312" w:eastAsia="仿宋_GB2312"/>
              </w:rPr>
              <w:t>一、评审内容： 根据本项目提供针对性强且完善的项目实施保障方案。内容包含：①实施进度计划及保障措施②服务质量保障措施。 二、评审标准： 1、完整性：方案内容全面，对评审内容中的各项要求有详细描述、无遗漏； 2、可实施性：方案步骤清晰、流程明确，与项目实际条件匹配，可直接落地执行； 3、针对性：方案紧扣项目实际需求与特点，措施具体，不泛用模板，能有效解决项目实际问题，适配项目场景。 三、赋分标准：（针对每条评审标准，如存在不合理的方面扣 0.5 分） ①实施进度计划及保障措施：每完全满足一项评审标准得 1分，本条满分 3 分； ②服务质量保障措施：每完全满足一项评审标准得1分，本条满分3分。 （注：本表不合理是指：容逻辑混乱、存在常识性错误、内容描述简略、缺项漏项、内容空洞无实质论述、脱离项目实际、套用挪用其他项目资料等。）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数字制作及程序开发方案</w:t>
            </w:r>
          </w:p>
        </w:tc>
        <w:tc>
          <w:tcPr>
            <w:tcW w:type="dxa" w:w="2492"/>
          </w:tcPr>
          <w:p>
            <w:pPr>
              <w:pStyle w:val="null3"/>
            </w:pPr>
            <w:r>
              <w:rPr>
                <w:rFonts w:ascii="仿宋_GB2312" w:hAnsi="仿宋_GB2312" w:cs="仿宋_GB2312" w:eastAsia="仿宋_GB2312"/>
              </w:rPr>
              <w:t>一、评审内容： 提供满足技术要求的数字制作及程序开发方案。内容包含：①数字制作②程序开发 二、评审标准： 1、完整性：方案内容全面，对评审内容中的各项要求有详细描述、无遗漏； 2、可实施性：方案步骤清晰、流程明确，与项目实际条件匹配，可直接落地执行； 3、针对性：方案紧扣项目实际需求与特点，结合汉中本土文化，不泛用模板，适配项目场景。 三、赋分标准：（针对每条评审标准，如存在不合理的方面扣 0.5 分） ①数字制作：每完全满足一项评审标准得 1分，本条满分3分； ② 程序开发：每完全满足一项评审标准得 1分，本条满分3分；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运营设施设备及运营配套服务方案</w:t>
            </w:r>
          </w:p>
        </w:tc>
        <w:tc>
          <w:tcPr>
            <w:tcW w:type="dxa" w:w="2492"/>
          </w:tcPr>
          <w:p>
            <w:pPr>
              <w:pStyle w:val="null3"/>
            </w:pPr>
            <w:r>
              <w:rPr>
                <w:rFonts w:ascii="仿宋_GB2312" w:hAnsi="仿宋_GB2312" w:cs="仿宋_GB2312" w:eastAsia="仿宋_GB2312"/>
              </w:rPr>
              <w:t>一、评审内容 提供适配项目需求的运营方案，内容包含：①运营设施设备选型与适配性②运营服务体系③运营考核与应急处理。 二、评审标准 1、完整性：方案内容全面，对评审内容中的各项要求有详细描述、无遗漏； 2、可实施性：方案步骤清晰、流程明确，与项目实际条件匹配，可直接落地执行； 3、针对性：方案紧扣项目实际需求，设备选型与服务体系匹配项目运营需求，能有效解决项目实际问题。 三、赋分标准：（针对每条评审标准，如存在不合理的方面扣 0.5 分） ①运营设施设备选型与适配性：每完全满足一项评审标准得 1 分，本条满分 3 分； ②运营服务体系：每完全满足一项评审标准得 1 分，本条满分 3 分； ③运营考核与应急处理：每完全满足一项评审标准得 1分，本条满分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文创衍生及活动宣发配套方案</w:t>
            </w:r>
          </w:p>
        </w:tc>
        <w:tc>
          <w:tcPr>
            <w:tcW w:type="dxa" w:w="2492"/>
          </w:tcPr>
          <w:p>
            <w:pPr>
              <w:pStyle w:val="null3"/>
            </w:pPr>
            <w:r>
              <w:rPr>
                <w:rFonts w:ascii="仿宋_GB2312" w:hAnsi="仿宋_GB2312" w:cs="仿宋_GB2312" w:eastAsia="仿宋_GB2312"/>
              </w:rPr>
              <w:t>一、评审内容 提供满足技术要求的配套方案，内容包含：①文创衍生品设计②宣发渠道规划③宣发节奏与效果。 二、评审标准 1、完整性：方案内容全面，对评审内容中的各项要求有详细描述、无遗漏； 2、可实施性：方案步骤清晰、流程明确，与项目实际条件匹配，可直接落地执行； 3、针对性：方案紧扣项目实际需求，文创设计与宣发方案匹配项目定位。 三、赋分标准：（针对每条评审标准，如存在不合理的方面扣 0.5 分） ①文创衍生品设计：每完全满足一项评审标准得 1 分，本条满分 3 分； ②宣发渠道规划：每完全满足一项评审标准得 1 分，本条满分3 分； ③宣发节奏与效果：每完全满足一项评审标准得 1 分，本条满分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硬件产品技术指标</w:t>
            </w:r>
          </w:p>
        </w:tc>
        <w:tc>
          <w:tcPr>
            <w:tcW w:type="dxa" w:w="2492"/>
          </w:tcPr>
          <w:p>
            <w:pPr>
              <w:pStyle w:val="null3"/>
            </w:pPr>
            <w:r>
              <w:rPr>
                <w:rFonts w:ascii="仿宋_GB2312" w:hAnsi="仿宋_GB2312" w:cs="仿宋_GB2312" w:eastAsia="仿宋_GB2312"/>
              </w:rPr>
              <w:t>投标人所投产品（AR 眼镜套装、运营充电柜、经营设备）硬件的技术指标和性能优于或完全满足招标文件计15分。1项不满足按负偏离处理扣5分，扣完为止。提供相应技术参数的佐证材料。佐证材料可以是产品技术说明书或产品彩页或使用说明书或设备功能证明及截图等供应商认为可以佐证参数响应性的材料。未提供佐证材料的，按负偏离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硬件产品技术指标.docx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针对本项目提供全面的人员培训计划，内容包含：①培训内容②培训方式 二、评审标准 1、完整性：结合本项目实际情况，方案内容齐全，对评审内容中的各项要求有详细描述； 2、可实施性：方案步骤清晰、流程明确，与项目实际条件匹配，可直接落地执行； 3、针对性性：方案紧扣项目实际需求，培训措施具体，能有效解决项目实际问题。 三、赋分标准：（针对每条评审标准，如存在不合理的方面扣 0.5 分） ①培训内容：每完全满足一项评审标准得 1 分，本条满分 3 分； ②培训方式：每完全满足一项评审标准得 0.5分，本条满分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运营保障方案</w:t>
            </w:r>
          </w:p>
        </w:tc>
        <w:tc>
          <w:tcPr>
            <w:tcW w:type="dxa" w:w="2492"/>
          </w:tcPr>
          <w:p>
            <w:pPr>
              <w:pStyle w:val="null3"/>
            </w:pPr>
            <w:r>
              <w:rPr>
                <w:rFonts w:ascii="仿宋_GB2312" w:hAnsi="仿宋_GB2312" w:cs="仿宋_GB2312" w:eastAsia="仿宋_GB2312"/>
              </w:rPr>
              <w:t>一、评审内容 针对项目试运营阶段制定专项保障方案，内容包含：①试运营人员保障②试运营设备保障③试运营服务质量保障。 二、评审标准 1、完整性：方案内容全面，对评审内容中的各项要求有详细描述、无遗漏； 2、可实施性：方案步骤清晰、流程明确，与项目实际条件匹配，可直接落地执行； 3、针对性：方案紧扣项目实际需求，措施具体，不泛用模板，能有效解决项目实际问题。 三、赋分标准：（针对每条评审标准，如存在不合理的方面扣 0.5 分） ①试运营人员保障：每完全满足一项评审标准得 0.5 分，本条满分 1.5 分； ②试运营设备保障：每完全满足一项评审标准得 0.5分，本条满分1.5 分。 ③试运营服务质量保障：每完全满足一项评审标准得 0.5 分，本条满分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售后服务响应</w:t>
            </w:r>
          </w:p>
        </w:tc>
        <w:tc>
          <w:tcPr>
            <w:tcW w:type="dxa" w:w="2492"/>
          </w:tcPr>
          <w:p>
            <w:pPr>
              <w:pStyle w:val="null3"/>
            </w:pPr>
            <w:r>
              <w:rPr>
                <w:rFonts w:ascii="仿宋_GB2312" w:hAnsi="仿宋_GB2312" w:cs="仿宋_GB2312" w:eastAsia="仿宋_GB2312"/>
              </w:rPr>
              <w:t>承诺提供 7×24 小时技术支持，24小时内解决问题。故障响应时间≤1 小时的得满分5分；故障响应时间≤2 小时得 3 分；故障响应时间≤4小时得 1 分；未提供有效承诺函或不满足上述条件的，不得分。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本项目最低质保期为1年。在满足最低质保期的基础上每增加3个月得1分，最多得4分(即最多可延长12个月)；未满足最低质保期或未提供有效承诺函的，不得分。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1、有效投标人的最低报价为基准价得20分，其他各投标人的报价得分统一按下列公式计算：（评标基准价/投标报价）×20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详见附件：硬件产品技术指标.docx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