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版本号：SNJZ-2026-131.1B120260708001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AIGC东北亚智库智能情报监测分析及趋势研究大模型训练支持系统采购项目(二次)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SNJZ-2026-131.1B1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AIGC东北亚智库智能情报监测分析及趋势研究大模型训练支持系统采购项目(二次)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SNJZ-2026-131.1B1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AIGC东北亚智库智能情报监测分析及趋势研究大模型训练支持系统采购项目(二次)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旨在通过整合多源境外信息，运用先进的大数据、人工智能、自然语言处理等技术，实现深度解析与科学预判。项目可多维度洞察区域的经济动态、文化特征与社会现状，为我校相关领域的学术研究提供海量、精准的数据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1、营业执照或其他证明资料：具有独立承担民事责任能力的法人、其他组织或自然人，提供营业执照副本/事业单位法人证书副本/非企业专业服务机构执业许可证副本/自然人身份证。</w:t>
      </w:r>
    </w:p>
    <w:p>
      <w:pPr>
        <w:pStyle w:val="null3"/>
      </w:pPr>
      <w:r>
        <w:rPr>
          <w:rFonts w:ascii="仿宋_GB2312" w:hAnsi="仿宋_GB2312" w:cs="仿宋_GB2312" w:eastAsia="仿宋_GB2312"/>
        </w:rPr>
        <w:t>2、法定代表人身份证明或法定代表人授权委托书：法定代表人参加投标时，提供法定代表人证明书；授权代表参加投标时，提供法定代表人授权书；非法人单位参照执行。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6、履行能力承诺：提供具有履行本合同所必需的设备和专业技术能力的承诺书。</w:t>
      </w:r>
    </w:p>
    <w:p>
      <w:pPr>
        <w:pStyle w:val="null3"/>
      </w:pPr>
      <w:r>
        <w:rPr>
          <w:rFonts w:ascii="仿宋_GB2312" w:hAnsi="仿宋_GB2312" w:cs="仿宋_GB2312" w:eastAsia="仿宋_GB2312"/>
        </w:rPr>
        <w:t>7、无违法记录声明：提供参加政府采购活动前三年内在经营活动中没有重大违法记录的书面声明。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西安郭杜教育科技产业开发区文苑南路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左建强 王力 程钰 崔斌 鲁方方 马子啸 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说明：签订签订合同前，中标商须向学校缴纳相当于中标金额5%的履约保证金。所缴纳的5%履约保证金，在终验结束确认无质量问题后，一次性无息退还。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按照原国家计委《招标代理服务收费管理暂行办法》(计价格[2002]1980号)及发改办价格[2003]857号文件规定的收费标准下浮15%，向陕西教育招标有限责任公司交纳招标代理服务费,招标代理服务费采用现金、电汇或银行转账方式交纳，不得采用投标保证金抵扣。 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联系人：左建强</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通过整合多源境外信息，运用先进的大数据、人工智能、自然语言处理等技术，实现深度解析与科学预判。项目可多维度洞察区域的经济动态、文化特征与社会现状，为我校相关领域的学术研究提供海量、精准的数据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AIGC东北亚智库智能情报监测分析及趋势研究大模型训练支持系统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标的名称：AIGC东北亚智库智能情报监测分析及趋势研究大模型训练支持系统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一、产品要求</w:t>
            </w:r>
          </w:p>
          <w:tbl>
            <w:tblPr>
              <w:tblInd w:type="dxa" w:w="120"/>
              <w:tblBorders>
                <w:top w:val="none" w:color="000000" w:sz="4"/>
                <w:left w:val="none" w:color="000000" w:sz="4"/>
                <w:bottom w:val="none" w:color="000000" w:sz="4"/>
                <w:right w:val="none" w:color="000000" w:sz="4"/>
                <w:insideH w:val="none"/>
                <w:insideV w:val="none"/>
              </w:tblBorders>
            </w:tblPr>
            <w:tblGrid>
              <w:gridCol w:w="163"/>
              <w:gridCol w:w="355"/>
              <w:gridCol w:w="1728"/>
              <w:gridCol w:w="307"/>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w:t>
                  </w:r>
                </w:p>
                <w:p>
                  <w:pPr>
                    <w:pStyle w:val="null3"/>
                    <w:jc w:val="center"/>
                  </w:pPr>
                  <w:r>
                    <w:rPr>
                      <w:rFonts w:ascii="仿宋_GB2312" w:hAnsi="仿宋_GB2312" w:cs="仿宋_GB2312" w:eastAsia="仿宋_GB2312"/>
                      <w:sz w:val="24"/>
                      <w:b/>
                    </w:rPr>
                    <w:t>名称</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参数配置</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数量（台）</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1. 2U 机架；</w:t>
                  </w:r>
                </w:p>
                <w:p>
                  <w:pPr>
                    <w:pStyle w:val="null3"/>
                    <w:ind w:firstLine="480"/>
                  </w:pPr>
                  <w:r>
                    <w:rPr>
                      <w:rFonts w:ascii="仿宋_GB2312" w:hAnsi="仿宋_GB2312" w:cs="仿宋_GB2312" w:eastAsia="仿宋_GB2312"/>
                      <w:sz w:val="24"/>
                    </w:rPr>
                    <w:t>2. 处理器：配置≥2 颗 16 核服务器 CPU，主频≥2.5GHz；</w:t>
                  </w:r>
                </w:p>
                <w:p>
                  <w:pPr>
                    <w:pStyle w:val="null3"/>
                    <w:ind w:firstLine="480"/>
                  </w:pPr>
                  <w:r>
                    <w:rPr>
                      <w:rFonts w:ascii="仿宋_GB2312" w:hAnsi="仿宋_GB2312" w:cs="仿宋_GB2312" w:eastAsia="仿宋_GB2312"/>
                      <w:sz w:val="24"/>
                    </w:rPr>
                    <w:t>3. 内存：配置≥512GB DDR4 ECC 服务器内存，支持纠错功能；</w:t>
                  </w:r>
                </w:p>
                <w:p>
                  <w:pPr>
                    <w:pStyle w:val="null3"/>
                    <w:ind w:firstLine="480"/>
                  </w:pPr>
                  <w:r>
                    <w:rPr>
                      <w:rFonts w:ascii="仿宋_GB2312" w:hAnsi="仿宋_GB2312" w:cs="仿宋_GB2312" w:eastAsia="仿宋_GB2312"/>
                      <w:sz w:val="24"/>
                    </w:rPr>
                    <w:t>4. 存储：配置≥500GB 企业级 SSD 固态硬盘 + 4 块≥2TB 企业级 SATA 硬盘；支持 RAID 0/1/5/10，支持硬盘热插拔；</w:t>
                  </w:r>
                </w:p>
                <w:p>
                  <w:pPr>
                    <w:pStyle w:val="null3"/>
                    <w:ind w:firstLine="480"/>
                  </w:pPr>
                  <w:r>
                    <w:rPr>
                      <w:rFonts w:ascii="仿宋_GB2312" w:hAnsi="仿宋_GB2312" w:cs="仿宋_GB2312" w:eastAsia="仿宋_GB2312"/>
                      <w:sz w:val="24"/>
                    </w:rPr>
                    <w:t>5. 网络：≥2个千兆以太网口；</w:t>
                  </w:r>
                </w:p>
                <w:p>
                  <w:pPr>
                    <w:pStyle w:val="null3"/>
                    <w:ind w:firstLine="480"/>
                  </w:pPr>
                  <w:r>
                    <w:rPr>
                      <w:rFonts w:ascii="仿宋_GB2312" w:hAnsi="仿宋_GB2312" w:cs="仿宋_GB2312" w:eastAsia="仿宋_GB2312"/>
                      <w:sz w:val="24"/>
                    </w:rPr>
                    <w:t>6. 扩展：提供≥2个 PCI-E 扩展插槽；</w:t>
                  </w:r>
                </w:p>
                <w:p>
                  <w:pPr>
                    <w:pStyle w:val="null3"/>
                    <w:ind w:firstLine="480"/>
                  </w:pPr>
                  <w:r>
                    <w:rPr>
                      <w:rFonts w:ascii="仿宋_GB2312" w:hAnsi="仿宋_GB2312" w:cs="仿宋_GB2312" w:eastAsia="仿宋_GB2312"/>
                      <w:sz w:val="24"/>
                    </w:rPr>
                    <w:t>7. 电源：配置 1+1 冗余电源，支持热插拔；</w:t>
                  </w:r>
                </w:p>
                <w:p>
                  <w:pPr>
                    <w:pStyle w:val="null3"/>
                    <w:ind w:firstLine="480"/>
                  </w:pPr>
                  <w:r>
                    <w:rPr>
                      <w:rFonts w:ascii="仿宋_GB2312" w:hAnsi="仿宋_GB2312" w:cs="仿宋_GB2312" w:eastAsia="仿宋_GB2312"/>
                      <w:sz w:val="24"/>
                    </w:rPr>
                    <w:t>8. 管理：支持独立远程管理功能，可实现硬件监控、远程开关机与日志查询；</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防火墙</w:t>
                  </w:r>
                  <w:r>
                    <w:rPr>
                      <w:rFonts w:ascii="仿宋_GB2312" w:hAnsi="仿宋_GB2312" w:cs="仿宋_GB2312" w:eastAsia="仿宋_GB2312"/>
                      <w:sz w:val="24"/>
                    </w:rPr>
                    <w:t>VPN一体设备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1. 设备类型：机架式硬件防火墙VPN一体化设备；</w:t>
                  </w:r>
                </w:p>
                <w:p>
                  <w:pPr>
                    <w:pStyle w:val="null3"/>
                    <w:ind w:firstLine="480"/>
                  </w:pPr>
                  <w:r>
                    <w:rPr>
                      <w:rFonts w:ascii="仿宋_GB2312" w:hAnsi="仿宋_GB2312" w:cs="仿宋_GB2312" w:eastAsia="仿宋_GB2312"/>
                      <w:sz w:val="24"/>
                    </w:rPr>
                    <w:t>2. 电源：配置冗余电源；</w:t>
                  </w:r>
                </w:p>
                <w:p>
                  <w:pPr>
                    <w:pStyle w:val="null3"/>
                    <w:ind w:firstLine="480"/>
                  </w:pPr>
                  <w:r>
                    <w:rPr>
                      <w:rFonts w:ascii="仿宋_GB2312" w:hAnsi="仿宋_GB2312" w:cs="仿宋_GB2312" w:eastAsia="仿宋_GB2312"/>
                      <w:sz w:val="24"/>
                    </w:rPr>
                    <w:t>3. 接口：≥6个GE千兆电口；</w:t>
                  </w:r>
                </w:p>
                <w:p>
                  <w:pPr>
                    <w:pStyle w:val="null3"/>
                    <w:ind w:firstLine="480"/>
                  </w:pPr>
                  <w:r>
                    <w:rPr>
                      <w:rFonts w:ascii="仿宋_GB2312" w:hAnsi="仿宋_GB2312" w:cs="仿宋_GB2312" w:eastAsia="仿宋_GB2312"/>
                      <w:sz w:val="24"/>
                    </w:rPr>
                    <w:t>4. 性能指标：整机吞吐量≥4Gbps，应用层吞吐量≥1Gbps，每秒新建会话数≥2万，最大并发连接数≥200万；</w:t>
                  </w:r>
                </w:p>
                <w:p>
                  <w:pPr>
                    <w:pStyle w:val="null3"/>
                    <w:ind w:firstLine="480"/>
                  </w:pPr>
                  <w:r>
                    <w:rPr>
                      <w:rFonts w:ascii="仿宋_GB2312" w:hAnsi="仿宋_GB2312" w:cs="仿宋_GB2312" w:eastAsia="仿宋_GB2312"/>
                      <w:sz w:val="24"/>
                    </w:rPr>
                    <w:t>5. VPN功能：支持IPSEC VPN等主流VPN协议；</w:t>
                  </w:r>
                </w:p>
                <w:p>
                  <w:pPr>
                    <w:pStyle w:val="null3"/>
                    <w:ind w:firstLine="480"/>
                  </w:pPr>
                  <w:r>
                    <w:rPr>
                      <w:rFonts w:ascii="仿宋_GB2312" w:hAnsi="仿宋_GB2312" w:cs="仿宋_GB2312" w:eastAsia="仿宋_GB2312"/>
                      <w:sz w:val="24"/>
                    </w:rPr>
                    <w:t>6. 安全功能：支持访问控制、入侵防御、病毒防护、日志审计等功能；</w:t>
                  </w:r>
                </w:p>
                <w:p>
                  <w:pPr>
                    <w:pStyle w:val="null3"/>
                    <w:ind w:firstLine="480"/>
                  </w:pPr>
                  <w:r>
                    <w:rPr>
                      <w:rFonts w:ascii="仿宋_GB2312" w:hAnsi="仿宋_GB2312" w:cs="仿宋_GB2312" w:eastAsia="仿宋_GB2312"/>
                      <w:sz w:val="24"/>
                    </w:rPr>
                    <w:t>7.支持7×24小时不间断稳定运行；</w:t>
                  </w:r>
                </w:p>
                <w:p>
                  <w:pPr>
                    <w:pStyle w:val="null3"/>
                    <w:ind w:firstLine="480"/>
                  </w:pPr>
                  <w:r>
                    <w:rPr>
                      <w:rFonts w:ascii="仿宋_GB2312" w:hAnsi="仿宋_GB2312" w:cs="仿宋_GB2312" w:eastAsia="仿宋_GB2312"/>
                      <w:sz w:val="24"/>
                    </w:rPr>
                    <w:t>8.国产设备；</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千兆交换机</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端口配置：</w:t>
                  </w:r>
                  <w:r>
                    <w:rPr>
                      <w:rFonts w:ascii="仿宋_GB2312" w:hAnsi="仿宋_GB2312" w:cs="仿宋_GB2312" w:eastAsia="仿宋_GB2312"/>
                      <w:sz w:val="24"/>
                    </w:rPr>
                    <w:t>≥12个；10/100/1000Base-T千兆以太网电口，≥4个复用1000Base-X千兆SFP光口；</w:t>
                  </w:r>
                </w:p>
                <w:p>
                  <w:pPr>
                    <w:pStyle w:val="null3"/>
                    <w:ind w:firstLine="480"/>
                  </w:pPr>
                  <w:r>
                    <w:rPr>
                      <w:rFonts w:ascii="仿宋_GB2312" w:hAnsi="仿宋_GB2312" w:cs="仿宋_GB2312" w:eastAsia="仿宋_GB2312"/>
                      <w:sz w:val="24"/>
                    </w:rPr>
                    <w:t>2. 交换容量（全双工）≥190Gbps，整机包转发率≥950Mpps；</w:t>
                  </w:r>
                </w:p>
                <w:p>
                  <w:pPr>
                    <w:pStyle w:val="null3"/>
                    <w:ind w:firstLine="480"/>
                  </w:pPr>
                  <w:r>
                    <w:rPr>
                      <w:rFonts w:ascii="仿宋_GB2312" w:hAnsi="仿宋_GB2312" w:cs="仿宋_GB2312" w:eastAsia="仿宋_GB2312"/>
                      <w:sz w:val="24"/>
                    </w:rPr>
                    <w:t>3. 标准机架式千兆以太网交换机；</w:t>
                  </w:r>
                </w:p>
                <w:p>
                  <w:pPr>
                    <w:pStyle w:val="null3"/>
                    <w:ind w:firstLine="480"/>
                  </w:pPr>
                  <w:r>
                    <w:rPr>
                      <w:rFonts w:ascii="仿宋_GB2312" w:hAnsi="仿宋_GB2312" w:cs="仿宋_GB2312" w:eastAsia="仿宋_GB2312"/>
                      <w:sz w:val="24"/>
                    </w:rPr>
                    <w:t>4. 支持VLAN划分、端口聚合、链路冗余、网络风暴抑制、基础运维管理；</w:t>
                  </w:r>
                </w:p>
                <w:p>
                  <w:pPr>
                    <w:pStyle w:val="null3"/>
                    <w:ind w:firstLine="480"/>
                  </w:pPr>
                  <w:r>
                    <w:rPr>
                      <w:rFonts w:ascii="仿宋_GB2312" w:hAnsi="仿宋_GB2312" w:cs="仿宋_GB2312" w:eastAsia="仿宋_GB2312"/>
                      <w:sz w:val="24"/>
                    </w:rPr>
                    <w:t>5.国产设备；</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展示大屏</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1. 屏幕尺寸：≥98英寸液晶显示大屏；</w:t>
                  </w:r>
                </w:p>
                <w:p>
                  <w:pPr>
                    <w:pStyle w:val="null3"/>
                    <w:ind w:firstLine="480"/>
                  </w:pPr>
                  <w:r>
                    <w:rPr>
                      <w:rFonts w:ascii="仿宋_GB2312" w:hAnsi="仿宋_GB2312" w:cs="仿宋_GB2312" w:eastAsia="仿宋_GB2312"/>
                      <w:sz w:val="24"/>
                    </w:rPr>
                    <w:t>2. 整机一体化成型设计；</w:t>
                  </w:r>
                </w:p>
                <w:p>
                  <w:pPr>
                    <w:pStyle w:val="null3"/>
                    <w:ind w:firstLine="480"/>
                  </w:pPr>
                  <w:r>
                    <w:rPr>
                      <w:rFonts w:ascii="仿宋_GB2312" w:hAnsi="仿宋_GB2312" w:cs="仿宋_GB2312" w:eastAsia="仿宋_GB2312"/>
                      <w:sz w:val="24"/>
                    </w:rPr>
                    <w:t>3. 分辨率：分辨率≥4K（3840×2160)，刷新率≥60Hz；</w:t>
                  </w:r>
                </w:p>
                <w:p>
                  <w:pPr>
                    <w:pStyle w:val="null3"/>
                    <w:ind w:firstLine="480"/>
                  </w:pPr>
                  <w:r>
                    <w:rPr>
                      <w:rFonts w:ascii="仿宋_GB2312" w:hAnsi="仿宋_GB2312" w:cs="仿宋_GB2312" w:eastAsia="仿宋_GB2312"/>
                      <w:sz w:val="24"/>
                    </w:rPr>
                    <w:t>4. 接口配置：接口≥3路USB，支持Type-C接口；</w:t>
                  </w:r>
                </w:p>
                <w:p>
                  <w:pPr>
                    <w:pStyle w:val="null3"/>
                    <w:ind w:firstLine="480"/>
                  </w:pPr>
                  <w:r>
                    <w:rPr>
                      <w:rFonts w:ascii="仿宋_GB2312" w:hAnsi="仿宋_GB2312" w:cs="仿宋_GB2312" w:eastAsia="仿宋_GB2312"/>
                      <w:sz w:val="24"/>
                    </w:rPr>
                    <w:t>5.国产设备；</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42U标准服务器机柜；</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显示器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≥27英寸液晶显示器；</w:t>
                  </w:r>
                </w:p>
                <w:p>
                  <w:pPr>
                    <w:pStyle w:val="null3"/>
                    <w:ind w:firstLine="480"/>
                  </w:pPr>
                  <w:r>
                    <w:rPr>
                      <w:rFonts w:ascii="仿宋_GB2312" w:hAnsi="仿宋_GB2312" w:cs="仿宋_GB2312" w:eastAsia="仿宋_GB2312"/>
                      <w:sz w:val="24"/>
                    </w:rPr>
                    <w:t>2. 分辨率：≥2560×1440；</w:t>
                  </w:r>
                </w:p>
                <w:p>
                  <w:pPr>
                    <w:pStyle w:val="null3"/>
                    <w:ind w:firstLine="480"/>
                  </w:pPr>
                  <w:r>
                    <w:rPr>
                      <w:rFonts w:ascii="仿宋_GB2312" w:hAnsi="仿宋_GB2312" w:cs="仿宋_GB2312" w:eastAsia="仿宋_GB2312"/>
                      <w:sz w:val="24"/>
                    </w:rPr>
                    <w:t>3. 接口：配备HDMI、DP等高清接口；</w:t>
                  </w:r>
                </w:p>
                <w:p>
                  <w:pPr>
                    <w:pStyle w:val="null3"/>
                    <w:ind w:firstLine="480"/>
                  </w:pPr>
                  <w:r>
                    <w:rPr>
                      <w:rFonts w:ascii="仿宋_GB2312" w:hAnsi="仿宋_GB2312" w:cs="仿宋_GB2312" w:eastAsia="仿宋_GB2312"/>
                      <w:sz w:val="24"/>
                    </w:rPr>
                    <w:t>4. 安装方式：标准桌面式；</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反溯源网络接入服务单元</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按甲方需求开具相应资源：</w:t>
                  </w:r>
                </w:p>
                <w:p>
                  <w:pPr>
                    <w:pStyle w:val="null3"/>
                    <w:ind w:firstLine="480"/>
                  </w:pPr>
                  <w:r>
                    <w:rPr>
                      <w:rFonts w:ascii="仿宋_GB2312" w:hAnsi="仿宋_GB2312" w:cs="仿宋_GB2312" w:eastAsia="仿宋_GB2312"/>
                      <w:sz w:val="24"/>
                    </w:rPr>
                    <w:t>1. 处理器：≥2核；</w:t>
                  </w:r>
                </w:p>
                <w:p>
                  <w:pPr>
                    <w:pStyle w:val="null3"/>
                    <w:ind w:firstLine="480"/>
                  </w:pPr>
                  <w:r>
                    <w:rPr>
                      <w:rFonts w:ascii="仿宋_GB2312" w:hAnsi="仿宋_GB2312" w:cs="仿宋_GB2312" w:eastAsia="仿宋_GB2312"/>
                      <w:sz w:val="24"/>
                    </w:rPr>
                    <w:t>2. 内存：≥2GB DDR4；</w:t>
                  </w:r>
                </w:p>
                <w:p>
                  <w:pPr>
                    <w:pStyle w:val="null3"/>
                    <w:ind w:firstLine="480"/>
                  </w:pPr>
                  <w:r>
                    <w:rPr>
                      <w:rFonts w:ascii="仿宋_GB2312" w:hAnsi="仿宋_GB2312" w:cs="仿宋_GB2312" w:eastAsia="仿宋_GB2312"/>
                      <w:sz w:val="24"/>
                    </w:rPr>
                    <w:t>3. 存储：≥200GB SATA 硬盘；</w:t>
                  </w:r>
                </w:p>
                <w:p>
                  <w:pPr>
                    <w:pStyle w:val="null3"/>
                    <w:ind w:firstLine="480"/>
                  </w:pPr>
                  <w:r>
                    <w:rPr>
                      <w:rFonts w:ascii="仿宋_GB2312" w:hAnsi="仿宋_GB2312" w:cs="仿宋_GB2312" w:eastAsia="仿宋_GB2312"/>
                      <w:sz w:val="24"/>
                    </w:rPr>
                    <w:t>4. 网络：≥10Mbps带宽；</w:t>
                  </w:r>
                </w:p>
                <w:p>
                  <w:pPr>
                    <w:pStyle w:val="null3"/>
                    <w:ind w:firstLine="480"/>
                  </w:pPr>
                  <w:r>
                    <w:rPr>
                      <w:rFonts w:ascii="仿宋_GB2312" w:hAnsi="仿宋_GB2312" w:cs="仿宋_GB2312" w:eastAsia="仿宋_GB2312"/>
                      <w:sz w:val="24"/>
                    </w:rPr>
                    <w:t>5. 系统管理：具备反溯源与安全网络接入及远程状态监控功能</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反溯源网络中继服务单元</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按甲方需求开具相应资源：</w:t>
                  </w:r>
                </w:p>
                <w:p>
                  <w:pPr>
                    <w:pStyle w:val="null3"/>
                    <w:ind w:firstLine="480"/>
                  </w:pPr>
                  <w:r>
                    <w:rPr>
                      <w:rFonts w:ascii="仿宋_GB2312" w:hAnsi="仿宋_GB2312" w:cs="仿宋_GB2312" w:eastAsia="仿宋_GB2312"/>
                      <w:sz w:val="24"/>
                    </w:rPr>
                    <w:t>1. 处理器：≥2核；</w:t>
                  </w:r>
                </w:p>
                <w:p>
                  <w:pPr>
                    <w:pStyle w:val="null3"/>
                    <w:ind w:firstLine="480"/>
                  </w:pPr>
                  <w:r>
                    <w:rPr>
                      <w:rFonts w:ascii="仿宋_GB2312" w:hAnsi="仿宋_GB2312" w:cs="仿宋_GB2312" w:eastAsia="仿宋_GB2312"/>
                      <w:sz w:val="24"/>
                    </w:rPr>
                    <w:t>2. 内存：≥2GB DDR4；</w:t>
                  </w:r>
                </w:p>
                <w:p>
                  <w:pPr>
                    <w:pStyle w:val="null3"/>
                    <w:ind w:firstLine="480"/>
                  </w:pPr>
                  <w:r>
                    <w:rPr>
                      <w:rFonts w:ascii="仿宋_GB2312" w:hAnsi="仿宋_GB2312" w:cs="仿宋_GB2312" w:eastAsia="仿宋_GB2312"/>
                      <w:sz w:val="24"/>
                    </w:rPr>
                    <w:t>3. 存储：≥200GB SATA 硬盘；</w:t>
                  </w:r>
                </w:p>
                <w:p>
                  <w:pPr>
                    <w:pStyle w:val="null3"/>
                    <w:ind w:firstLine="480"/>
                  </w:pPr>
                  <w:r>
                    <w:rPr>
                      <w:rFonts w:ascii="仿宋_GB2312" w:hAnsi="仿宋_GB2312" w:cs="仿宋_GB2312" w:eastAsia="仿宋_GB2312"/>
                      <w:sz w:val="24"/>
                    </w:rPr>
                    <w:t>4. 网络：≥10Mbps带宽；</w:t>
                  </w:r>
                </w:p>
                <w:p>
                  <w:pPr>
                    <w:pStyle w:val="null3"/>
                    <w:ind w:firstLine="480"/>
                  </w:pPr>
                  <w:r>
                    <w:rPr>
                      <w:rFonts w:ascii="仿宋_GB2312" w:hAnsi="仿宋_GB2312" w:cs="仿宋_GB2312" w:eastAsia="仿宋_GB2312"/>
                      <w:sz w:val="24"/>
                    </w:rPr>
                    <w:t>5. 系统管理：具备反溯源与安全网络接入及远程状态监控功能；</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9</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采集任务管理</w:t>
                  </w:r>
                </w:p>
                <w:p>
                  <w:pPr>
                    <w:pStyle w:val="null3"/>
                    <w:jc w:val="center"/>
                  </w:pPr>
                  <w:r>
                    <w:rPr>
                      <w:rFonts w:ascii="仿宋_GB2312" w:hAnsi="仿宋_GB2312" w:cs="仿宋_GB2312" w:eastAsia="仿宋_GB2312"/>
                      <w:sz w:val="24"/>
                    </w:rPr>
                    <w:t>服务单元</w:t>
                  </w:r>
                  <w:r>
                    <w:rPr>
                      <w:rFonts w:ascii="仿宋_GB2312" w:hAnsi="仿宋_GB2312" w:cs="仿宋_GB2312" w:eastAsia="仿宋_GB2312"/>
                      <w:sz w:val="24"/>
                      <w:b/>
                    </w:rPr>
                    <w:t>（核心产品）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按甲方需求开具相应资源：</w:t>
                  </w:r>
                </w:p>
                <w:p>
                  <w:pPr>
                    <w:pStyle w:val="null3"/>
                    <w:ind w:firstLine="480"/>
                  </w:pPr>
                  <w:r>
                    <w:rPr>
                      <w:rFonts w:ascii="仿宋_GB2312" w:hAnsi="仿宋_GB2312" w:cs="仿宋_GB2312" w:eastAsia="仿宋_GB2312"/>
                      <w:sz w:val="24"/>
                    </w:rPr>
                    <w:t>1. CPU：≥4核；</w:t>
                  </w:r>
                </w:p>
                <w:p>
                  <w:pPr>
                    <w:pStyle w:val="null3"/>
                    <w:ind w:firstLine="480"/>
                  </w:pPr>
                  <w:r>
                    <w:rPr>
                      <w:rFonts w:ascii="仿宋_GB2312" w:hAnsi="仿宋_GB2312" w:cs="仿宋_GB2312" w:eastAsia="仿宋_GB2312"/>
                      <w:sz w:val="24"/>
                    </w:rPr>
                    <w:t>2. 内存：≥8GB DDR4；</w:t>
                  </w:r>
                </w:p>
                <w:p>
                  <w:pPr>
                    <w:pStyle w:val="null3"/>
                    <w:ind w:firstLine="480"/>
                  </w:pPr>
                  <w:r>
                    <w:rPr>
                      <w:rFonts w:ascii="仿宋_GB2312" w:hAnsi="仿宋_GB2312" w:cs="仿宋_GB2312" w:eastAsia="仿宋_GB2312"/>
                      <w:sz w:val="24"/>
                    </w:rPr>
                    <w:t>3. 存储：≥1024GB SATA 硬盘；</w:t>
                  </w:r>
                </w:p>
                <w:p>
                  <w:pPr>
                    <w:pStyle w:val="null3"/>
                    <w:ind w:firstLine="480"/>
                  </w:pPr>
                  <w:r>
                    <w:rPr>
                      <w:rFonts w:ascii="仿宋_GB2312" w:hAnsi="仿宋_GB2312" w:cs="仿宋_GB2312" w:eastAsia="仿宋_GB2312"/>
                      <w:sz w:val="24"/>
                    </w:rPr>
                    <w:t>4. 网络：≥10Mbps带宽；</w:t>
                  </w:r>
                </w:p>
                <w:p>
                  <w:pPr>
                    <w:pStyle w:val="null3"/>
                    <w:ind w:firstLine="480"/>
                  </w:pPr>
                  <w:r>
                    <w:rPr>
                      <w:rFonts w:ascii="仿宋_GB2312" w:hAnsi="仿宋_GB2312" w:cs="仿宋_GB2312" w:eastAsia="仿宋_GB2312"/>
                      <w:sz w:val="24"/>
                    </w:rPr>
                    <w:t>5. 支持采集任务管理、安全接入及远程监控；</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10</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数据获取支撑单元</w:t>
                  </w:r>
                  <w:r>
                    <w:rPr>
                      <w:rFonts w:ascii="仿宋_GB2312" w:hAnsi="仿宋_GB2312" w:cs="仿宋_GB2312" w:eastAsia="仿宋_GB2312"/>
                      <w:sz w:val="24"/>
                      <w:b/>
                    </w:rPr>
                    <w:t>（核心产品）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按甲方需求开具相应资源：</w:t>
                  </w:r>
                </w:p>
                <w:p>
                  <w:pPr>
                    <w:pStyle w:val="null3"/>
                    <w:ind w:firstLine="480"/>
                  </w:pPr>
                  <w:r>
                    <w:rPr>
                      <w:rFonts w:ascii="仿宋_GB2312" w:hAnsi="仿宋_GB2312" w:cs="仿宋_GB2312" w:eastAsia="仿宋_GB2312"/>
                      <w:sz w:val="24"/>
                    </w:rPr>
                    <w:t>1. CPU：≥4核；</w:t>
                  </w:r>
                </w:p>
                <w:p>
                  <w:pPr>
                    <w:pStyle w:val="null3"/>
                    <w:ind w:firstLine="480"/>
                  </w:pPr>
                  <w:r>
                    <w:rPr>
                      <w:rFonts w:ascii="仿宋_GB2312" w:hAnsi="仿宋_GB2312" w:cs="仿宋_GB2312" w:eastAsia="仿宋_GB2312"/>
                      <w:sz w:val="24"/>
                    </w:rPr>
                    <w:t>2. 内存：≥8GB DDR4；</w:t>
                  </w:r>
                </w:p>
                <w:p>
                  <w:pPr>
                    <w:pStyle w:val="null3"/>
                    <w:ind w:firstLine="480"/>
                  </w:pPr>
                  <w:r>
                    <w:rPr>
                      <w:rFonts w:ascii="仿宋_GB2312" w:hAnsi="仿宋_GB2312" w:cs="仿宋_GB2312" w:eastAsia="仿宋_GB2312"/>
                      <w:sz w:val="24"/>
                    </w:rPr>
                    <w:t>3. 存储：≥1024GB SATA 硬盘；</w:t>
                  </w:r>
                </w:p>
                <w:p>
                  <w:pPr>
                    <w:pStyle w:val="null3"/>
                    <w:ind w:firstLine="480"/>
                  </w:pPr>
                  <w:r>
                    <w:rPr>
                      <w:rFonts w:ascii="仿宋_GB2312" w:hAnsi="仿宋_GB2312" w:cs="仿宋_GB2312" w:eastAsia="仿宋_GB2312"/>
                      <w:sz w:val="24"/>
                    </w:rPr>
                    <w:t>4. 网络：≥10Mbps带宽；</w:t>
                  </w:r>
                </w:p>
                <w:p>
                  <w:pPr>
                    <w:pStyle w:val="null3"/>
                    <w:ind w:firstLine="480"/>
                  </w:pPr>
                  <w:r>
                    <w:rPr>
                      <w:rFonts w:ascii="仿宋_GB2312" w:hAnsi="仿宋_GB2312" w:cs="仿宋_GB2312" w:eastAsia="仿宋_GB2312"/>
                      <w:sz w:val="24"/>
                    </w:rPr>
                    <w:t>5. 功能：支持数据获取、安全接入及远程监控；</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11</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虚拟机资源</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按甲方需求开具相应资源：</w:t>
                  </w:r>
                </w:p>
                <w:p>
                  <w:pPr>
                    <w:pStyle w:val="null3"/>
                    <w:ind w:firstLine="480"/>
                  </w:pPr>
                  <w:r>
                    <w:rPr>
                      <w:rFonts w:ascii="仿宋_GB2312" w:hAnsi="仿宋_GB2312" w:cs="仿宋_GB2312" w:eastAsia="仿宋_GB2312"/>
                      <w:sz w:val="24"/>
                    </w:rPr>
                    <w:t>1. CPU：≥2核；</w:t>
                  </w:r>
                </w:p>
                <w:p>
                  <w:pPr>
                    <w:pStyle w:val="null3"/>
                    <w:ind w:firstLine="480"/>
                  </w:pPr>
                  <w:r>
                    <w:rPr>
                      <w:rFonts w:ascii="仿宋_GB2312" w:hAnsi="仿宋_GB2312" w:cs="仿宋_GB2312" w:eastAsia="仿宋_GB2312"/>
                      <w:sz w:val="24"/>
                    </w:rPr>
                    <w:t>2. 内存：≥1GB DDR4；</w:t>
                  </w:r>
                </w:p>
                <w:p>
                  <w:pPr>
                    <w:pStyle w:val="null3"/>
                    <w:ind w:firstLine="480"/>
                  </w:pPr>
                  <w:r>
                    <w:rPr>
                      <w:rFonts w:ascii="仿宋_GB2312" w:hAnsi="仿宋_GB2312" w:cs="仿宋_GB2312" w:eastAsia="仿宋_GB2312"/>
                      <w:sz w:val="24"/>
                    </w:rPr>
                    <w:t>3. 存储：≥40GB SSD；</w:t>
                  </w:r>
                </w:p>
                <w:p>
                  <w:pPr>
                    <w:pStyle w:val="null3"/>
                    <w:ind w:firstLine="480"/>
                  </w:pPr>
                  <w:r>
                    <w:rPr>
                      <w:rFonts w:ascii="仿宋_GB2312" w:hAnsi="仿宋_GB2312" w:cs="仿宋_GB2312" w:eastAsia="仿宋_GB2312"/>
                      <w:sz w:val="24"/>
                    </w:rPr>
                    <w:t>4. 网络：≥2Mbps带宽；</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区域智能感知及分析平台</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一、系统功能要求</w:t>
                  </w:r>
                </w:p>
                <w:p>
                  <w:pPr>
                    <w:pStyle w:val="null3"/>
                    <w:ind w:firstLine="480"/>
                  </w:pPr>
                  <w:r>
                    <w:rPr>
                      <w:rFonts w:ascii="仿宋_GB2312" w:hAnsi="仿宋_GB2312" w:cs="仿宋_GB2312" w:eastAsia="仿宋_GB2312"/>
                      <w:sz w:val="24"/>
                    </w:rPr>
                    <w:t>（一）业务目标定向监测追踪功能</w:t>
                  </w:r>
                </w:p>
                <w:p>
                  <w:pPr>
                    <w:pStyle w:val="null3"/>
                    <w:ind w:firstLine="480"/>
                  </w:pPr>
                  <w:r>
                    <w:rPr>
                      <w:rFonts w:ascii="仿宋_GB2312" w:hAnsi="仿宋_GB2312" w:cs="仿宋_GB2312" w:eastAsia="仿宋_GB2312"/>
                      <w:sz w:val="24"/>
                    </w:rPr>
                    <w:t>基于对核心目标和关键事件的定向监测追踪，满足工作中对重点目标、重要事件的实时定向追踪需求，及时准确捕捉言论中的敏感词，进行及时提示与预警，辅助进行特定方向重点领域研究。</w:t>
                  </w:r>
                </w:p>
                <w:p>
                  <w:pPr>
                    <w:pStyle w:val="null3"/>
                    <w:ind w:firstLine="480"/>
                  </w:pPr>
                  <w:r>
                    <w:rPr>
                      <w:rFonts w:ascii="仿宋_GB2312" w:hAnsi="仿宋_GB2312" w:cs="仿宋_GB2312" w:eastAsia="仿宋_GB2312"/>
                      <w:sz w:val="24"/>
                    </w:rPr>
                    <w:t>（二）区域态势感知功能</w:t>
                  </w:r>
                </w:p>
                <w:p>
                  <w:pPr>
                    <w:pStyle w:val="null3"/>
                    <w:ind w:firstLine="480"/>
                  </w:pPr>
                  <w:r>
                    <w:rPr>
                      <w:rFonts w:ascii="仿宋_GB2312" w:hAnsi="仿宋_GB2312" w:cs="仿宋_GB2312" w:eastAsia="仿宋_GB2312"/>
                      <w:sz w:val="24"/>
                    </w:rPr>
                    <w:t>基于多源异构数据流实时构建动态知识图谱，通过大语言模型的跨模态语义融合能力，实现特定区域事件的态势感知。为决策者提供直观的全局视角与细节洞察。覆盖包括核心社交媒体平台、论坛、媒体网站及业务沉淀定制网站。</w:t>
                  </w:r>
                </w:p>
                <w:p>
                  <w:pPr>
                    <w:pStyle w:val="null3"/>
                    <w:ind w:firstLine="480"/>
                  </w:pPr>
                  <w:r>
                    <w:rPr>
                      <w:rFonts w:ascii="仿宋_GB2312" w:hAnsi="仿宋_GB2312" w:cs="仿宋_GB2312" w:eastAsia="仿宋_GB2312"/>
                      <w:sz w:val="24"/>
                    </w:rPr>
                    <w:t>（三）专题分析功能</w:t>
                  </w:r>
                </w:p>
                <w:p>
                  <w:pPr>
                    <w:pStyle w:val="null3"/>
                    <w:ind w:firstLine="480"/>
                  </w:pPr>
                  <w:r>
                    <w:rPr>
                      <w:rFonts w:ascii="仿宋_GB2312" w:hAnsi="仿宋_GB2312" w:cs="仿宋_GB2312" w:eastAsia="仿宋_GB2312"/>
                      <w:sz w:val="24"/>
                    </w:rPr>
                    <w:t>基于业务知识框架自动聚合领域专题信息源，运用时间切片聚类生成热点话题榜单，将碎片化信息转化为结构化议题知识库，支撑垂直领域深度研究。</w:t>
                  </w:r>
                </w:p>
                <w:p>
                  <w:pPr>
                    <w:pStyle w:val="null3"/>
                    <w:ind w:firstLine="480"/>
                  </w:pPr>
                  <w:r>
                    <w:rPr>
                      <w:rFonts w:ascii="仿宋_GB2312" w:hAnsi="仿宋_GB2312" w:cs="仿宋_GB2312" w:eastAsia="仿宋_GB2312"/>
                      <w:sz w:val="24"/>
                    </w:rPr>
                    <w:t>（四）事件推演功能</w:t>
                  </w:r>
                </w:p>
                <w:p>
                  <w:pPr>
                    <w:pStyle w:val="null3"/>
                    <w:ind w:firstLine="480"/>
                  </w:pPr>
                  <w:r>
                    <w:rPr>
                      <w:rFonts w:ascii="仿宋_GB2312" w:hAnsi="仿宋_GB2312" w:cs="仿宋_GB2312" w:eastAsia="仿宋_GB2312"/>
                      <w:sz w:val="24"/>
                    </w:rPr>
                    <w:t>在事件扩散初期检测偏离常规传播路径的突发态势，建立分级预警机制实现风险前置干预。</w:t>
                  </w:r>
                </w:p>
                <w:p>
                  <w:pPr>
                    <w:pStyle w:val="null3"/>
                    <w:ind w:firstLine="480"/>
                  </w:pPr>
                  <w:r>
                    <w:rPr>
                      <w:rFonts w:ascii="仿宋_GB2312" w:hAnsi="仿宋_GB2312" w:cs="仿宋_GB2312" w:eastAsia="仿宋_GB2312"/>
                      <w:sz w:val="24"/>
                    </w:rPr>
                    <w:t>（五）溯源分析功能</w:t>
                  </w:r>
                </w:p>
                <w:p>
                  <w:pPr>
                    <w:pStyle w:val="null3"/>
                    <w:ind w:firstLine="480"/>
                  </w:pPr>
                  <w:r>
                    <w:rPr>
                      <w:rFonts w:ascii="仿宋_GB2312" w:hAnsi="仿宋_GB2312" w:cs="仿宋_GB2312" w:eastAsia="仿宋_GB2312"/>
                      <w:sz w:val="24"/>
                    </w:rPr>
                    <w:t>支持基于社交网络、新闻网站数据的实时采集和事件溯源分析。</w:t>
                  </w:r>
                </w:p>
                <w:p>
                  <w:pPr>
                    <w:pStyle w:val="null3"/>
                    <w:ind w:firstLine="480"/>
                  </w:pPr>
                  <w:r>
                    <w:rPr>
                      <w:rFonts w:ascii="仿宋_GB2312" w:hAnsi="仿宋_GB2312" w:cs="仿宋_GB2312" w:eastAsia="仿宋_GB2312"/>
                      <w:sz w:val="24"/>
                    </w:rPr>
                    <w:t>（六）</w:t>
                  </w:r>
                  <w:r>
                    <w:rPr>
                      <w:rFonts w:ascii="仿宋_GB2312" w:hAnsi="仿宋_GB2312" w:cs="仿宋_GB2312" w:eastAsia="仿宋_GB2312"/>
                      <w:sz w:val="24"/>
                    </w:rPr>
                    <w:t>QB智库功能</w:t>
                  </w:r>
                </w:p>
                <w:p>
                  <w:pPr>
                    <w:pStyle w:val="null3"/>
                    <w:ind w:firstLine="480"/>
                  </w:pPr>
                  <w:r>
                    <w:rPr>
                      <w:rFonts w:ascii="仿宋_GB2312" w:hAnsi="仿宋_GB2312" w:cs="仿宋_GB2312" w:eastAsia="仿宋_GB2312"/>
                      <w:sz w:val="24"/>
                    </w:rPr>
                    <w:t>提供由资深业务专家针对各类热点的专题报告。</w:t>
                  </w:r>
                </w:p>
                <w:p>
                  <w:pPr>
                    <w:pStyle w:val="null3"/>
                    <w:ind w:firstLine="480"/>
                  </w:pPr>
                  <w:r>
                    <w:rPr>
                      <w:rFonts w:ascii="仿宋_GB2312" w:hAnsi="仿宋_GB2312" w:cs="仿宋_GB2312" w:eastAsia="仿宋_GB2312"/>
                      <w:sz w:val="24"/>
                    </w:rPr>
                    <w:t>（七）</w:t>
                  </w:r>
                  <w:r>
                    <w:rPr>
                      <w:rFonts w:ascii="仿宋_GB2312" w:hAnsi="仿宋_GB2312" w:cs="仿宋_GB2312" w:eastAsia="仿宋_GB2312"/>
                      <w:sz w:val="24"/>
                    </w:rPr>
                    <w:t>QB拓展功能</w:t>
                  </w:r>
                </w:p>
                <w:p>
                  <w:pPr>
                    <w:pStyle w:val="null3"/>
                    <w:ind w:firstLine="480"/>
                  </w:pPr>
                  <w:r>
                    <w:rPr>
                      <w:rFonts w:ascii="仿宋_GB2312" w:hAnsi="仿宋_GB2312" w:cs="仿宋_GB2312" w:eastAsia="仿宋_GB2312"/>
                      <w:sz w:val="24"/>
                    </w:rPr>
                    <w:t>基于异构图神经网络提取传播关系链，通过动态可视化技术呈现隐性社群结构，为关键节点定位与传播穿透分析提供关系维度支撑。</w:t>
                  </w:r>
                </w:p>
                <w:p>
                  <w:pPr>
                    <w:pStyle w:val="null3"/>
                    <w:ind w:firstLine="480"/>
                  </w:pPr>
                  <w:r>
                    <w:rPr>
                      <w:rFonts w:ascii="仿宋_GB2312" w:hAnsi="仿宋_GB2312" w:cs="仿宋_GB2312" w:eastAsia="仿宋_GB2312"/>
                      <w:sz w:val="24"/>
                    </w:rPr>
                    <w:t>（八）</w:t>
                  </w:r>
                  <w:r>
                    <w:rPr>
                      <w:rFonts w:ascii="仿宋_GB2312" w:hAnsi="仿宋_GB2312" w:cs="仿宋_GB2312" w:eastAsia="仿宋_GB2312"/>
                      <w:sz w:val="24"/>
                    </w:rPr>
                    <w:t>AI制报功能</w:t>
                  </w:r>
                </w:p>
                <w:p>
                  <w:pPr>
                    <w:pStyle w:val="null3"/>
                    <w:ind w:firstLine="480"/>
                  </w:pPr>
                  <w:r>
                    <w:rPr>
                      <w:rFonts w:ascii="仿宋_GB2312" w:hAnsi="仿宋_GB2312" w:cs="仿宋_GB2312" w:eastAsia="仿宋_GB2312"/>
                      <w:sz w:val="24"/>
                    </w:rPr>
                    <w:t>借助大语言模型的内容生成优势，提升系统在自动化分析报告生成方面的能力，实现基于用户指定素材或指定事件的</w:t>
                  </w:r>
                  <w:r>
                    <w:rPr>
                      <w:rFonts w:ascii="仿宋_GB2312" w:hAnsi="仿宋_GB2312" w:cs="仿宋_GB2312" w:eastAsia="仿宋_GB2312"/>
                      <w:sz w:val="24"/>
                    </w:rPr>
                    <w:t>AI自动制报，提升报告的可读性，提升效率，同时AI制报过程中的所有数据来源有迹可循确保真实性和可溯源。</w:t>
                  </w:r>
                </w:p>
                <w:p>
                  <w:pPr>
                    <w:pStyle w:val="null3"/>
                    <w:ind w:firstLine="480"/>
                  </w:pPr>
                  <w:r>
                    <w:rPr>
                      <w:rFonts w:ascii="仿宋_GB2312" w:hAnsi="仿宋_GB2312" w:cs="仿宋_GB2312" w:eastAsia="仿宋_GB2312"/>
                      <w:sz w:val="24"/>
                    </w:rPr>
                    <w:t>二、系统性能要求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系统采集的数据源包括主要国家和地区的社交平台、新闻媒体网站、论坛等，其中社交平台信源≥5种。新闻媒体网站支持按照板块和全站进行采集，站点及板块≥3000个。论坛采集包括Reddit、PTT、Discuss、Uwants等≥4个。全球梳理≥1500个业务关注的重点账号。</w:t>
                  </w:r>
                  <w:r>
                    <w:rPr>
                      <w:rFonts w:ascii="仿宋_GB2312" w:hAnsi="仿宋_GB2312" w:cs="仿宋_GB2312" w:eastAsia="仿宋_GB2312"/>
                      <w:sz w:val="24"/>
                    </w:rPr>
                    <w:t>提供</w:t>
                  </w:r>
                  <w:r>
                    <w:rPr>
                      <w:rFonts w:ascii="仿宋_GB2312" w:hAnsi="仿宋_GB2312" w:cs="仿宋_GB2312" w:eastAsia="仿宋_GB2312"/>
                      <w:sz w:val="24"/>
                    </w:rPr>
                    <w:t>证明材料</w:t>
                  </w:r>
                  <w:r>
                    <w:rPr>
                      <w:rFonts w:ascii="仿宋_GB2312" w:hAnsi="仿宋_GB2312" w:cs="仿宋_GB2312" w:eastAsia="仿宋_GB2312"/>
                      <w:sz w:val="24"/>
                    </w:rPr>
                    <w:t>，</w:t>
                  </w:r>
                  <w:r>
                    <w:rPr>
                      <w:rFonts w:ascii="仿宋_GB2312" w:hAnsi="仿宋_GB2312" w:cs="仿宋_GB2312" w:eastAsia="仿宋_GB2312"/>
                      <w:sz w:val="24"/>
                    </w:rPr>
                    <w:t>包括但不限于测试报告、设备（产品）彩页或设备（产品）说明书或官网、原厂印刷的产品说明书等。</w:t>
                  </w:r>
                </w:p>
                <w:p>
                  <w:pPr>
                    <w:pStyle w:val="null3"/>
                    <w:ind w:firstLine="480"/>
                  </w:pPr>
                  <w:r>
                    <w:rPr>
                      <w:rFonts w:ascii="仿宋_GB2312" w:hAnsi="仿宋_GB2312" w:cs="仿宋_GB2312" w:eastAsia="仿宋_GB2312"/>
                      <w:sz w:val="24"/>
                    </w:rPr>
                    <w:t>★（2）系统需支持根据重点业务工作方向开展专题监测，支出≥10个专题板块建设。</w:t>
                  </w:r>
                  <w:r>
                    <w:rPr>
                      <w:rFonts w:ascii="仿宋_GB2312" w:hAnsi="仿宋_GB2312" w:cs="仿宋_GB2312" w:eastAsia="仿宋_GB2312"/>
                      <w:sz w:val="24"/>
                    </w:rPr>
                    <w:t>提供</w:t>
                  </w:r>
                  <w:r>
                    <w:rPr>
                      <w:rFonts w:ascii="仿宋_GB2312" w:hAnsi="仿宋_GB2312" w:cs="仿宋_GB2312" w:eastAsia="仿宋_GB2312"/>
                      <w:sz w:val="24"/>
                    </w:rPr>
                    <w:t>证明材料</w:t>
                  </w:r>
                  <w:r>
                    <w:rPr>
                      <w:rFonts w:ascii="仿宋_GB2312" w:hAnsi="仿宋_GB2312" w:cs="仿宋_GB2312" w:eastAsia="仿宋_GB2312"/>
                      <w:sz w:val="24"/>
                    </w:rPr>
                    <w:t>，</w:t>
                  </w:r>
                  <w:r>
                    <w:rPr>
                      <w:rFonts w:ascii="仿宋_GB2312" w:hAnsi="仿宋_GB2312" w:cs="仿宋_GB2312" w:eastAsia="仿宋_GB2312"/>
                      <w:sz w:val="24"/>
                    </w:rPr>
                    <w:t>包括但不限于测试报告、设备（产品）彩页或设备（产品）说明书或官网、原厂印刷的产品说明书等。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3）系统需支持实时采集历史社交推文进行事件溯源分析，支持社交推文溯源深度≥3000条。支持实时采集相关新闻进行新闻的溯源分析，新闻溯源深度≥200条。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4）系统需支持对全球热点事件的自动识别预警，包括自然灾害、违法犯罪、飞机事故、演讲会议、维权事件、游行集会、军事冲突、化学污染等热点事件分类类别≥10种。</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5）系统需支持对事件监测设置监测关键词和排除关键词，单任务设置词组≥50个。支持社交账号、网站、论坛等目标监测，单任务目标总量≥500个。</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6）总体支持不少于目标区域关键目标监测总量≥10000个。</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7）系统需实现针对指定社交平台数据监测采集频率≤30分钟。新闻媒体网站轮询采集≤1小时。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8）系统需支持多组关键词进行存量社交贴文、社交账号、新闻资讯、论坛资讯的实时检索，数据周期≥1年，每个检索任务可同时添加的关键词≥20组。</w:t>
                  </w:r>
                </w:p>
                <w:p>
                  <w:pPr>
                    <w:pStyle w:val="null3"/>
                    <w:ind w:firstLine="480"/>
                  </w:pPr>
                  <w:r>
                    <w:rPr>
                      <w:rFonts w:ascii="仿宋_GB2312" w:hAnsi="仿宋_GB2312" w:cs="仿宋_GB2312" w:eastAsia="仿宋_GB2312"/>
                      <w:sz w:val="24"/>
                    </w:rPr>
                    <w:t>▲（9）系统需支持宏观预警、波动预警、极值预警等≥三种预警模型，模型预警信息≥3级分级推送。</w:t>
                  </w:r>
                </w:p>
                <w:p>
                  <w:pPr>
                    <w:pStyle w:val="null3"/>
                    <w:ind w:firstLine="480"/>
                  </w:pPr>
                  <w:r>
                    <w:rPr>
                      <w:rFonts w:ascii="仿宋_GB2312" w:hAnsi="仿宋_GB2312" w:cs="仿宋_GB2312" w:eastAsia="仿宋_GB2312"/>
                      <w:sz w:val="24"/>
                    </w:rPr>
                    <w:t>▲（10）系统需满足存量贴文数据≥120亿，存量社交账号≥2亿，存量新闻资讯≥7000万，存量论坛资讯≥8000万。</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11）系统需实现日均入库贴文≥2000万，账号≥100万，新闻≥4万，论坛≥2万。</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12）系统需支持≥20组社交账号目标节点进行图谱探索。</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b/>
              </w:rPr>
              <w:t>二、系统集成及安全要求</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系统集成要求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1）须提供本项目正常运转所必须的全部系统软件、中间件、插件等，确保系统正常稳定运行。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2）其他要求</w:t>
            </w:r>
          </w:p>
          <w:p>
            <w:pPr>
              <w:pStyle w:val="null3"/>
              <w:ind w:firstLine="480"/>
              <w:jc w:val="both"/>
            </w:pPr>
            <w:r>
              <w:rPr>
                <w:rFonts w:ascii="仿宋_GB2312" w:hAnsi="仿宋_GB2312" w:cs="仿宋_GB2312" w:eastAsia="仿宋_GB2312"/>
                <w:sz w:val="24"/>
              </w:rPr>
              <w:t>该项目建设为固定总价，项目建设过程中双方产生的任何费用（如：对接费、认证费等）都由承建方承担，学校不再另外增加项目费用。</w:t>
            </w:r>
          </w:p>
          <w:p>
            <w:pPr>
              <w:pStyle w:val="null3"/>
              <w:ind w:firstLine="482"/>
              <w:jc w:val="both"/>
            </w:pPr>
            <w:r>
              <w:rPr>
                <w:rFonts w:ascii="仿宋_GB2312" w:hAnsi="仿宋_GB2312" w:cs="仿宋_GB2312" w:eastAsia="仿宋_GB2312"/>
                <w:sz w:val="24"/>
                <w:b/>
              </w:rPr>
              <w:t>安全性要求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为保证本系统在使用过程中的安全性，具体实现要求如下：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1）认证授权：保证用户的合法性和用户使用应用信息资源的权力，避免内部敏感信息泄漏和服务所提供的信息资源被非法访问，造成严重的安全事件。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2）信息安全性：确保应用系统源代码安全，无漏洞；提供明晰的身份鉴别和访问控制机制，按业务要求实现功能分级，并对用户分级授权；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信息保密：充分利用密码技术，对于个人敏感信息、业务核心数据、系统配置密钥必须采用密码技术进行加解密处理，防止信息的非授权泄漏，确保信息在产生、存储、传递和处理过程中的保密,提供较完善的数据加密机制，确保数据存储和数据传输安全；个人敏感信息能配置加密策略，能配置默认脱敏形式展示，点击后可展示全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4）数据完整性：建立数据完整性检验机制，保证收发双方数据的一致性，防止信息被非授权修改。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5）可审计：系统具备日志跟踪与分析功能，提供访问、修改、删除等的用户操作日志，提供丰富的查询方式，对事件进行分析，并能提供预警信息,供追溯和追责。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6）隐私保护和数据安全</w:t>
            </w:r>
          </w:p>
          <w:p>
            <w:pPr>
              <w:pStyle w:val="null3"/>
              <w:ind w:firstLine="480"/>
              <w:jc w:val="both"/>
            </w:pPr>
            <w:r>
              <w:rPr>
                <w:rFonts w:ascii="仿宋_GB2312" w:hAnsi="仿宋_GB2312" w:cs="仿宋_GB2312" w:eastAsia="仿宋_GB2312"/>
                <w:sz w:val="24"/>
              </w:rPr>
              <w:t>本项目建设过程中，项目承建方不可避免的会接触到一部分含有隐私内容的数据，要求在项目承建方法律层面承担相应的保密责任。承建方需从数据采集、处理、加载、发布等各个环节设计和执行严格的隐私保护和和数据安全保障体系，签订安全保密协议，确保不会因为个人主观和操作失误等因素导致隐私泄露和数据外流，否则将承担相应的法律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7）根据学校网络安全的总体要求，业务系统操作系统不再允许使用CentOS 及Linux不再维护的相关衍生版本。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8）须支持国产CPU、国产操作系统、国产应用中间件及国产数据库等完成良好适配并出具相关证明，配合学校完成适配工作。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9）系统实现https安全传输协议，系统支持SSL证书，兼容TLSv1.2以上版本。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10）隐私保护和数据安全</w:t>
            </w:r>
          </w:p>
          <w:p>
            <w:pPr>
              <w:pStyle w:val="null3"/>
              <w:ind w:firstLine="480"/>
              <w:jc w:val="both"/>
            </w:pPr>
            <w:r>
              <w:rPr>
                <w:rFonts w:ascii="仿宋_GB2312" w:hAnsi="仿宋_GB2312" w:cs="仿宋_GB2312" w:eastAsia="仿宋_GB2312"/>
                <w:sz w:val="24"/>
              </w:rPr>
              <w:t>系统具有数据访问日志和数据审计策略，系统日志加密存储须留存</w:t>
            </w:r>
            <w:r>
              <w:rPr>
                <w:rFonts w:ascii="仿宋_GB2312" w:hAnsi="仿宋_GB2312" w:cs="仿宋_GB2312" w:eastAsia="仿宋_GB2312"/>
                <w:sz w:val="24"/>
              </w:rPr>
              <w:t>6个月以上，支持追溯与导出。</w:t>
            </w:r>
          </w:p>
          <w:p>
            <w:pPr>
              <w:pStyle w:val="null3"/>
            </w:pPr>
            <w:r>
              <w:rPr>
                <w:rFonts w:ascii="仿宋_GB2312" w:hAnsi="仿宋_GB2312" w:cs="仿宋_GB2312" w:eastAsia="仿宋_GB2312"/>
                <w:sz w:val="24"/>
              </w:rPr>
              <w:t>（</w:t>
            </w:r>
            <w:r>
              <w:rPr>
                <w:rFonts w:ascii="仿宋_GB2312" w:hAnsi="仿宋_GB2312" w:cs="仿宋_GB2312" w:eastAsia="仿宋_GB2312"/>
                <w:sz w:val="24"/>
              </w:rPr>
              <w:t>11）供应商应确保系统运行环境的安全运维和防护。系统解决方案需符合信息安全标准，符合学校信息安全管理要求，一旦出现安全问题或隐患，供应商无条件在8小时内到位解决，应对系统安全负责，及时修复安全漏洞，不得另行收费。（提供书面承诺函，并加盖供应商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自合同签订之日起30日历天内完成交付、安装及调试，进入试运行期。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西安外国语大学长安校区日本文化经济学院，SD205实验室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涉及的商品包装和快递包装，均应符合《商品包装政府采购需求标准（试行）》《快递包装政府采购需求标准（试行）》的要求，包装应适应于远距离运输、防潮、防震、防锈和防野蛮装卸，以确保货物安全无损运抵指定地点。 （二）包装和运输要求 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 （三）保险要求 1.风险承担 在货物运抵采购人指定地点并经开箱验收合格前，货物毁损、灭失的风险由中标人承担。中标人应采取必要的防护措施，确保货物在运输、装卸及仓储过程中的安全。 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3.索赔与理赔 若在运输或保管过程中发生保险范围内的损失，中标人应负责立即向保险公司索赔。若因中标人未及时投保、投保金额不足或未正确填写被保险人，导致采购人无法获得足额赔偿的，由中标人承担全部赔偿责任。 （四）供货安装要求 中标人应按照合同约定、采购文件及投标（响应）文件的承诺，向采购人提供完整的货物、技术资料（包括但不限于产品说明书、合格证、保修卡、安装图纸、操作手册等）、专用工具及备品备件。 1.现场条件确认 中标人在安装前，应与采购人共同勘查现场，确认水、电、场地等基础条件满足安装要求。 2.安装人员资质 中标人应派具备相应技术能力的人员进行安装。如设备属于国家规定的特种设备，安装人员须持有国家规定从业资格（如特种设备作业、电工、焊工等强制性证书）。 安装人员在施工期间应遵守采购人现场管理规定，佩戴工作证件，做到文明施工、安全施工。 3.安装标准 安装质量应符合国家现行有效的技术标准、行业规范以及制造商规定的安装要求。安装过程中，中标人应采取必要的安全防护措施，设置警示标志。因中标人原因造成的人员伤亡或财产损失，由中标人承担全部责任。 4.调试与试运行 安装完成后，中标人应进行系统调试，确保各项功能、性能指标符合合同约定及投标承诺。试运行期7日，试运行期间，中标人应派技术人员现场跟班保障，及时处理运行中出现的问题。试运行正常后，方可进入正式验收程序。</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16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4.与使用设备相配套的软件3年由中标人负责免费更新升级。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满足政府采购法第二十二条及特殊资格证明材料.docx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具有独立承担民事责任能力的法人、其他组织或自然人，提供营业执照副本/事业单位法人证书副本/非企业专业服务机构执业许可证副本/自然人身份证。</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法定代表人授权书（证明书）.docx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满足政府采购法第二十二条及特殊资格证明材料.docx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 ，否则投标文件按无效处理。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不满足招标文件“3.4商务要求”的，投标无效。</w:t>
            </w:r>
          </w:p>
        </w:tc>
        <w:tc>
          <w:tcPr>
            <w:tcW w:type="dxa" w:w="1661"/>
          </w:tcPr>
          <w:p>
            <w:pPr>
              <w:pStyle w:val="null3"/>
            </w:pPr>
            <w:r>
              <w:rPr>
                <w:rFonts w:ascii="仿宋_GB2312" w:hAnsi="仿宋_GB2312" w:cs="仿宋_GB2312" w:eastAsia="仿宋_GB2312"/>
              </w:rPr>
              <w:t>投标文件封面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不满足招标文件“3.3技术要求”中标注“★”的参数，投标无效。</w:t>
            </w:r>
          </w:p>
        </w:tc>
        <w:tc>
          <w:tcPr>
            <w:tcW w:type="dxa" w:w="1661"/>
          </w:tcPr>
          <w:p>
            <w:pPr>
              <w:pStyle w:val="null3"/>
            </w:pPr>
            <w:r>
              <w:rPr>
                <w:rFonts w:ascii="仿宋_GB2312" w:hAnsi="仿宋_GB2312" w:cs="仿宋_GB2312" w:eastAsia="仿宋_GB2312"/>
              </w:rPr>
              <w:t>技术规格响应偏离表.docx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投标文件封面 投标方案证明材料.docx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“▲”项响应情况</w:t>
            </w:r>
          </w:p>
        </w:tc>
        <w:tc>
          <w:tcPr>
            <w:tcW w:type="dxa" w:w="2492"/>
          </w:tcPr>
          <w:p>
            <w:pPr>
              <w:pStyle w:val="null3"/>
            </w:pPr>
            <w:r>
              <w:rPr>
                <w:rFonts w:ascii="仿宋_GB2312" w:hAnsi="仿宋_GB2312" w:cs="仿宋_GB2312" w:eastAsia="仿宋_GB2312"/>
              </w:rPr>
              <w:t>根据“技术参数与性能指标 一、货物要求”中“▲”项技术参数响应情况赋分。每项参数完全响应得3分（共2项），满分6分。需提供技术参数证明材料，否则视为未响应该项技术参数。参数证明材料包括但不限于测试报告、设备（产品）彩页或设备（产品）说明书或官网、原厂印刷的产品说明书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p>
            <w:pPr>
              <w:pStyle w:val="null3"/>
            </w:pPr>
            <w:r>
              <w:rPr>
                <w:rFonts w:ascii="仿宋_GB2312" w:hAnsi="仿宋_GB2312" w:cs="仿宋_GB2312" w:eastAsia="仿宋_GB2312"/>
              </w:rPr>
              <w:t>货物说明一览表.docx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非“▲”和“★”项响应情况</w:t>
            </w:r>
          </w:p>
        </w:tc>
        <w:tc>
          <w:tcPr>
            <w:tcW w:type="dxa" w:w="2492"/>
          </w:tcPr>
          <w:p>
            <w:pPr>
              <w:pStyle w:val="null3"/>
            </w:pPr>
            <w:r>
              <w:rPr>
                <w:rFonts w:ascii="仿宋_GB2312" w:hAnsi="仿宋_GB2312" w:cs="仿宋_GB2312" w:eastAsia="仿宋_GB2312"/>
              </w:rPr>
              <w:t>根据“技术参数与性能指标 一、货物要求”中非“▲”和“★”参数（以供应商的技术响应偏离表响应情况为准），得分=（供应商满足采购人要求的参数数量/参数总数量（共70项））×15分，满分15分。得分保留小数点后两位数，小数点后第三位四舍五入。</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p>
            <w:pPr>
              <w:pStyle w:val="null3"/>
            </w:pPr>
            <w:r>
              <w:rPr>
                <w:rFonts w:ascii="仿宋_GB2312" w:hAnsi="仿宋_GB2312" w:cs="仿宋_GB2312" w:eastAsia="仿宋_GB2312"/>
              </w:rPr>
              <w:t>货物说明一览表.docx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正偏离 指标</w:t>
            </w:r>
          </w:p>
        </w:tc>
        <w:tc>
          <w:tcPr>
            <w:tcW w:type="dxa" w:w="2492"/>
          </w:tcPr>
          <w:p>
            <w:pPr>
              <w:pStyle w:val="null3"/>
            </w:pPr>
            <w:r>
              <w:rPr>
                <w:rFonts w:ascii="仿宋_GB2312" w:hAnsi="仿宋_GB2312" w:cs="仿宋_GB2312" w:eastAsia="仿宋_GB2312"/>
              </w:rPr>
              <w:t>“区域智能感知及分析平台”按参数正偏离评价： 1.(1)系统采集的数据源包括主要国家和地区的社交平台、新闻媒体网站、论坛等，其中社交平台信源≥5种。每增加1种加1分，最多不超过1分；论坛采集包括Reddit、PTT、Discuss、Uwants等≥4个，每增加1个加1分，最多不超过2分。 2.(4)系统需支持对全球热点事件的自动识别预警,包括自然灾害、违法犯罪、飞机事故、演讲会议、维权事件、游行集会、军事冲突、化学污染等热点事件分类类别≥10种。每正偏离1种加1分，最多不超过3分。需提供产品截图等证明材料。 3.(10)系统需满足存量贴文数据≥120亿。每正偏离5亿加1分，最多不超过2分。需提供产品截图等证明材料。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系统集成及安全保障方案</w:t>
            </w:r>
          </w:p>
        </w:tc>
        <w:tc>
          <w:tcPr>
            <w:tcW w:type="dxa" w:w="2492"/>
          </w:tcPr>
          <w:p>
            <w:pPr>
              <w:pStyle w:val="null3"/>
            </w:pPr>
            <w:r>
              <w:rPr>
                <w:rFonts w:ascii="仿宋_GB2312" w:hAnsi="仿宋_GB2312" w:cs="仿宋_GB2312" w:eastAsia="仿宋_GB2312"/>
              </w:rPr>
              <w:t>一、评审内容 根据本“技术参数与性能指标 二、系统集成及安全要求”，制定系统集成及安全保障方案。 二、评审标准 1、完整性：方案必须全面，对评审内容中的各项要求有详细描述； 2、可实施性：切合本项目实际情况，提出步骤清晰、合理的方案； 3、针对性：方案能够紧扣项目实际情况， 内容科学合理。 三、赋分标准（满分 3分） 每完全满足一个评审标准得1分，存在瑕疵得0.5分，未提供方案或方案存在重大缺陷得0分，满分3分；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根据本项目实际需求及特点，制定项目组织实施方案，包括①项目组织安排、②人员配备（项目组成员应具备研发、技术、项目实施、运行维护、培训能力）。 二、评审标准 1、完整性：方案必须全面，对评审内容中的各项要求有详细描述； 2、可实施性：切合本项目实际情况，提出步骤清晰、合理的方案； 3、针对性：方案能够紧扣项目实际情况， 内容科学合理。 三、赋分标准（满分 3分） ①项目组织安排：每完全满足一个评审标准得0.5分，存在瑕疵得0.25分，未提供方案或方案存在重大缺陷得0分，满分1.5分； ②人员配备:每完全满足一个评审标准得0.5分，存在瑕疵得0.25分，未提供方案或方案存在重大缺陷得0分，满分1.5分。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供货进度计划</w:t>
            </w:r>
          </w:p>
        </w:tc>
        <w:tc>
          <w:tcPr>
            <w:tcW w:type="dxa" w:w="2492"/>
          </w:tcPr>
          <w:p>
            <w:pPr>
              <w:pStyle w:val="null3"/>
            </w:pPr>
            <w:r>
              <w:rPr>
                <w:rFonts w:ascii="仿宋_GB2312" w:hAnsi="仿宋_GB2312" w:cs="仿宋_GB2312" w:eastAsia="仿宋_GB2312"/>
              </w:rPr>
              <w:t>一、评审内容 根据本项目实际需求及特点，制定供货进度计划。 二、评审标准 1、完整性：方案必须全面，对评审内容中的各项要求有详细描述； 2、可实施性：切合本项目实际情况，提出步骤清晰、合理的方案； 3、针对性：方案能够紧扣项目实际情况， 内容科学合理。 三、赋分标准（满分 3分） 每完全满足一个评审标准得1分，存在瑕疵得0.5分，未提供方案或方案存在重大缺陷得0分，满分3分；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一、评审内容 根据本项目实际需求及特点，制定安装调试及验收方案。 二、评审标准 1、完整性：方案必须全面，对评审内容中的各项要求有详细描述； 2、可实施性：切合本项目实际情况，提出步骤清晰、合理的方案。 三、赋分标准（满分 2分） 每完全满足一个评审标准得1分，存在瑕疵得0.5分，未提供方案或方案存在重大缺陷得0分，满分2分；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根据项目实际需要，提供应平台应急响应方案。 二、评审标准 1、完整性：方案必须全面，对评审内容中的各项要求有详细描述； 2、可实施性：切合本项目实际情况，提出步骤清晰、合理的方案； 3、及时性：能够快速响应，解决问题。 三、赋分标准（满分3分） 每完全满足一个评审标准得1分，存在瑕疵得0.5分，未提供方案或方案存在重大缺陷得0分，满分3分；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1.项目经理具有信息系统项目管理师或PMP证书（提供证书复印件和项目经理简历），1分 2.ISO20000认证，满分2分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产品功能演示</w:t>
            </w:r>
          </w:p>
        </w:tc>
        <w:tc>
          <w:tcPr>
            <w:tcW w:type="dxa" w:w="2492"/>
          </w:tcPr>
          <w:p>
            <w:pPr>
              <w:pStyle w:val="null3"/>
            </w:pPr>
            <w:r>
              <w:rPr>
                <w:rFonts w:ascii="仿宋_GB2312" w:hAnsi="仿宋_GB2312" w:cs="仿宋_GB2312" w:eastAsia="仿宋_GB2312"/>
              </w:rPr>
              <w:t>“区域智能感知及分析平台”进行现场演示（共9项）， 一、演示内容及评分标准： 1.“（一）业务目标定向监测追踪功能”，完全演示得1分，否则得0分。 2.“（三）专题分析功能”，完全演示得1分，否则得0分。 3.“（四）事件推演功能”，完全演示得1分，否则得0分。 4.“（五）溯源分析功能”，完全演示得1分，否则得0分。 5.“（八）AI制报功能”，完全演示得1分，否则得0分。 6.“（1）系统采集的数据源包括主要国家和地区的社交平台、新闻媒体网站、论坛等，其中社交平台信源≥5种。新闻媒体网站支持按照板块和全站进行采集，站点及板块≥3000个。论坛采集包括Reddit、PTT、Discuss、Uwants等≥4个。全球梳理≥1500个业务关注的重点账号”，完全演示得2分，否则得0分。 7.“（2）系统需支持根据重点业务工作方向开展专题监测，支出≥10个专题板块建设”，完全演示得2分，否则得0分。 8.“（9）系统需支持宏观预警、波动预警、极值预警等≥三种预警模型，模型预警信息≥3级分级推送”，完全演示得1分，否则得0分。 9.“（12）系统需支持≥20组社交账号目标节点进行图谱探索”，完全演示得1分，否则得0分。 二、演示要求 演示要求： ①演示时长不超过15分钟（评审委员会咨询时间除外） 。 ②演示载体：腾讯会议，会议号演示前通知。 ③说明：功能演示要求采用所投真实产品演示，不接受PPT、截图、Word、PDF演示方式，不演示或演示方式不正确、演示内容与招标文件要求不符，对应此项不得分。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在满足招标文件质保期的基础上，每延长一年得0.5分，最多得1分，不延长得0分。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提供1份（任意产品）得0.5分</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供应商取得本项目相关的知识产权证明，每提供一项和本项目相关的专利或软件著作权证书得0.25分，满分1.5分。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根据项目实际需要，制定与本次采购产品相配套的培训方案。 二、评审标准 1、完整性：方案必须全面，对评审内容中的各项要求有详细描 述； 2、可实施性：切合本项目实际情况，提出步骤清晰、合理的方案； 3、针对性：方案能够紧扣项目实际情况， 内容科学合理。 三、赋分标准（满分1.5分） 每完全满足一个评审标准得0.5分，存在瑕疵得0.25分，未提供方案或方案存在重大缺陷得0分，满分1.5分；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根据项目实际需求，提供针对本项目的售后服务方案，方案内容包含①售后服务范围及保障措施②响应时间③故障处理及补救措施。 二、评审标准 1、完整性：方案必须全面，对评审内容中的各项要求有详细描述； 2、可实施性：切合本项目实际情况，提出步骤清晰、合理的方案； 3、针对性：方案能够紧扣项目实际情况， 内容科学合理。 三、赋分标准（满分4.5分） ①售后服务范围及保障措施：每完全满足一个评审标准得0.5分，存在瑕疵得0.25分，未提供方案或方案存在重大缺陷得0分，满分1.5分； ②响应时间:每完全满足一个评审标准得0.5分，存在瑕疵得0.25分，未提供方案或方案存在重大缺陷得0分，满分1.5分； ③故障处理及补救措施:每完全满足一个评审标准得0.5分，存在瑕疵得0.25分，未提供方案或方案存在重大缺陷得0分，满分1.5分。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2022年1月1日至今同类项目合同扫描件（以合同签订日期为准），扫描件必须清晰体现签约主体和日期、项目名称及内容、合同金额等核心要素，否则不计为有效业绩。每提供1个有效业绩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评分方法：P=30*Pmin/Pn 其中：Pmin：合格投标单位投标报价中的最低价。Pn：第n个合格投标单位的投标报价。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评审内容：小型、微型企业，监狱企业，残疾人福利性单位。 适用情形：投标人或联合体成员均为小型、微型企业。 扣除比例：10%。 具体标准：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货物说明一览表.docx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详见附件：满足政府采购法第二十二条及特殊资格证明材料.docx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详见附件：投标方案证明材料.docx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详见附件：法定代表人授权书（证明书）.docx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