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版本号：华春（2026）HCDZ004220260617001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周至县人民医院电生理导航系统购置项目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华春（2026）HCDZ0042</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周至县人民医院电生理导航系统购置项目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华春（2026）HCDZ0042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周至县人民医院电生理导航系统购置项目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电生理导航系统购置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2023、2024、2025任意一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供2025年5月（含5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供2025年5月（含5月）以后任意时间段内的纳税证明或完税证明（时间以税款所属时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5、无重大违法记录声明：参加本次采购活动前3年内在经营活动中没有重大违法记录，以及未被列入失信被执行人、重大税收违法案件当事人名单的书面声明。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6、具有履行合同所必需的设备和专业技术能力：具有履行合同所必需的设备和专业技术能力的承诺。</w:t>
      </w:r>
    </w:p>
    <w:p>
      <w:pPr>
        <w:pStyle w:val="null3"/>
      </w:pPr>
      <w:r>
        <w:rPr>
          <w:rFonts w:ascii="仿宋_GB2312" w:hAnsi="仿宋_GB2312" w:cs="仿宋_GB2312" w:eastAsia="仿宋_GB2312"/>
        </w:rPr>
        <w:t>7、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8、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9、特定资格1：供应商所投产品属于医疗器械的，须提供所投产品的医疗器械注册证或备案凭证（所投产品须在其经营范围内）；所投产品为进口的须提供进口医疗器械进字号注册证。</w:t>
      </w:r>
    </w:p>
    <w:p>
      <w:pPr>
        <w:pStyle w:val="null3"/>
      </w:pPr>
      <w:r>
        <w:rPr>
          <w:rFonts w:ascii="仿宋_GB2312" w:hAnsi="仿宋_GB2312" w:cs="仿宋_GB2312" w:eastAsia="仿宋_GB2312"/>
        </w:rPr>
        <w:t>10、特定资格2：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w:t>
      </w:r>
    </w:p>
    <w:p>
      <w:pPr>
        <w:pStyle w:val="null3"/>
      </w:pPr>
      <w:r>
        <w:rPr>
          <w:rFonts w:ascii="仿宋_GB2312" w:hAnsi="仿宋_GB2312" w:cs="仿宋_GB2312" w:eastAsia="仿宋_GB2312"/>
        </w:rPr>
        <w:t>11、非联合体投标书面声明：本项目不接受联合体投标，提供非联合体声明。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陕西省西安市碑林区西安市碑林区南二环西段21号华融国际商务大厦A座-22楼E户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15353635722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代理服务费收费标准：招标代理服务费收取参照国家计委颁布的《招标代理服务收费管理暂行办法》（计价格[2002]1980 号）和（发改办价格[2003]857 号）货物类收费标准。按照中标金额差额定率累进法计算。中标单位在领取中标通知书前，须向采购代理机构一次性支付招标代理服务费；代理服务费以转账、电汇或现金等形式缴纳。 采购代理机构开户名称：华春建设工程项目管理有限责任公司 开户行名称：中国银行股份有限公司西安南二环支行 账 号：1028 0733 6850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联系人：姜工</w:t>
      </w:r>
    </w:p>
    <w:p>
      <w:pPr>
        <w:pStyle w:val="null3"/>
      </w:pPr>
      <w:r>
        <w:rPr>
          <w:rFonts w:ascii="仿宋_GB2312" w:hAnsi="仿宋_GB2312" w:cs="仿宋_GB2312" w:eastAsia="仿宋_GB2312"/>
        </w:rPr>
        <w:t>联系电话：15353635722</w:t>
      </w:r>
    </w:p>
    <w:p>
      <w:pPr>
        <w:pStyle w:val="null3"/>
      </w:pPr>
      <w:r>
        <w:rPr>
          <w:rFonts w:ascii="仿宋_GB2312" w:hAnsi="仿宋_GB2312" w:cs="仿宋_GB2312" w:eastAsia="仿宋_GB2312"/>
        </w:rPr>
        <w:t>地址：陕西省西安市碑林区华融国际大厦A座22楼E户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电生理导航系统购置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1,216,000.00</w:t>
      </w:r>
    </w:p>
    <w:p>
      <w:pPr>
        <w:pStyle w:val="null3"/>
      </w:pPr>
      <w:r>
        <w:rPr>
          <w:rFonts w:ascii="仿宋_GB2312" w:hAnsi="仿宋_GB2312" w:cs="仿宋_GB2312" w:eastAsia="仿宋_GB2312"/>
        </w:rPr>
        <w:t>采购包最高限价（元）: 1,216,000.00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电生理导航系统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标的名称：电生理导航系统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60"/>
              <w:jc w:val="center"/>
            </w:pPr>
            <w:r>
              <w:rPr>
                <w:rFonts w:ascii="仿宋_GB2312" w:hAnsi="仿宋_GB2312" w:cs="仿宋_GB2312" w:eastAsia="仿宋_GB2312"/>
                <w:sz w:val="21"/>
              </w:rPr>
              <w:t>电生理导航系统购置项目设备清单</w:t>
            </w:r>
          </w:p>
          <w:tbl>
            <w:tblPr>
              <w:tblBorders>
                <w:top w:val="none" w:color="000000" w:sz="4"/>
                <w:left w:val="none" w:color="000000" w:sz="4"/>
                <w:bottom w:val="none" w:color="000000" w:sz="4"/>
                <w:right w:val="none" w:color="000000" w:sz="4"/>
                <w:insideH w:val="none"/>
                <w:insideV w:val="none"/>
              </w:tblBorders>
            </w:tblPr>
            <w:tblGrid>
              <w:gridCol w:w="218"/>
              <w:gridCol w:w="847"/>
              <w:gridCol w:w="405"/>
              <w:gridCol w:w="292"/>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8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设备名称</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8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电生理导航系统</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spacing w:before="345" w:after="330"/>
              <w:jc w:val="both"/>
              <w:outlineLvl w:val="0"/>
            </w:pPr>
            <w:r>
              <w:rPr>
                <w:rFonts w:ascii="仿宋_GB2312" w:hAnsi="仿宋_GB2312" w:cs="仿宋_GB2312" w:eastAsia="仿宋_GB2312"/>
                <w:sz w:val="21"/>
                <w:b/>
              </w:rPr>
              <w:t>一、商务参数</w:t>
            </w:r>
          </w:p>
          <w:p>
            <w:pPr>
              <w:pStyle w:val="null3"/>
              <w:numPr>
                <w:ilvl w:val="0"/>
                <w:numId w:val="1"/>
              </w:numPr>
              <w:ind w:left="465"/>
            </w:pPr>
            <w:r>
              <w:rPr>
                <w:rFonts w:ascii="仿宋_GB2312" w:hAnsi="仿宋_GB2312" w:cs="仿宋_GB2312" w:eastAsia="仿宋_GB2312"/>
                <w:sz w:val="21"/>
              </w:rPr>
              <w:t>供应商负责项目内所有设备原厂三年质保</w:t>
            </w:r>
            <w:r>
              <w:rPr>
                <w:rFonts w:ascii="仿宋_GB2312" w:hAnsi="仿宋_GB2312" w:cs="仿宋_GB2312" w:eastAsia="仿宋_GB2312"/>
                <w:sz w:val="21"/>
              </w:rPr>
              <w:t>（费用包含在投标总价内）</w:t>
            </w:r>
            <w:r>
              <w:rPr>
                <w:rFonts w:ascii="仿宋_GB2312" w:hAnsi="仿宋_GB2312" w:cs="仿宋_GB2312" w:eastAsia="仿宋_GB2312"/>
                <w:sz w:val="21"/>
              </w:rPr>
              <w:t>；</w:t>
            </w:r>
          </w:p>
          <w:p>
            <w:pPr>
              <w:pStyle w:val="null3"/>
              <w:numPr>
                <w:ilvl w:val="0"/>
                <w:numId w:val="1"/>
              </w:numPr>
              <w:ind w:left="465"/>
            </w:pPr>
            <w:r>
              <w:rPr>
                <w:rFonts w:ascii="仿宋_GB2312" w:hAnsi="仿宋_GB2312" w:cs="仿宋_GB2312" w:eastAsia="仿宋_GB2312"/>
                <w:sz w:val="21"/>
              </w:rPr>
              <w:t>承担与医院相关接口对接的费用（费用包含在投标总价内）。</w:t>
            </w:r>
          </w:p>
          <w:p>
            <w:pPr>
              <w:pStyle w:val="null3"/>
              <w:spacing w:before="345" w:after="330"/>
              <w:jc w:val="both"/>
              <w:outlineLvl w:val="0"/>
            </w:pPr>
            <w:r>
              <w:rPr>
                <w:rFonts w:ascii="仿宋_GB2312" w:hAnsi="仿宋_GB2312" w:cs="仿宋_GB2312" w:eastAsia="仿宋_GB2312"/>
                <w:sz w:val="21"/>
                <w:b/>
              </w:rPr>
              <w:t>二、技术参数</w:t>
            </w:r>
          </w:p>
          <w:p>
            <w:pPr>
              <w:pStyle w:val="null3"/>
              <w:jc w:val="both"/>
            </w:pPr>
            <w:r>
              <w:rPr>
                <w:rFonts w:ascii="仿宋_GB2312" w:hAnsi="仿宋_GB2312" w:cs="仿宋_GB2312" w:eastAsia="仿宋_GB2312"/>
                <w:sz w:val="21"/>
              </w:rPr>
              <w:t>（一）设备用途：</w:t>
            </w:r>
          </w:p>
          <w:p>
            <w:pPr>
              <w:pStyle w:val="null3"/>
              <w:jc w:val="both"/>
            </w:pPr>
            <w:r>
              <w:rPr>
                <w:rFonts w:ascii="仿宋_GB2312" w:hAnsi="仿宋_GB2312" w:cs="仿宋_GB2312" w:eastAsia="仿宋_GB2312"/>
                <w:sz w:val="21"/>
              </w:rPr>
              <w:t>主要用于各种心律失常，至少包括以下适应症：房扑、房速、室速、各类旁道、房室结折返性心动过速、阵发性/持续性房颤</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设备注册使用年限≥7年。</w:t>
            </w:r>
          </w:p>
          <w:p>
            <w:pPr>
              <w:pStyle w:val="null3"/>
              <w:jc w:val="both"/>
            </w:pPr>
            <w:r>
              <w:rPr>
                <w:rFonts w:ascii="仿宋_GB2312" w:hAnsi="仿宋_GB2312" w:cs="仿宋_GB2312" w:eastAsia="仿宋_GB2312"/>
                <w:sz w:val="21"/>
              </w:rPr>
              <w:t>1、系统软件功能：</w:t>
            </w:r>
            <w:r>
              <w:rPr>
                <w:rFonts w:ascii="仿宋_GB2312" w:hAnsi="仿宋_GB2312" w:cs="仿宋_GB2312" w:eastAsia="仿宋_GB2312"/>
                <w:sz w:val="21"/>
              </w:rPr>
              <w:t>至少包括激动图、解剖图、电压图、网图、等时图、阻抗图软件、高精密度标测模块、压力监测模块、消融点数据实时标记模块、室速自动起搏标测模块、距离/面积测量工具等</w:t>
            </w:r>
            <w:r>
              <w:br/>
            </w:r>
            <w:r>
              <w:rPr>
                <w:rFonts w:ascii="仿宋_GB2312" w:hAnsi="仿宋_GB2312" w:cs="仿宋_GB2312" w:eastAsia="仿宋_GB2312"/>
                <w:sz w:val="21"/>
              </w:rPr>
              <w:t xml:space="preserve"> 2、主要功能及参数：</w:t>
            </w:r>
            <w:r>
              <w:br/>
            </w:r>
            <w:r>
              <w:rPr>
                <w:rFonts w:ascii="仿宋_GB2312" w:hAnsi="仿宋_GB2312" w:cs="仿宋_GB2312" w:eastAsia="仿宋_GB2312"/>
                <w:sz w:val="21"/>
              </w:rPr>
              <w:t xml:space="preserve"> 2.1采用磁场和电场混合定位原理。</w:t>
            </w:r>
            <w:r>
              <w:br/>
            </w:r>
            <w:r>
              <w:rPr>
                <w:rFonts w:ascii="仿宋_GB2312" w:hAnsi="仿宋_GB2312" w:cs="仿宋_GB2312" w:eastAsia="仿宋_GB2312"/>
                <w:sz w:val="21"/>
              </w:rPr>
              <w:t xml:space="preserve"> 2.1.1磁场定位系统：（1）磁场强度调节范围0.005mT-0.02mT(距磁场发生器25cm)；（2）磁场频率：2kHz-2.6kHz;（3）磁场定位误差≤1mm；（4）具备抗干扰能力；（5）导管可沿心脏边缘创建心脏解剖图，不需要逐个取点。</w:t>
            </w:r>
            <w:r>
              <w:br/>
            </w:r>
            <w:r>
              <w:rPr>
                <w:rFonts w:ascii="仿宋_GB2312" w:hAnsi="仿宋_GB2312" w:cs="仿宋_GB2312" w:eastAsia="仿宋_GB2312"/>
                <w:sz w:val="21"/>
              </w:rPr>
              <w:t xml:space="preserve"> 2.1.2电场标测导管：（1）可实现≥2个导管可视化；（2）可以实现头端和弯型的可视化，可明确导管定位。</w:t>
            </w:r>
            <w:r>
              <w:br/>
            </w:r>
            <w:r>
              <w:rPr>
                <w:rFonts w:ascii="仿宋_GB2312" w:hAnsi="仿宋_GB2312" w:cs="仿宋_GB2312" w:eastAsia="仿宋_GB2312"/>
                <w:sz w:val="21"/>
              </w:rPr>
              <w:t xml:space="preserve"> 2.2系统平台软件系统具备良好的拓展和兼容性。</w:t>
            </w:r>
            <w:r>
              <w:br/>
            </w:r>
            <w:r>
              <w:rPr>
                <w:rFonts w:ascii="仿宋_GB2312" w:hAnsi="仿宋_GB2312" w:cs="仿宋_GB2312" w:eastAsia="仿宋_GB2312"/>
                <w:sz w:val="21"/>
              </w:rPr>
              <w:t xml:space="preserve"> 2.3定位板具有≥8个磁线圈，≥3个参考电极。</w:t>
            </w:r>
            <w:r>
              <w:br/>
            </w:r>
            <w:r>
              <w:rPr>
                <w:rFonts w:ascii="仿宋_GB2312" w:hAnsi="仿宋_GB2312" w:cs="仿宋_GB2312" w:eastAsia="仿宋_GB2312"/>
                <w:sz w:val="21"/>
              </w:rPr>
              <w:t xml:space="preserve"> 2.4≥24英寸液晶显示器4台(2台实时屏，2台回顾屏)，分辨率≥1280*1024。</w:t>
            </w:r>
            <w:r>
              <w:br/>
            </w:r>
            <w:r>
              <w:rPr>
                <w:rFonts w:ascii="仿宋_GB2312" w:hAnsi="仿宋_GB2312" w:cs="仿宋_GB2312" w:eastAsia="仿宋_GB2312"/>
                <w:sz w:val="21"/>
              </w:rPr>
              <w:t xml:space="preserve"> 2.5具有心内导管显示功能，可显示≥80个电极。</w:t>
            </w:r>
            <w:r>
              <w:br/>
            </w:r>
            <w:r>
              <w:rPr>
                <w:rFonts w:ascii="仿宋_GB2312" w:hAnsi="仿宋_GB2312" w:cs="仿宋_GB2312" w:eastAsia="仿宋_GB2312"/>
                <w:sz w:val="21"/>
              </w:rPr>
              <w:t xml:space="preserve"> 2.6具有快速补点功能。</w:t>
            </w:r>
            <w:r>
              <w:br/>
            </w:r>
            <w:r>
              <w:rPr>
                <w:rFonts w:ascii="仿宋_GB2312" w:hAnsi="仿宋_GB2312" w:cs="仿宋_GB2312" w:eastAsia="仿宋_GB2312"/>
                <w:sz w:val="21"/>
              </w:rPr>
              <w:t xml:space="preserve"> 2.7具有影像化快速建模功能，能快速建立心脏三维模型，重建精度≤0.3mm，重建时间≤10s。</w:t>
            </w:r>
            <w:r>
              <w:br/>
            </w:r>
            <w:r>
              <w:rPr>
                <w:rFonts w:ascii="仿宋_GB2312" w:hAnsi="仿宋_GB2312" w:cs="仿宋_GB2312" w:eastAsia="仿宋_GB2312"/>
                <w:sz w:val="21"/>
              </w:rPr>
              <w:t xml:space="preserve"> 2.8具有导管接触力显示功能(显示导管和心脏接触的力度)。</w:t>
            </w:r>
            <w:r>
              <w:br/>
            </w:r>
            <w:r>
              <w:rPr>
                <w:rFonts w:ascii="仿宋_GB2312" w:hAnsi="仿宋_GB2312" w:cs="仿宋_GB2312" w:eastAsia="仿宋_GB2312"/>
                <w:sz w:val="21"/>
              </w:rPr>
              <w:t xml:space="preserve"> 2.9开机即可工作，无需购买额外的密码钥匙开启相关导管的定位功能，且相关导管的定位功能时效性≥20小时，不受断电、系统重启等外界因素的影响而失效。</w:t>
            </w:r>
            <w:r>
              <w:br/>
            </w:r>
            <w:r>
              <w:rPr>
                <w:rFonts w:ascii="仿宋_GB2312" w:hAnsi="仿宋_GB2312" w:cs="仿宋_GB2312" w:eastAsia="仿宋_GB2312"/>
                <w:sz w:val="21"/>
              </w:rPr>
              <w:t xml:space="preserve"> 2.10可自动实时保存手术过程中采集的信息。</w:t>
            </w:r>
            <w:r>
              <w:br/>
            </w:r>
            <w:r>
              <w:rPr>
                <w:rFonts w:ascii="仿宋_GB2312" w:hAnsi="仿宋_GB2312" w:cs="仿宋_GB2312" w:eastAsia="仿宋_GB2312"/>
                <w:sz w:val="21"/>
              </w:rPr>
              <w:t xml:space="preserve"> 2.11具备回收站功能，可恢复所有误操作丢失的信息。</w:t>
            </w:r>
            <w:r>
              <w:br/>
            </w:r>
            <w:r>
              <w:rPr>
                <w:rFonts w:ascii="仿宋_GB2312" w:hAnsi="仿宋_GB2312" w:cs="仿宋_GB2312" w:eastAsia="仿宋_GB2312"/>
                <w:sz w:val="21"/>
              </w:rPr>
              <w:t xml:space="preserve"> 2.12具有心跳回溯功能，能够记录一个心动周期之前≥10个心跳的心电活动信息。</w:t>
            </w:r>
          </w:p>
          <w:p>
            <w:pPr>
              <w:pStyle w:val="null3"/>
              <w:jc w:val="both"/>
            </w:pPr>
            <w:r>
              <w:rPr>
                <w:rFonts w:ascii="仿宋_GB2312" w:hAnsi="仿宋_GB2312" w:cs="仿宋_GB2312" w:eastAsia="仿宋_GB2312"/>
                <w:sz w:val="21"/>
              </w:rPr>
              <w:t>★2.13一次采集≥8种心电信息：包括但不限于可同时获得空间、解剖、激动顺序，电传导、单极电压、等时图、双极电压、阻抗、网图等。</w:t>
            </w:r>
          </w:p>
          <w:p>
            <w:pPr>
              <w:pStyle w:val="null3"/>
              <w:jc w:val="both"/>
            </w:pPr>
            <w:r>
              <w:rPr>
                <w:rFonts w:ascii="仿宋_GB2312" w:hAnsi="仿宋_GB2312" w:cs="仿宋_GB2312" w:eastAsia="仿宋_GB2312"/>
                <w:sz w:val="21"/>
              </w:rPr>
              <w:t>2.14提供三维电解剖图，立体彩色显示心脏的解剖结构和位置，并可以做解剖标记。</w:t>
            </w:r>
            <w:r>
              <w:br/>
            </w:r>
            <w:r>
              <w:rPr>
                <w:rFonts w:ascii="仿宋_GB2312" w:hAnsi="仿宋_GB2312" w:cs="仿宋_GB2312" w:eastAsia="仿宋_GB2312"/>
                <w:sz w:val="21"/>
              </w:rPr>
              <w:t xml:space="preserve"> 2.15提供三维电激动图，不同颜色实时显示心脏的激动传导顺序。可根据需要选择单个或多个心腔进行标测，提供整体的激动信息。</w:t>
            </w:r>
            <w:r>
              <w:br/>
            </w:r>
            <w:r>
              <w:rPr>
                <w:rFonts w:ascii="仿宋_GB2312" w:hAnsi="仿宋_GB2312" w:cs="仿宋_GB2312" w:eastAsia="仿宋_GB2312"/>
                <w:sz w:val="21"/>
              </w:rPr>
              <w:t xml:space="preserve"> 2.16提供三维电传导图，立体动态显示心脏电激动传导速度和路径。</w:t>
            </w:r>
            <w:r>
              <w:br/>
            </w:r>
            <w:r>
              <w:rPr>
                <w:rFonts w:ascii="仿宋_GB2312" w:hAnsi="仿宋_GB2312" w:cs="仿宋_GB2312" w:eastAsia="仿宋_GB2312"/>
                <w:sz w:val="21"/>
              </w:rPr>
              <w:t xml:space="preserve"> 2.17提供三维电压图，能直观显示心肌疤痕区域、低电压区域和正常心肌组织，相关疤痕。</w:t>
            </w:r>
            <w:r>
              <w:br/>
            </w:r>
            <w:r>
              <w:rPr>
                <w:rFonts w:ascii="仿宋_GB2312" w:hAnsi="仿宋_GB2312" w:cs="仿宋_GB2312" w:eastAsia="仿宋_GB2312"/>
                <w:sz w:val="21"/>
              </w:rPr>
              <w:t xml:space="preserve"> 2.18提供三维电阻抗图，根据不同的颜色来精确定义肺静脉和其他管腔开口，评价消融效果。</w:t>
            </w:r>
            <w:r>
              <w:br/>
            </w:r>
            <w:r>
              <w:rPr>
                <w:rFonts w:ascii="仿宋_GB2312" w:hAnsi="仿宋_GB2312" w:cs="仿宋_GB2312" w:eastAsia="仿宋_GB2312"/>
                <w:sz w:val="21"/>
              </w:rPr>
              <w:t xml:space="preserve"> 2.19提供三维网图，并能回放手术取点的整个过程和采点的实际分布。</w:t>
            </w:r>
            <w:r>
              <w:br/>
            </w:r>
            <w:r>
              <w:rPr>
                <w:rFonts w:ascii="仿宋_GB2312" w:hAnsi="仿宋_GB2312" w:cs="仿宋_GB2312" w:eastAsia="仿宋_GB2312"/>
                <w:sz w:val="21"/>
              </w:rPr>
              <w:t xml:space="preserve"> 2.20左右两侧心腔的手术均能实施。</w:t>
            </w:r>
            <w:r>
              <w:br/>
            </w:r>
            <w:r>
              <w:rPr>
                <w:rFonts w:ascii="仿宋_GB2312" w:hAnsi="仿宋_GB2312" w:cs="仿宋_GB2312" w:eastAsia="仿宋_GB2312"/>
                <w:sz w:val="21"/>
              </w:rPr>
              <w:t xml:space="preserve"> 2.21可显示消融点和消融点直接的距离。</w:t>
            </w:r>
            <w:r>
              <w:br/>
            </w:r>
            <w:r>
              <w:rPr>
                <w:rFonts w:ascii="仿宋_GB2312" w:hAnsi="仿宋_GB2312" w:cs="仿宋_GB2312" w:eastAsia="仿宋_GB2312"/>
                <w:sz w:val="21"/>
              </w:rPr>
              <w:t xml:space="preserve"> 2.22具有内窥镜功能。</w:t>
            </w:r>
            <w:r>
              <w:br/>
            </w:r>
            <w:r>
              <w:rPr>
                <w:rFonts w:ascii="仿宋_GB2312" w:hAnsi="仿宋_GB2312" w:cs="仿宋_GB2312" w:eastAsia="仿宋_GB2312"/>
                <w:sz w:val="21"/>
              </w:rPr>
              <w:t xml:space="preserve"> 2.23具有面积测量工具，能够测量消融面积、疤痕组织面积等实用信息。</w:t>
            </w:r>
            <w:r>
              <w:br/>
            </w:r>
            <w:r>
              <w:rPr>
                <w:rFonts w:ascii="仿宋_GB2312" w:hAnsi="仿宋_GB2312" w:cs="仿宋_GB2312" w:eastAsia="仿宋_GB2312"/>
                <w:sz w:val="21"/>
              </w:rPr>
              <w:t xml:space="preserve"> 2.24具有距离测量工具，能够测量肺静脉开口直径、瓣环直径等相关实用信息。</w:t>
            </w:r>
            <w:r>
              <w:br/>
            </w:r>
            <w:r>
              <w:rPr>
                <w:rFonts w:ascii="仿宋_GB2312" w:hAnsi="仿宋_GB2312" w:cs="仿宋_GB2312" w:eastAsia="仿宋_GB2312"/>
                <w:sz w:val="21"/>
              </w:rPr>
              <w:t xml:space="preserve"> ★2.25具有实时压力监测功能，精度≤1g。</w:t>
            </w:r>
            <w:r>
              <w:br/>
            </w:r>
            <w:r>
              <w:rPr>
                <w:rFonts w:ascii="仿宋_GB2312" w:hAnsi="仿宋_GB2312" w:cs="仿宋_GB2312" w:eastAsia="仿宋_GB2312"/>
                <w:sz w:val="21"/>
              </w:rPr>
              <w:t xml:space="preserve"> 2.26具有消融点数据实时标记功能。</w:t>
            </w:r>
            <w:r>
              <w:br/>
            </w:r>
            <w:r>
              <w:rPr>
                <w:rFonts w:ascii="仿宋_GB2312" w:hAnsi="仿宋_GB2312" w:cs="仿宋_GB2312" w:eastAsia="仿宋_GB2312"/>
                <w:sz w:val="21"/>
              </w:rPr>
              <w:t xml:space="preserve"> 2.27具有标测功能。</w:t>
            </w:r>
          </w:p>
          <w:p>
            <w:pPr>
              <w:pStyle w:val="null3"/>
              <w:jc w:val="both"/>
            </w:pPr>
            <w:r>
              <w:rPr>
                <w:rFonts w:ascii="仿宋_GB2312" w:hAnsi="仿宋_GB2312" w:cs="仿宋_GB2312" w:eastAsia="仿宋_GB2312"/>
                <w:sz w:val="21"/>
              </w:rPr>
              <w:t>2.28具有回溯采点记录功能，记录手术全程≥18个小时，可以随时回顾该手术任何时间点的标测过程，并回溯采集当时的导管位置和电信号等信息。</w:t>
            </w:r>
            <w:r>
              <w:br/>
            </w:r>
            <w:r>
              <w:rPr>
                <w:rFonts w:ascii="仿宋_GB2312" w:hAnsi="仿宋_GB2312" w:cs="仿宋_GB2312" w:eastAsia="仿宋_GB2312"/>
                <w:sz w:val="21"/>
              </w:rPr>
              <w:t xml:space="preserve"> ★2.29具有智能超高清密度标测功能，能智能化自动选取符合条件的标测点并自行校准，单根标测导管电极数不小于50颗。</w:t>
            </w:r>
            <w:r>
              <w:br/>
            </w:r>
            <w:r>
              <w:rPr>
                <w:rFonts w:ascii="仿宋_GB2312" w:hAnsi="仿宋_GB2312" w:cs="仿宋_GB2312" w:eastAsia="仿宋_GB2312"/>
                <w:sz w:val="21"/>
              </w:rPr>
              <w:t xml:space="preserve"> 2.30具有动态三维标测模块，在电解剖图上同步动态显示三维激动扩布图和电压标测图，呈现整体激动信息，并记录单个标测点的电位信息。</w:t>
            </w:r>
            <w:r>
              <w:br/>
            </w:r>
            <w:r>
              <w:rPr>
                <w:rFonts w:ascii="仿宋_GB2312" w:hAnsi="仿宋_GB2312" w:cs="仿宋_GB2312" w:eastAsia="仿宋_GB2312"/>
                <w:sz w:val="21"/>
              </w:rPr>
              <w:t xml:space="preserve"> 2.31具有早搏自动匹配模块,具有形态匹配功能，以12导联心电图为参考，自动形态匹配及自动采点功能。</w:t>
            </w:r>
            <w:r>
              <w:br/>
            </w:r>
            <w:r>
              <w:rPr>
                <w:rFonts w:ascii="仿宋_GB2312" w:hAnsi="仿宋_GB2312" w:cs="仿宋_GB2312" w:eastAsia="仿宋_GB2312"/>
                <w:sz w:val="21"/>
              </w:rPr>
              <w:t xml:space="preserve"> 2.32具有度标测颜色模块,采用颜色插值算法</w:t>
            </w:r>
          </w:p>
          <w:p>
            <w:pPr>
              <w:pStyle w:val="null3"/>
              <w:jc w:val="both"/>
            </w:pPr>
            <w:r>
              <w:rPr>
                <w:rFonts w:ascii="仿宋_GB2312" w:hAnsi="仿宋_GB2312" w:cs="仿宋_GB2312" w:eastAsia="仿宋_GB2312"/>
                <w:sz w:val="21"/>
              </w:rPr>
              <w:t>2.33具有鞘管可视化功能，支持可视化鞘显示。</w:t>
            </w:r>
            <w:r>
              <w:br/>
            </w:r>
            <w:r>
              <w:rPr>
                <w:rFonts w:ascii="仿宋_GB2312" w:hAnsi="仿宋_GB2312" w:cs="仿宋_GB2312" w:eastAsia="仿宋_GB2312"/>
                <w:sz w:val="21"/>
              </w:rPr>
              <w:t xml:space="preserve"> 2.34具有透明模式，可分辨与理解心脏三维解剖结构。</w:t>
            </w:r>
            <w:r>
              <w:br/>
            </w:r>
            <w:r>
              <w:rPr>
                <w:rFonts w:ascii="仿宋_GB2312" w:hAnsi="仿宋_GB2312" w:cs="仿宋_GB2312" w:eastAsia="仿宋_GB2312"/>
                <w:sz w:val="21"/>
              </w:rPr>
              <w:t xml:space="preserve"> 2.35提供原厂最新版本系统具有参考标记功能，可使用参考导管≥5个心内双极通道和体表 ECG 通道，定义基准时间。</w:t>
            </w:r>
            <w:r>
              <w:br/>
            </w:r>
            <w:r>
              <w:rPr>
                <w:rFonts w:ascii="仿宋_GB2312" w:hAnsi="仿宋_GB2312" w:cs="仿宋_GB2312" w:eastAsia="仿宋_GB2312"/>
                <w:sz w:val="21"/>
              </w:rPr>
              <w:t xml:space="preserve"> 2.36提供原厂最新版本系统，具有≥4种标测功能：平行标测可用于连续标测≥4个具有不同图设置和不同采集过滤的图。</w:t>
            </w:r>
          </w:p>
          <w:p>
            <w:pPr>
              <w:pStyle w:val="null3"/>
            </w:pPr>
            <w:r>
              <w:rPr>
                <w:rFonts w:ascii="仿宋_GB2312" w:hAnsi="仿宋_GB2312" w:cs="仿宋_GB2312" w:eastAsia="仿宋_GB2312"/>
                <w:sz w:val="21"/>
              </w:rPr>
              <w:t>2.37厂家须提供专业培训课程、模拟训练、动物实验、远程手术直播等多种形式为用户提供标准化的专业知识教育和技能培训。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进度款，设备安装调试完成，并经双方共同验收后，运行正常满一个月，达到付款条件起5个工作日内，支付合同总金额的65.0%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进度款，运行正常满六个月后，达到付款条件起5个工作日内，支付合同总金额的30.0%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进度款，运行正常满三年后，达到付款条件起5个工作日内，支付合同总金额的5.0%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 文件、响应文件及合同执行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所有设备原厂三年质保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2023、2024、2025任意一年度经审计的财务会计报告（至少包括审计报告、资产负债表和利润表，成立时间至提交投标文件截止时间不足一年的可提供成立后任意时段的资产负债表）；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含5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提供2025年5月（含5月）以后任意时间段内的纳税证明或完税证明（时间以税款所属时期为准），纳税证明或完税证明上应有代收机构或税务机关的公章或业务专用章；依法免税的投标人应提供相关文件证明。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参加本次采购活动前3年内在经营活动中没有重大违法记录，以及未被列入失信被执行人、重大税收违法案件当事人名单的书面声明。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特定资格1</w:t>
            </w:r>
          </w:p>
        </w:tc>
        <w:tc>
          <w:tcPr>
            <w:tcW w:type="dxa" w:w="3322"/>
          </w:tcPr>
          <w:p>
            <w:pPr>
              <w:pStyle w:val="null3"/>
            </w:pPr>
            <w:r>
              <w:rPr>
                <w:rFonts w:ascii="仿宋_GB2312" w:hAnsi="仿宋_GB2312" w:cs="仿宋_GB2312" w:eastAsia="仿宋_GB2312"/>
              </w:rPr>
              <w:t>供应商所投产品属于医疗器械的，须提供所投产品的医疗器械注册证或备案凭证（所投产品须在其经营范围内）；所投产品为进口的须提供进口医疗器械进字号注册证。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特定资格2</w:t>
            </w:r>
          </w:p>
        </w:tc>
        <w:tc>
          <w:tcPr>
            <w:tcW w:type="dxa" w:w="3322"/>
          </w:tcPr>
          <w:p>
            <w:pPr>
              <w:pStyle w:val="null3"/>
            </w:pPr>
            <w:r>
              <w:rPr>
                <w:rFonts w:ascii="仿宋_GB2312" w:hAnsi="仿宋_GB2312" w:cs="仿宋_GB2312" w:eastAsia="仿宋_GB2312"/>
              </w:rPr>
              <w:t>所投产品为进口的，供应商需提供产品厂家对所投产品的授权书，或具有授权权限的代理商对所投产品的授权书（且需提供该代理商具有有效授权权限的相关证明文件，证明文件需能显示产品制造厂家对所投产品授权链条的完整性）；所投产品为国产/本国产品的，提供国产产品/本国产品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非联合体投标书面声明</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投标人名称和公章、营业执照一致</w:t>
            </w:r>
          </w:p>
        </w:tc>
        <w:tc>
          <w:tcPr>
            <w:tcW w:type="dxa" w:w="1661"/>
          </w:tcPr>
          <w:p>
            <w:pPr>
              <w:pStyle w:val="null3"/>
            </w:pPr>
            <w:r>
              <w:rPr>
                <w:rFonts w:ascii="仿宋_GB2312" w:hAnsi="仿宋_GB2312" w:cs="仿宋_GB2312" w:eastAsia="仿宋_GB2312"/>
              </w:rPr>
              <w:t>开标一览表 本国产品说明 中小企业声明函 节能、配件.docx 中国境内生产的组件成本核算基本规则 资格证明文件.docx 分项报价表.docx 技术偏离表.docx 投标函 供应商企业关系关联承诺书.docx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完整无缺项，无选择性报价，未超过采购预算总价及分项预算价。</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本国产品说明 中小企业声明函 节能、配件.docx 中国境内生产的组件成本核算基本规则 资格证明文件.docx 分项报价表.docx 技术偏离表.docx 投标函 供应商企业关系关联承诺书.docx 商务和技术响应.docx 残疾人福利性单位声明函 标的清单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无不符合法律法规或招标文件规定的投标无效条款</w:t>
            </w:r>
          </w:p>
        </w:tc>
        <w:tc>
          <w:tcPr>
            <w:tcW w:type="dxa" w:w="1661"/>
          </w:tcPr>
          <w:p>
            <w:pPr>
              <w:pStyle w:val="null3"/>
            </w:pPr>
            <w:r>
              <w:rPr>
                <w:rFonts w:ascii="仿宋_GB2312" w:hAnsi="仿宋_GB2312" w:cs="仿宋_GB2312" w:eastAsia="仿宋_GB2312"/>
              </w:rPr>
              <w:t>开标一览表 本国产品说明 中小企业声明函 节能、配件.docx 中国境内生产的组件成本核算基本规则 资格证明文件.docx 分项报价表.docx 技术偏离表.docx 投标函 供应商企业关系关联承诺书.docx 商务和技术响应.docx 残疾人福利性单位声明函 标的清单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技术指标参数清晰、明确；产品类别、规格等完全满足招标文件要求，经评审专家审定内容无负偏差得45分，其非★参数每负偏离1项扣1.5分，扣完为止。 注：1、正偏离视为满足招标文件要求 2、完全复制技术参数的，本项不得分。 ★参数为实质性要求，必须响应并满足的参数需求（需提供相关证明材料，包括但不限于：第三方检测报告/官方网站截图/经厂家确认的技术白皮书等），否则做无效投标处理。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根据供应商提供的供货实施方案进行评审。方案内容包括但不限于：①总体实施方案；②计划进度安排；③项目团队配备；④验收方案。 方案各项内容全面详细、阐述条理清晰详尽、符合本项目采购需求，能有效保障本项目实施进行综合评审，每项内容最高得1分，满分4分。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根据投标人针对本项目所投产品的质量保证方案进行评审。提供质量保证方案。内容包括但不限于：①所有产品的合法来源渠道；②质量保证措施；③质保期承诺。 以上各项内容全面明确、阐述条理清晰，评审专家依据每项方案的完整性、可实施性进行综合评审，每项内容最高得1分，满分3分，未提供不得分。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针对本项目提出具体的运输供货方案，方案内容包含：①运输成品保护方案； ②运输中遇到的紧急情况等处理方案。 方案各项内容全面详细、阐述条理清晰详尽、符合本项目采购需求，能有效保障本项目实施进行综合评审，每项内容最高得1分，满分2分。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在招标文件要求的交货期的基础上，每提前10日历日交货，增加1分，满分2分。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在招标文件要求的质保期的基础上，每增加1年加1分，最高得2分，未增加或部分增加的不得分。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根据投标人的综合履约能力、交货能力、测试及安装调试能力、交付地点、付款方式是否满足要求，评审专家进行综合评审，最高得2分，未提供不得分。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结合采购人需求针对本项目提供具有可行的技术培训方案，培训采购人使用人员，制定培训方案，培训方案应包括但不限于：①操作维护方法；②排除故障方法；③培训计划安排；④培训效果。 根据方案的完整性、可行性进行综合评审，每提供一项最高计1分，满分4分，不提供不得分。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售后服务机构健全，提供售后服务方案，至少包含①售后服务机构承诺；②售后服务保障措施；③售后人员配置安排计划；④维护保养及故障处理响应时间；⑤应急预案。 以上各部分内容根据阐述的合理性、完整性、可行性进行综合评审，每项最高得1分，满分5分，未提供不得分。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节能、配件.docx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详见附件：节能、配件.docx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