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版本号：SXKK2026-GK--00920260708001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三原县国家文物保护单位城隍庙展示利用设施建设项目展陈装修、数字文保工程及数字化标识系统设计项目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SXKK2026-GK--009</w:t>
      </w:r>
      <w:r>
        <w:br/>
      </w:r>
      <w:r>
        <w:br/>
      </w:r>
      <w:r>
        <w:br/>
      </w:r>
    </w:p>
    <w:p>
      <w:pPr>
        <w:pStyle w:val="null3"/>
        <w:jc w:val="center"/>
        <w:outlineLvl w:val="2"/>
      </w:pPr>
      <w:r>
        <w:rPr>
          <w:rFonts w:ascii="仿宋_GB2312" w:hAnsi="仿宋_GB2312" w:cs="仿宋_GB2312" w:eastAsia="仿宋_GB2312"/>
          <w:sz w:val="28"/>
          <w:b/>
        </w:rPr>
        <w:t>三原县博物馆</w:t>
      </w:r>
    </w:p>
    <w:p>
      <w:pPr>
        <w:pStyle w:val="null3"/>
        <w:jc w:val="center"/>
        <w:outlineLvl w:val="2"/>
      </w:pPr>
      <w:r>
        <w:rPr>
          <w:rFonts w:ascii="仿宋_GB2312" w:hAnsi="仿宋_GB2312" w:cs="仿宋_GB2312" w:eastAsia="仿宋_GB2312"/>
          <w:sz w:val="28"/>
          <w:b/>
        </w:rPr>
        <w:t>华智建项目管理有限公司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华智建项目管理有限公司</w:t>
      </w:r>
      <w:r>
        <w:rPr>
          <w:rFonts w:ascii="仿宋_GB2312" w:hAnsi="仿宋_GB2312" w:cs="仿宋_GB2312" w:eastAsia="仿宋_GB2312"/>
        </w:rPr>
        <w:t>（以下简称“代理机构”）受</w:t>
      </w:r>
      <w:r>
        <w:rPr>
          <w:rFonts w:ascii="仿宋_GB2312" w:hAnsi="仿宋_GB2312" w:cs="仿宋_GB2312" w:eastAsia="仿宋_GB2312"/>
        </w:rPr>
        <w:t>三原县博物馆</w:t>
      </w:r>
      <w:r>
        <w:rPr>
          <w:rFonts w:ascii="仿宋_GB2312" w:hAnsi="仿宋_GB2312" w:cs="仿宋_GB2312" w:eastAsia="仿宋_GB2312"/>
        </w:rPr>
        <w:t>委托，拟对</w:t>
      </w:r>
      <w:r>
        <w:rPr>
          <w:rFonts w:ascii="仿宋_GB2312" w:hAnsi="仿宋_GB2312" w:cs="仿宋_GB2312" w:eastAsia="仿宋_GB2312"/>
        </w:rPr>
        <w:t>三原县国家文物保护单位城隍庙展示利用设施建设项目展陈装修、数字文保工程及数字化标识系统设计项目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SXKK2026-GK--009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三原县国家文物保护单位城隍庙展示利用设施建设项目展陈装修、数字文保工程及数字化标识系统设计项目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本项目核心实施范围为城隍庙内 9677.43 平方米展示陈列空间，同步配套建设博物馆主馆、副馆、社教中心及临时展厅、文物库房、数字化体验区等功能空间，实现“馆庙联动、展保一体”。项目适配馆藏 2812 件/套文物全品类展陈需求，规划展线总长度 2100 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3、财务状况报告：提供2024年度或2025年度经审计的财务报告（成立时间至提交响应文件截止时间不足一年的可提供成立后任意时段的资产负债表），或其开标前三个月内银行出具的资信证明，（以上两种形式的资料提供任何一种即可）</w:t>
      </w:r>
    </w:p>
    <w:p>
      <w:pPr>
        <w:pStyle w:val="null3"/>
      </w:pPr>
      <w:r>
        <w:rPr>
          <w:rFonts w:ascii="仿宋_GB2312" w:hAnsi="仿宋_GB2312" w:cs="仿宋_GB2312" w:eastAsia="仿宋_GB2312"/>
        </w:rPr>
        <w:t>4、税收缴纳证明：提供开标截止时间前6个月内至少已缴纳1个月的完税证明，完税证明上应有代收机构或税务机关的公章或业务专用章。依法免税或新成立的供应商应提供相关文件证明</w:t>
      </w:r>
    </w:p>
    <w:p>
      <w:pPr>
        <w:pStyle w:val="null3"/>
      </w:pPr>
      <w:r>
        <w:rPr>
          <w:rFonts w:ascii="仿宋_GB2312" w:hAnsi="仿宋_GB2312" w:cs="仿宋_GB2312" w:eastAsia="仿宋_GB2312"/>
        </w:rPr>
        <w:t>5、社会保障资金缴纳证明：提供开标截止时间前6个月内至少已缴存1个月的社会保障资金缴存单据或社保机构开具的社会保险参保缴费情况证明，单据或证明上应有社保机构或代收机构的公章或业务专用章。依法不需要缴纳社会保障资金或新成立的供应商应提供相关文件证明</w:t>
      </w:r>
    </w:p>
    <w:p>
      <w:pPr>
        <w:pStyle w:val="null3"/>
      </w:pPr>
      <w:r>
        <w:rPr>
          <w:rFonts w:ascii="仿宋_GB2312" w:hAnsi="仿宋_GB2312" w:cs="仿宋_GB2312" w:eastAsia="仿宋_GB2312"/>
        </w:rPr>
        <w:t>6、信用中国：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7、非联合体声明：本项目不接受联合体投标，单位负责人为同一人或者存在直接控股、管理关系的不同投标人，不得参加同一合同项下的政府采购活动（提供非联合体投标声明，包括控股管理声明）</w:t>
      </w:r>
    </w:p>
    <w:p>
      <w:pPr>
        <w:pStyle w:val="null3"/>
      </w:pPr>
      <w:r>
        <w:rPr>
          <w:rFonts w:ascii="仿宋_GB2312" w:hAnsi="仿宋_GB2312" w:cs="仿宋_GB2312" w:eastAsia="仿宋_GB2312"/>
        </w:rPr>
        <w:t>8、重大违法声明：供应商参加采购活动近3年内经营活动中没有重大违法记录声明，以及未被列入失信被执行人、重大税收违法失信主体、政府采购严重违法失信行为记录名单的书面声明</w:t>
      </w:r>
    </w:p>
    <w:p>
      <w:pPr>
        <w:pStyle w:val="null3"/>
      </w:pPr>
      <w:r>
        <w:rPr>
          <w:rFonts w:ascii="仿宋_GB2312" w:hAnsi="仿宋_GB2312" w:cs="仿宋_GB2312" w:eastAsia="仿宋_GB2312"/>
        </w:rPr>
        <w:t>9、专业技术能力声明：提供具有履行本合同所必需的设备和专业技术能力的声明；</w:t>
      </w:r>
    </w:p>
    <w:p>
      <w:pPr>
        <w:pStyle w:val="null3"/>
      </w:pPr>
      <w:r>
        <w:rPr>
          <w:rFonts w:ascii="仿宋_GB2312" w:hAnsi="仿宋_GB2312" w:cs="仿宋_GB2312" w:eastAsia="仿宋_GB2312"/>
        </w:rPr>
        <w:t>10、资格证明：具备建设行政部门核发的工程设计综合资质或工程设计建筑行业乙级及以上资质或工程设计建筑行业(建筑工程)专业资质乙级及以上资质或（建筑装饰工程通用专业、建筑智能化工程通用专业、消防设施工程通用专业）乙级及以上资质。拟派项目负责人须具备(建筑工程相关专业)高级及以上技术职称同时具备一级注册建筑师，提供开标截止时间前6个月内至少一个月供应商为其缴纳的社会保险证明材料（五险一金提供一项即可），且无不良记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三原县东大街33号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三原县博物馆经办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029-32282524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华智建项目管理有限公司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陕西省西安市莲湖区陕西省西安市莲湖区丰庆路48号1幢308室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采购包1：4,104,300.00元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国家计委《关于印发〈招标代理服务收费管理暂行办法〉的通知》（计价格〔2002〕1980号）及国家发展改革委办公厅《关于招标代理服务收费有关问题的通知》（发改办价格〔2003〕857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三原县博物馆</w:t>
      </w:r>
      <w:r>
        <w:rPr>
          <w:rFonts w:ascii="仿宋_GB2312" w:hAnsi="仿宋_GB2312" w:cs="仿宋_GB2312" w:eastAsia="仿宋_GB2312"/>
        </w:rPr>
        <w:t>和</w:t>
      </w:r>
      <w:r>
        <w:rPr>
          <w:rFonts w:ascii="仿宋_GB2312" w:hAnsi="仿宋_GB2312" w:cs="仿宋_GB2312" w:eastAsia="仿宋_GB2312"/>
        </w:rPr>
        <w:t>华智建项目管理有限公司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三原县博物馆</w:t>
      </w:r>
      <w:r>
        <w:rPr>
          <w:rFonts w:ascii="仿宋_GB2312" w:hAnsi="仿宋_GB2312" w:cs="仿宋_GB2312" w:eastAsia="仿宋_GB2312"/>
        </w:rPr>
        <w:t>负责解释。除上述招标文件内容，其他内容由</w:t>
      </w:r>
      <w:r>
        <w:rPr>
          <w:rFonts w:ascii="仿宋_GB2312" w:hAnsi="仿宋_GB2312" w:cs="仿宋_GB2312" w:eastAsia="仿宋_GB2312"/>
        </w:rPr>
        <w:t>华智建项目管理有限公司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三原县博物馆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知识产权归采购方所有，双方共同承担保密义务</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地址：陕西省西安市莲湖区丰庆路48号1幢308室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本项目核心实施范围为城隍庙内 9677.43 平方米展示陈列空间，同步配套建设博物馆主馆、副馆、社教中心及临时展厅、文物库房、数字化体验区等功能空间，实现“馆庙联动、展保一体”。项目适配馆藏 2812 件/套文物全品类展陈需求，规划展线总长度 2100 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4,104,300.00</w:t>
      </w:r>
    </w:p>
    <w:p>
      <w:pPr>
        <w:pStyle w:val="null3"/>
      </w:pPr>
      <w:r>
        <w:rPr>
          <w:rFonts w:ascii="仿宋_GB2312" w:hAnsi="仿宋_GB2312" w:cs="仿宋_GB2312" w:eastAsia="仿宋_GB2312"/>
        </w:rPr>
        <w:t>采购包最高限价（元）: 4,104,300.00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三原县国家文物保护单位城隍庙展示利用设施建设项目展陈装修、数字文保工程及数字化标识系统设计项目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4,104,300.00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标的名称：三原县国家文物保护单位城隍庙展示利用设施建设项目展陈装修、数字文保工程及数字化标识系统设计项目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3"/>
              <w:gridCol w:w="260"/>
              <w:gridCol w:w="1896"/>
              <w:gridCol w:w="153"/>
              <w:gridCol w:w="31"/>
              <w:gridCol w:w="31"/>
            </w:tblGrid>
            <w:tr>
              <w:tc>
                <w:tcPr>
                  <w:tcW w:type="dxa" w:w="2492"/>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展陈装修设计</w:t>
                  </w: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项目</w:t>
                  </w:r>
                </w:p>
              </w:tc>
              <w:tc>
                <w:tcPr>
                  <w:tcW w:type="dxa" w:w="1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技术要求</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一</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前期咨询策划阶段</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展陈大纲编写</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须严格依据《博物馆展览内容设计规范》</w:t>
                  </w:r>
                  <w:r>
                    <w:rPr>
                      <w:rFonts w:ascii="仿宋_GB2312" w:hAnsi="仿宋_GB2312" w:cs="仿宋_GB2312" w:eastAsia="仿宋_GB2312"/>
                      <w:sz w:val="22"/>
                      <w:color w:val="000000"/>
                    </w:rPr>
                    <w:t>WW/T 0088-2018、《博物馆陈列展览形式设计与施工规范》WW/T 0089-2018 及国家三级博物馆建设标准实施，供应商需组建涵盖历史学、考古学、博物馆学、文物保护、意识形态研究相关专业人员的专家团队，依次完成项目政策、馆藏文物、县域文化、同类场馆、受众、史料全方位综合调研并形成全套调研资料，搭建总分总叙事逻辑，分层编制一至三级完整展陈大纲、文物展陈规划及展线布局材料，开展多轮学术内审、文保专项审核、意识形态审查并持续优化文本，组织文博行业专家评审会，全程配合采购人向文旅、文物主管部门报审并按意见修改至大纲获批，同时为后续展陈设计、施工、布展、竣工验收提供内容交底、内容核对、现场咨询等配套技术支撑，分阶段交付调研报告、分级大纲、各类审核评审归档材料、最终审定稿及全过程交底核对记录等全套成果，服务团队需拥有博物馆展陈大纲编制相关实操经验，按照标准化流程开展全链条咨询服务，保障大纲史实准确、导向合规、贴合本地文化特色，可支撑后续展陈工程落地实施。</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二</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工程设计阶段</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装修设计</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22"/>
                      <w:color w:val="000000"/>
                    </w:rPr>
                    <w:t>服务商需分四大板块开展全部工作：</w:t>
                  </w:r>
                  <w:r>
                    <w:br/>
                  </w:r>
                  <w:r>
                    <w:rPr>
                      <w:rFonts w:ascii="仿宋_GB2312" w:hAnsi="仿宋_GB2312" w:cs="仿宋_GB2312" w:eastAsia="仿宋_GB2312"/>
                      <w:sz w:val="22"/>
                      <w:color w:val="000000"/>
                    </w:rPr>
                    <w:t>第一为方案设计阶段，依据可研批复及确认的展陈内容框架，统一三栋建筑整体文化风格，划分六大功能分区，规划观众、工作人员、文物运输三条互不交叉流线，细化公共接待、核心展陈、互动体验、文物库区、文旅配套、学术后勤各空间布局，制作重点空间多角度效果图，完成装修材料、色彩、基础照明设计，交付全套方案图纸、效果图册、材料样板册、设计说明及投资估算；</w:t>
                  </w:r>
                  <w:r>
                    <w:br/>
                  </w:r>
                  <w:r>
                    <w:rPr>
                      <w:rFonts w:ascii="仿宋_GB2312" w:hAnsi="仿宋_GB2312" w:cs="仿宋_GB2312" w:eastAsia="仿宋_GB2312"/>
                      <w:sz w:val="22"/>
                      <w:color w:val="000000"/>
                    </w:rPr>
                    <w:t>第二为初步设计阶段，深化各空间尺寸、装饰节点，完成建筑、结构、机电、暖通、给排水、安防全专业设计，重点完善文物库区恒温恒湿、报告厅音视频灯光系统，确定各类设备参数，编制初步设计概算，交付各专业图纸、设计说明、设备参数及概算文件；</w:t>
                  </w:r>
                  <w:r>
                    <w:br/>
                  </w:r>
                  <w:r>
                    <w:rPr>
                      <w:rFonts w:ascii="仿宋_GB2312" w:hAnsi="仿宋_GB2312" w:cs="仿宋_GB2312" w:eastAsia="仿宋_GB2312"/>
                      <w:sz w:val="22"/>
                      <w:color w:val="000000"/>
                    </w:rPr>
                    <w:t>第三为施工图设计阶段，出具全空间装修平立剖及节点大样，整合各专业图纸并绘制综合管线图，编制材料清单、施工工艺、技术交底文件与施工图预算，提供全套施工蓝图及电子版资料；第四为装修配套专项设计，依据文物保护相关法规、</w:t>
                  </w:r>
                  <w:r>
                    <w:rPr>
                      <w:rFonts w:ascii="仿宋_GB2312" w:hAnsi="仿宋_GB2312" w:cs="仿宋_GB2312" w:eastAsia="仿宋_GB2312"/>
                      <w:sz w:val="22"/>
                      <w:color w:val="000000"/>
                    </w:rPr>
                    <w:t>GB/T 16571 安防规范完成文物库房恒温恒湿、文物保护设施、全馆安防系统设计，同步完成博物馆 VI 视觉识别系统及室内外导视、警示标识设计；同时全程提供施工配套服务，包含进场技术交底、全过程驻场设计答疑、设计变更及洽商办理，配合各阶段分项验收与竣工验收并提供全套设计归档资料，所有设计需满足防火环保、无障碍、文物安全、日常运营、研学教育等多重使用标准。</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展陈设计</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服务商依次开展方案设计、初步设计、施工图设计三大阶段工作，同步配套展陈类文物保护、展陈导视</w:t>
                  </w:r>
                  <w:r>
                    <w:rPr>
                      <w:rFonts w:ascii="仿宋_GB2312" w:hAnsi="仿宋_GB2312" w:cs="仿宋_GB2312" w:eastAsia="仿宋_GB2312"/>
                      <w:sz w:val="22"/>
                      <w:color w:val="000000"/>
                    </w:rPr>
                    <w:t>VI、文创研发陈列专项设计并提供全程施工驻场配套服务；方案阶段依据可研批复及确认的展陈内容框架统一全馆视觉设计语言，围绕 5 个历史基本陈列单元、4 个专题展厅规划展陈叙事节奏，分级打造一、二、三级各类展项及 3-5 处核心历史复原场景，按需设计适配不同文物的专用展柜，按照 GB/T 23863 规范完成全馆分级专业照明设计，同步开展 VR/AR、沉浸式影院、互动投影等数字多媒体创意及展板图文版式设计，交付全套展陈方案图纸、效果图册、设计说明与投资估算；初步设计阶段深化展项、场景、文物展柜、照明、多媒体系统结构工艺与设备参数，依据 GB/T 30713 落实展柜文物恒温恒湿、防紫外等保护措施，完成展陈与建筑、机电、安防跨专业对接论证，出具各专业初设图纸、设备参数文件及展陈工程初步设计概算；施工图阶段出具展项、复原场景、各类文物展柜、照明、多媒体、展板全套施工详图与节点大样，明确全部材料、施工工艺，所有展陈、场景、展板基材均采用 A 级防火 / 不燃难燃材料，展柜使用防火防爆玻璃、照明采用防紫外防火 LED 灯具，同步绘制综合管线图纸，编制材料设备清单、施工技术交底文件及施工图预算；专项设计需依据文物保护相关法规完成展陈文物恒温恒湿保护设施设计，配套完成馆藏说明类展陈导视 VI 标识设计，并结合本地历史文物资源开发文创 IP、完成文创产品及文创商店陈列设计；施工服务阶段提供进场技术交底，全程派驻设计师驻场处理设计问题、办理变更洽商，现场开展布展、展柜、照明调试及文物上架技术指导，全程配合分阶段验收与竣工验收并提供全套竣工设计资料，全流程设计严格遵守文物保护、照明、防火、安防相关国家规范，兼顾文物安全、展示效果、观众互动体验与场馆运营使用需求。</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弱电智能化专项设计</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本项目弱电智能化专项设计包含六大系统板块：</w:t>
                  </w:r>
                  <w:r>
                    <w:br/>
                  </w:r>
                  <w:r>
                    <w:rPr>
                      <w:rFonts w:ascii="仿宋_GB2312" w:hAnsi="仿宋_GB2312" w:cs="仿宋_GB2312" w:eastAsia="仿宋_GB2312"/>
                      <w:sz w:val="22"/>
                      <w:color w:val="000000"/>
                    </w:rPr>
                    <w:t>一是信息设施系统，设计光纤到桌面综合布线、有线无线全覆盖全光信息网络、兼具背景音乐与消防应急切换的公共广播、全域移动通信信号覆盖及室内定位基础配套；</w:t>
                  </w:r>
                  <w:r>
                    <w:br/>
                  </w:r>
                  <w:r>
                    <w:rPr>
                      <w:rFonts w:ascii="仿宋_GB2312" w:hAnsi="仿宋_GB2312" w:cs="仿宋_GB2312" w:eastAsia="仿宋_GB2312"/>
                      <w:sz w:val="22"/>
                      <w:color w:val="000000"/>
                    </w:rPr>
                    <w:t>二是公共安全系统，配备库房展厅高灵敏吸气式烟感火灾报警，搭建含无死角视频监控、多类型入侵探测、人脸</w:t>
                  </w:r>
                  <w:r>
                    <w:rPr>
                      <w:rFonts w:ascii="仿宋_GB2312" w:hAnsi="仿宋_GB2312" w:cs="仿宋_GB2312" w:eastAsia="仿宋_GB2312"/>
                      <w:sz w:val="22"/>
                      <w:color w:val="000000"/>
                    </w:rPr>
                    <w:t>/ 刷卡生物识别出入口管控、电子巡更、多系统联动应急响应、客流实时统计分析的全套安防体系；</w:t>
                  </w:r>
                  <w:r>
                    <w:br/>
                  </w:r>
                  <w:r>
                    <w:rPr>
                      <w:rFonts w:ascii="仿宋_GB2312" w:hAnsi="仿宋_GB2312" w:cs="仿宋_GB2312" w:eastAsia="仿宋_GB2312"/>
                      <w:sz w:val="22"/>
                      <w:color w:val="000000"/>
                    </w:rPr>
                    <w:t>三是特色观众应用系统，开发</w:t>
                  </w:r>
                  <w:r>
                    <w:rPr>
                      <w:rFonts w:ascii="仿宋_GB2312" w:hAnsi="仿宋_GB2312" w:cs="仿宋_GB2312" w:eastAsia="仿宋_GB2312"/>
                      <w:sz w:val="22"/>
                      <w:color w:val="000000"/>
                    </w:rPr>
                    <w:t>AI 数字人室内精准定位智能导览、公共区域 LED 大屏及触摸查询信息发布、VR/AR/ 全息沉浸式数字体验、线上数字博物馆云展平台；</w:t>
                  </w:r>
                  <w:r>
                    <w:br/>
                  </w:r>
                  <w:r>
                    <w:rPr>
                      <w:rFonts w:ascii="仿宋_GB2312" w:hAnsi="仿宋_GB2312" w:cs="仿宋_GB2312" w:eastAsia="仿宋_GB2312"/>
                      <w:sz w:val="22"/>
                      <w:color w:val="000000"/>
                    </w:rPr>
                    <w:t>四是文物保护环境调控系统，搭建建筑设备集中监控平台，自动调控展厅库房温湿度、有害气体，布设展柜微环境传感监测及库房管线漏水定位报警装置；</w:t>
                  </w:r>
                  <w:r>
                    <w:br/>
                  </w:r>
                  <w:r>
                    <w:rPr>
                      <w:rFonts w:ascii="仿宋_GB2312" w:hAnsi="仿宋_GB2312" w:cs="仿宋_GB2312" w:eastAsia="仿宋_GB2312"/>
                      <w:sz w:val="22"/>
                      <w:color w:val="000000"/>
                    </w:rPr>
                    <w:t>五是业务运营管理系统，整合藏品、布展、票务会员一体化博物馆业务管理平台，搭建多子系统统一调度的智能化集成管理平台，配套满足远程会议、同声传译、无纸化办公的多功能会议系统；</w:t>
                  </w:r>
                  <w:r>
                    <w:br/>
                  </w:r>
                  <w:r>
                    <w:rPr>
                      <w:rFonts w:ascii="仿宋_GB2312" w:hAnsi="仿宋_GB2312" w:cs="仿宋_GB2312" w:eastAsia="仿宋_GB2312"/>
                      <w:sz w:val="22"/>
                      <w:color w:val="000000"/>
                    </w:rPr>
                    <w:t>六是机房配套工程，完成中心机房装修、精密空调、防雷接地、</w:t>
                  </w:r>
                  <w:r>
                    <w:rPr>
                      <w:rFonts w:ascii="仿宋_GB2312" w:hAnsi="仿宋_GB2312" w:cs="仿宋_GB2312" w:eastAsia="仿宋_GB2312"/>
                      <w:sz w:val="22"/>
                      <w:color w:val="000000"/>
                    </w:rPr>
                    <w:t>UPS 不间断弱电供电及整体接地保护专项设计，所有系统兼顾文物安全、观众体验、日常运营、远程联动与长期数字化线上展陈需求。</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暖通专项设计</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本项目暖通空调专项设计包含五大系统内容：一是分区域差异化空调系统，藏品库房配置独立恒温恒湿机组，严控温湿度且杜绝水管穿越库区；陈列展厅采用全空气系统，规避风口直吹展品并控制噪音</w:t>
                  </w:r>
                  <w:r>
                    <w:rPr>
                      <w:rFonts w:ascii="仿宋_GB2312" w:hAnsi="仿宋_GB2312" w:cs="仿宋_GB2312" w:eastAsia="仿宋_GB2312"/>
                      <w:sz w:val="22"/>
                      <w:color w:val="000000"/>
                    </w:rPr>
                    <w:t>≤40dB；办公公共区域采用常规舒适性空调；书画等敏感珍贵展品配套展柜独立微环境恒温恒湿设备；二是冷热源与空气处理系统，结合建筑及能源条件经技术经济比选确定冷热源方案，库房、敏感展区空调配套粉尘、有害气体过滤装置，禁止使用易产生臭氧的静电过滤设备；三是供暖通风防排烟系统，设置冬季供暖及值班低温保障，满足观众、人员新风量标准，库房展厅维持正压阻隔室外杂气，修复、熏蒸室配置带滤毒处理的独立排风，同步按消防规范设置联动式机械防排烟，火情自动切断空调通风；四是消声减震与节能系统，通过低噪设备、消声减震构造控制展厅空调噪音低于 40dB，合理配置全热回收机组实现排风能量回收，降低运营能耗；五是暖通集中自控系统，搭建建筑设备监控平台远程管控冷热源、温湿度、压差、风机等设备，预留消防联动接口，接收火警信号自动关停非消防风机，恒温恒湿机组配套高精度负荷自适应调控策略，整体设计兼顾文物预防性保护、观众参观舒适度、消防安全与长期节能运行需求。</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二次消防专项设计</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二次消防专项设计，严格依据</w:t>
                  </w:r>
                  <w:r>
                    <w:rPr>
                      <w:rFonts w:ascii="仿宋_GB2312" w:hAnsi="仿宋_GB2312" w:cs="仿宋_GB2312" w:eastAsia="仿宋_GB2312"/>
                      <w:sz w:val="22"/>
                      <w:color w:val="000000"/>
                    </w:rPr>
                    <w:t>GB50016-2014（2018 版）防火规范，统筹三栋建筑全域空间，兼顾文物防护、展陈效果及原有消防系统整合，保障设计顺利通过消防审查及验收；方案阶段结合原有消防现状制定整体改造整合方案，依据六大功能分区火灾危险性划分防火分区、规划疏散体系，针对文物库房、核心展厅制定专项消防保护方案，出具消防方案图纸、说明及投资估算；初步设计阶段完成消防水、火灾报警、防排烟、应急疏散、防火分隔、电气消防六大系统深化，库区配套极早期烟感、珍贵文物区域设置气体灭火，完成新旧消防系统兼容整合，出具全套初设图纸、设备参数及工程概算；施工图阶段绘制六大系统完整施工图纸、节点详图，规范耐火阻燃线缆及金属管敷设要求，出具新旧系统对接施工图纸、消防设计专篇、施工图预算、设备材料清单与施工技术文件；同时提供全周期施工配套服务，包含进场技术交底、全过程驻场设计指导、变更洽商、系统安装调试配合，全程协助甲方完成消防图纸审查及竣工验收并提供全套设计归档资料，设计全程平衡消防安全、文物保护与展厅展示需求。</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52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数字文保工程设计</w:t>
                  </w:r>
                </w:p>
              </w:tc>
              <w:tc>
                <w:tcPr>
                  <w:tcW w:type="dxa" w:w="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项目</w:t>
                  </w:r>
                </w:p>
              </w:tc>
              <w:tc>
                <w:tcPr>
                  <w:tcW w:type="dxa" w:w="204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技术要求</w:t>
                  </w:r>
                </w:p>
              </w:tc>
              <w:tc>
                <w:tcPr>
                  <w:tcW w:type="dxa" w:w="6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数字化保护工程设计（一）藏品二维数字化采集与图像处理标准化设计服务</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本服务属于数字文保专项设计内容，主要开展文物高清采集技术标准设计、光影布光方案设计、色彩校准体系设计、图像处理规范设计、文物无损采集安全方案设计，编制完整数字化技术管控标准，用以指导规范文物二维影像现场采集、后期修图、专业校色、成果验收全流程工作，所有指标可采用同等性能、等效技术方案替代，具体设计控制标准如下：</w:t>
                  </w:r>
                  <w:r>
                    <w:br/>
                  </w:r>
                  <w:r>
                    <w:rPr>
                      <w:rFonts w:ascii="仿宋_GB2312" w:hAnsi="仿宋_GB2312" w:cs="仿宋_GB2312" w:eastAsia="仿宋_GB2312"/>
                      <w:sz w:val="22"/>
                      <w:color w:val="000000"/>
                    </w:rPr>
                    <w:t>一、采集设计技术标准</w:t>
                  </w:r>
                  <w:r>
                    <w:br/>
                  </w:r>
                  <w:r>
                    <w:rPr>
                      <w:rFonts w:ascii="仿宋_GB2312" w:hAnsi="仿宋_GB2312" w:cs="仿宋_GB2312" w:eastAsia="仿宋_GB2312"/>
                      <w:sz w:val="22"/>
                      <w:color w:val="000000"/>
                    </w:rPr>
                    <w:t>统一编制馆藏文物高清采集技术规范，采用</w:t>
                  </w:r>
                  <w:r>
                    <w:rPr>
                      <w:rFonts w:ascii="仿宋_GB2312" w:hAnsi="仿宋_GB2312" w:cs="仿宋_GB2312" w:eastAsia="仿宋_GB2312"/>
                      <w:sz w:val="22"/>
                      <w:color w:val="000000"/>
                    </w:rPr>
                    <w:t>ColorChecker Digital SG 专业色卡完成全流程色彩校准，配套输出完整校准参考资料；原始影像采用 24bit 深度 RGB 色彩模式；单件文物原始多角度高清采集素材不少于 10 张，单张原始采集影像像素不低于 5000 万，纹理覆盖完整率≥95%，纹理有效分辨率≥8192×8192，采集光学分辨率≥300dpi；标准化采集光照色温控制为 5500±500K；配套设计满足文物防护要求的专用拍摄环境，严格执行文物拍照安全相关标准；统一标准化构图规范，保障画面构图完整、色温精准、色彩还原无偏差；设计文物固定定位工装方案，确保藏品摆放无偏移、画面主体突出、器物纹理细节清晰；制定全程无接触采集工艺要求，作业过程不得接触文物，严禁在文物表面粘贴任何介质、标识，严格限定灯光、设备辐射数值，各项指标符合文物保护限值规范。</w:t>
                  </w:r>
                  <w:r>
                    <w:br/>
                  </w:r>
                  <w:r>
                    <w:rPr>
                      <w:rFonts w:ascii="仿宋_GB2312" w:hAnsi="仿宋_GB2312" w:cs="仿宋_GB2312" w:eastAsia="仿宋_GB2312"/>
                      <w:sz w:val="22"/>
                      <w:color w:val="000000"/>
                    </w:rPr>
                    <w:t>二、图像处理设计技术标准</w:t>
                  </w:r>
                  <w:r>
                    <w:br/>
                  </w:r>
                  <w:r>
                    <w:rPr>
                      <w:rFonts w:ascii="仿宋_GB2312" w:hAnsi="仿宋_GB2312" w:cs="仿宋_GB2312" w:eastAsia="仿宋_GB2312"/>
                      <w:sz w:val="22"/>
                      <w:color w:val="000000"/>
                    </w:rPr>
                    <w:t>制定统一后期图像处理管控规范，校正后成品影像像素不低于</w:t>
                  </w:r>
                  <w:r>
                    <w:rPr>
                      <w:rFonts w:ascii="仿宋_GB2312" w:hAnsi="仿宋_GB2312" w:cs="仿宋_GB2312" w:eastAsia="仿宋_GB2312"/>
                      <w:sz w:val="22"/>
                      <w:color w:val="000000"/>
                    </w:rPr>
                    <w:t>4500 万，采用 RGB 真彩色模式，光学分辨率≥300dpi；规定原始文件采用 RAW+JPEG 双格式最高画质存储，单件文物经筛选、校正、优化后的标准化成品影像不少于 16 张，单套 RAW+JPEG 文件总存储容量≥25MB；配套标准化均匀布光设计方案，保证影像细节清晰可见、画面亮度均匀无明显明暗差异；沿用专业色卡校准体系，同步提供完整测量校准对比数据；经畸变校正后成品纹理完整率≥99%，立体器物无俯仰透视变形、平面文物无拉伸扭曲，整套文物影像色彩均匀一致性≥95%。</w:t>
                  </w:r>
                  <w:r>
                    <w:br/>
                  </w:r>
                  <w:r>
                    <w:rPr>
                      <w:rFonts w:ascii="仿宋_GB2312" w:hAnsi="仿宋_GB2312" w:cs="仿宋_GB2312" w:eastAsia="仿宋_GB2312"/>
                      <w:sz w:val="22"/>
                      <w:color w:val="000000"/>
                    </w:rPr>
                    <w:t>三、文物安全保护专项设计</w:t>
                  </w:r>
                  <w:r>
                    <w:br/>
                  </w:r>
                  <w:r>
                    <w:rPr>
                      <w:rFonts w:ascii="仿宋_GB2312" w:hAnsi="仿宋_GB2312" w:cs="仿宋_GB2312" w:eastAsia="仿宋_GB2312"/>
                      <w:sz w:val="22"/>
                      <w:color w:val="000000"/>
                    </w:rPr>
                    <w:t>编制文物无损采集全流程安全管控方案，照明系统统一选用</w:t>
                  </w:r>
                  <w:r>
                    <w:rPr>
                      <w:rFonts w:ascii="仿宋_GB2312" w:hAnsi="仿宋_GB2312" w:cs="仿宋_GB2312" w:eastAsia="仿宋_GB2312"/>
                      <w:sz w:val="22"/>
                      <w:color w:val="000000"/>
                    </w:rPr>
                    <w:t>LED 冷光源，规避热辐射、紫外线对文物造成损伤；设计高清成像工艺标准，完整呈现文物全部细节；全程执行无接触作业要求，避免文物磕碰、污染；现场采集作业须由博物馆具备文保资质工作人员全程旁站监护，规划设备、操作人员与藏品之间的安全隔离距离；拍摄环境温湿度、粉尘、光照等管控指标不低于馆藏文物日常陈列保护标准，全流程落实文物预防性保护相关要求。</w:t>
                  </w:r>
                  <w:r>
                    <w:br/>
                  </w:r>
                  <w:r>
                    <w:rPr>
                      <w:rFonts w:ascii="仿宋_GB2312" w:hAnsi="仿宋_GB2312" w:cs="仿宋_GB2312" w:eastAsia="仿宋_GB2312"/>
                      <w:sz w:val="22"/>
                      <w:color w:val="000000"/>
                    </w:rPr>
                    <w:t>四、设备选型设计标准</w:t>
                  </w:r>
                  <w:r>
                    <w:br/>
                  </w:r>
                  <w:r>
                    <w:rPr>
                      <w:rFonts w:ascii="仿宋_GB2312" w:hAnsi="仿宋_GB2312" w:cs="仿宋_GB2312" w:eastAsia="仿宋_GB2312"/>
                      <w:sz w:val="22"/>
                      <w:color w:val="000000"/>
                    </w:rPr>
                    <w:t>依据文物高精度数字化存档成像需求，设计选用专业级全画幅高清影像采集设备，配套标准变焦镜头、专业微距镜头，搭配单组功率不低于</w:t>
                  </w:r>
                  <w:r>
                    <w:rPr>
                      <w:rFonts w:ascii="仿宋_GB2312" w:hAnsi="仿宋_GB2312" w:cs="仿宋_GB2312" w:eastAsia="仿宋_GB2312"/>
                      <w:sz w:val="22"/>
                      <w:color w:val="000000"/>
                    </w:rPr>
                    <w:t>300W 专业影棚 LED 柔光照明系统，满足文物无损、高细节、均匀柔光成像的设计要求。</w:t>
                  </w:r>
                  <w:r>
                    <w:br/>
                  </w:r>
                  <w:r>
                    <w:rPr>
                      <w:rFonts w:ascii="仿宋_GB2312" w:hAnsi="仿宋_GB2312" w:cs="仿宋_GB2312" w:eastAsia="仿宋_GB2312"/>
                      <w:sz w:val="22"/>
                      <w:color w:val="000000"/>
                    </w:rPr>
                    <w:t>交付设计成果</w:t>
                  </w:r>
                  <w:r>
                    <w:br/>
                  </w:r>
                  <w:r>
                    <w:rPr>
                      <w:rFonts w:ascii="仿宋_GB2312" w:hAnsi="仿宋_GB2312" w:cs="仿宋_GB2312" w:eastAsia="仿宋_GB2312"/>
                      <w:sz w:val="22"/>
                      <w:color w:val="000000"/>
                    </w:rPr>
                    <w:t>1、文物二维数字化采集工艺规范、图像处理标准化技术导则、文物无损采集安全管控方案、成像设备选型设计标准、色彩校准作业规程、数字化影像成果验收细则、标准校色配置模板。2、全过程设计管控归档成果（按本项目设计标准实施、经设计校核验收）：原始 RAW 格式影像文件、标准化校色 JPG 成品文件、全套色卡校色配置文件及完整校准比对数据资料。</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数字化保护工程设计（二）藏品三维扫描采集与三维模型标准化设计服务</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本项属于数字文保专项设计内容，主要开展文物三维数字化建模精度标准设计、三维纹理采集工艺设计、色彩校准体系设计、三维数据处理规范设计、模型质量管控体系设计，编制完整三维数字化技术标准，用以指导、规范文物三维扫描采集、点云处理、模型重建、纹理映射、质量验收全流程技术要求，所有技术指标可采用同等性能、等效技术方案替代，具体设计控制标准如下：</w:t>
                  </w:r>
                  <w:r>
                    <w:br/>
                  </w:r>
                  <w:r>
                    <w:rPr>
                      <w:rFonts w:ascii="仿宋_GB2312" w:hAnsi="仿宋_GB2312" w:cs="仿宋_GB2312" w:eastAsia="仿宋_GB2312"/>
                      <w:sz w:val="22"/>
                      <w:color w:val="000000"/>
                    </w:rPr>
                    <w:t>一、三维模型精度设计标准</w:t>
                  </w:r>
                  <w:r>
                    <w:br/>
                  </w:r>
                  <w:r>
                    <w:rPr>
                      <w:rFonts w:ascii="仿宋_GB2312" w:hAnsi="仿宋_GB2312" w:cs="仿宋_GB2312" w:eastAsia="仿宋_GB2312"/>
                      <w:sz w:val="22"/>
                      <w:color w:val="000000"/>
                    </w:rPr>
                    <w:t>统一制定馆藏文物三维建模高精度设计指标：模型分辨率</w:t>
                  </w:r>
                  <w:r>
                    <w:rPr>
                      <w:rFonts w:ascii="仿宋_GB2312" w:hAnsi="仿宋_GB2312" w:cs="仿宋_GB2312" w:eastAsia="仿宋_GB2312"/>
                      <w:sz w:val="22"/>
                      <w:color w:val="000000"/>
                    </w:rPr>
                    <w:t>≤0.050mm、建模精度≥0.030mm、体积精度执行 0.020mm+0.100mm/m 标准；规范高模、低模分级建模标准：高模采用 STL、OBJ 格式，单文物三角面数控制在 100 万面 —600 万面区间，可根据文物尺寸合理适配调整；低模采用 OBJ 格式，单文物三角面数≤10 万面，模型贴图完整无瑕疵，满足存档、展示、轻量化应用分级使用要求。</w:t>
                  </w:r>
                  <w:r>
                    <w:br/>
                  </w:r>
                  <w:r>
                    <w:rPr>
                      <w:rFonts w:ascii="仿宋_GB2312" w:hAnsi="仿宋_GB2312" w:cs="仿宋_GB2312" w:eastAsia="仿宋_GB2312"/>
                      <w:sz w:val="22"/>
                      <w:color w:val="000000"/>
                    </w:rPr>
                    <w:t>二、三维纹理采集设计标准</w:t>
                  </w:r>
                  <w:r>
                    <w:br/>
                  </w:r>
                  <w:r>
                    <w:rPr>
                      <w:rFonts w:ascii="仿宋_GB2312" w:hAnsi="仿宋_GB2312" w:cs="仿宋_GB2312" w:eastAsia="仿宋_GB2312"/>
                      <w:sz w:val="22"/>
                      <w:color w:val="000000"/>
                    </w:rPr>
                    <w:t>制定文物三维纹理高清采集标准化工艺：采用</w:t>
                  </w:r>
                  <w:r>
                    <w:rPr>
                      <w:rFonts w:ascii="仿宋_GB2312" w:hAnsi="仿宋_GB2312" w:cs="仿宋_GB2312" w:eastAsia="仿宋_GB2312"/>
                      <w:sz w:val="22"/>
                      <w:color w:val="000000"/>
                    </w:rPr>
                    <w:t>ColorChecker Digital SG 专业色彩校准体系，保留完整校准参考依据；原始纹理数据采用 24bit 深度 RGB 色彩模式，多图色彩均匀一致性≥90%；单件文物纹理采集高清影像不少于 36 张，单张采集影像像素≥5000 万，纹理采集完整率≥95%，纹理有效分辨率≥8192×8192，采集光学分辨率≥300dpi；单张高清纹理贴图文件≥25MB（JPEG 格式）；设计纹理贴合工艺标准，贴图边缘融合自然、无接缝、无错位，贴图贴合精度≤0.5mm，确保文物纹理真实、完整、还原度高。</w:t>
                  </w:r>
                  <w:r>
                    <w:br/>
                  </w:r>
                  <w:r>
                    <w:rPr>
                      <w:rFonts w:ascii="仿宋_GB2312" w:hAnsi="仿宋_GB2312" w:cs="仿宋_GB2312" w:eastAsia="仿宋_GB2312"/>
                      <w:sz w:val="22"/>
                      <w:color w:val="000000"/>
                    </w:rPr>
                    <w:t>三、三维数据处理与质量控制设计规范</w:t>
                  </w:r>
                  <w:r>
                    <w:br/>
                  </w:r>
                  <w:r>
                    <w:rPr>
                      <w:rFonts w:ascii="仿宋_GB2312" w:hAnsi="仿宋_GB2312" w:cs="仿宋_GB2312" w:eastAsia="仿宋_GB2312"/>
                      <w:sz w:val="22"/>
                      <w:color w:val="000000"/>
                    </w:rPr>
                    <w:t>编制三维数据标准化处理及质量验收体系：规范点云去噪、精准配准、数据合并、合理精简工艺，完整保留文物原始形态与细节数据；制定模型重建标准，采用自动建模结合人工精修工艺，对文物关键结构、细节区域重点人工修复优化；统一纹理自动烘焙</w:t>
                  </w:r>
                  <w:r>
                    <w:rPr>
                      <w:rFonts w:ascii="仿宋_GB2312" w:hAnsi="仿宋_GB2312" w:cs="仿宋_GB2312" w:eastAsia="仿宋_GB2312"/>
                      <w:sz w:val="22"/>
                      <w:color w:val="000000"/>
                    </w:rPr>
                    <w:t>+ 人工微调贴合工艺，确保纹理坐标精准、贴合无偏差；建立 100% 全检质控体系，重点文物执行二次复核机制；明确成品缺陷控制标准，严禁模型破洞、扭曲、拉伸、色差、接缝模糊、纹理错位等质量问题。</w:t>
                  </w:r>
                  <w:r>
                    <w:br/>
                  </w:r>
                  <w:r>
                    <w:rPr>
                      <w:rFonts w:ascii="仿宋_GB2312" w:hAnsi="仿宋_GB2312" w:cs="仿宋_GB2312" w:eastAsia="仿宋_GB2312"/>
                      <w:sz w:val="22"/>
                      <w:color w:val="000000"/>
                    </w:rPr>
                    <w:t>四、交付设计成果</w:t>
                  </w:r>
                  <w:r>
                    <w:br/>
                  </w:r>
                  <w:r>
                    <w:rPr>
                      <w:rFonts w:ascii="仿宋_GB2312" w:hAnsi="仿宋_GB2312" w:cs="仿宋_GB2312" w:eastAsia="仿宋_GB2312"/>
                      <w:sz w:val="22"/>
                      <w:color w:val="000000"/>
                    </w:rPr>
                    <w:t>1、核心设计文件：文物三维扫描采集工艺规范、三维分级建模技术标准、三维纹理采集与校色技术导则、三维点云及模型处理规范、三维数字化成果质量验收细则；2、全过程设计管控归档成果（按本项目设计标准实施、经设计校核验收）：高精度三维高模模型、轻量化低模拓扑模型、8K 高清纹理贴图、WEB 端轻量化 GLB 展示模型成套成果包。</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数字化标识系统设计（一）全景漫游标准化设计服务</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本项属于数字文保专项设计内容，主要开展全景漫游交互界面功能方案设计、多终端适配技术架构设计、全景交互性能指标管控设计、全周期运维保障方案设计，编制完整全景数字化标识技术管控标准，用以指导全景场景采集加工、交互功能开发、线上部署、后期运维全流程工作，所有功能、性能指标可采用同等性能、等效技术方案替代，具体设计控制标准如下：</w:t>
                  </w:r>
                  <w:r>
                    <w:br/>
                  </w:r>
                  <w:r>
                    <w:rPr>
                      <w:rFonts w:ascii="仿宋_GB2312" w:hAnsi="仿宋_GB2312" w:cs="仿宋_GB2312" w:eastAsia="仿宋_GB2312"/>
                      <w:sz w:val="22"/>
                      <w:color w:val="000000"/>
                    </w:rPr>
                    <w:t>一、全景交互功能设计标准</w:t>
                  </w:r>
                  <w:r>
                    <w:br/>
                  </w:r>
                  <w:r>
                    <w:rPr>
                      <w:rFonts w:ascii="仿宋_GB2312" w:hAnsi="仿宋_GB2312" w:cs="仿宋_GB2312" w:eastAsia="仿宋_GB2312"/>
                      <w:sz w:val="22"/>
                      <w:color w:val="000000"/>
                    </w:rPr>
                    <w:t>统一</w:t>
                  </w:r>
                  <w:r>
                    <w:rPr>
                      <w:rFonts w:ascii="仿宋_GB2312" w:hAnsi="仿宋_GB2312" w:cs="仿宋_GB2312" w:eastAsia="仿宋_GB2312"/>
                      <w:sz w:val="22"/>
                      <w:color w:val="000000"/>
                    </w:rPr>
                    <w:t>PC、移动端双端全景交互界面设计规范：支持自定义开场引导画面并自主配置展示时长，可用于宣传导览页面；设计分层自定义菜单栏组件，按钮分组支持电话拨打、外部跳转链接、室内导航、图集弹窗多类交互；预留界面左上角自定义 Logo 挂载位并支持绑定跳转链接；适配移动端陀螺仪识别，配置陀螺仪开关供观众自主选择；设计小行星全景开场动画效果；支持作品访问浏览量统计并在界面展示；多场景漫游配套缩略图场景切换列表，各场景可嵌入文物实拍图、语音讲解、短视频信息热点；配套场景地理位置足迹标注功能；成品生成独立分享二维码支持社交转发，全景漫游成果可无缝嵌入博物馆官方门户网站对外展示。</w:t>
                  </w:r>
                  <w:r>
                    <w:br/>
                  </w:r>
                  <w:r>
                    <w:rPr>
                      <w:rFonts w:ascii="仿宋_GB2312" w:hAnsi="仿宋_GB2312" w:cs="仿宋_GB2312" w:eastAsia="仿宋_GB2312"/>
                      <w:sz w:val="22"/>
                      <w:color w:val="000000"/>
                    </w:rPr>
                    <w:t>二、全景系统技术架构设计标准</w:t>
                  </w:r>
                  <w:r>
                    <w:br/>
                  </w:r>
                  <w:r>
                    <w:rPr>
                      <w:rFonts w:ascii="仿宋_GB2312" w:hAnsi="仿宋_GB2312" w:cs="仿宋_GB2312" w:eastAsia="仿宋_GB2312"/>
                      <w:sz w:val="22"/>
                      <w:color w:val="000000"/>
                    </w:rPr>
                    <w:t>制定全景漫游系统底层开发架构设计要求，系统兼容</w:t>
                  </w:r>
                  <w:r>
                    <w:rPr>
                      <w:rFonts w:ascii="仿宋_GB2312" w:hAnsi="仿宋_GB2312" w:cs="仿宋_GB2312" w:eastAsia="仿宋_GB2312"/>
                      <w:sz w:val="22"/>
                      <w:color w:val="000000"/>
                    </w:rPr>
                    <w:t>Chrome、Firefox、Edge、Safari 全主流浏览器；100Mbps 带宽网络环境下全景作品首次完整加载耗时≤8 秒，保障线上流畅访问。</w:t>
                  </w:r>
                  <w:r>
                    <w:br/>
                  </w:r>
                  <w:r>
                    <w:rPr>
                      <w:rFonts w:ascii="仿宋_GB2312" w:hAnsi="仿宋_GB2312" w:cs="仿宋_GB2312" w:eastAsia="仿宋_GB2312"/>
                      <w:sz w:val="22"/>
                      <w:color w:val="000000"/>
                    </w:rPr>
                    <w:t>三、全景交互与性能设计指标</w:t>
                  </w:r>
                  <w:r>
                    <w:br/>
                  </w:r>
                  <w:r>
                    <w:rPr>
                      <w:rFonts w:ascii="仿宋_GB2312" w:hAnsi="仿宋_GB2312" w:cs="仿宋_GB2312" w:eastAsia="仿宋_GB2312"/>
                      <w:sz w:val="22"/>
                      <w:color w:val="000000"/>
                    </w:rPr>
                    <w:t>规范全场景交互响应标准，用户操作响应延迟</w:t>
                  </w:r>
                  <w:r>
                    <w:rPr>
                      <w:rFonts w:ascii="仿宋_GB2312" w:hAnsi="仿宋_GB2312" w:cs="仿宋_GB2312" w:eastAsia="仿宋_GB2312"/>
                      <w:sz w:val="22"/>
                      <w:color w:val="000000"/>
                    </w:rPr>
                    <w:t>≤300ms；支持 360° 自由旋转、0.5–2 倍无级缩放视角控制；热点系统统一支持图文、音频、短视频、三维模型素材嵌入；单套全景漫游系统并发承载≥1000 人同时在线访问；系统全年综合可用率≥99.9%；配套在线无感版本更新机制，迭代升级不中断观众线上浏览。</w:t>
                  </w:r>
                  <w:r>
                    <w:br/>
                  </w:r>
                  <w:r>
                    <w:rPr>
                      <w:rFonts w:ascii="仿宋_GB2312" w:hAnsi="仿宋_GB2312" w:cs="仿宋_GB2312" w:eastAsia="仿宋_GB2312"/>
                      <w:sz w:val="22"/>
                      <w:color w:val="000000"/>
                    </w:rPr>
                    <w:t>四、系统运维保障设计方案</w:t>
                  </w:r>
                  <w:r>
                    <w:br/>
                  </w:r>
                  <w:r>
                    <w:rPr>
                      <w:rFonts w:ascii="仿宋_GB2312" w:hAnsi="仿宋_GB2312" w:cs="仿宋_GB2312" w:eastAsia="仿宋_GB2312"/>
                      <w:sz w:val="22"/>
                      <w:color w:val="000000"/>
                    </w:rPr>
                    <w:t>编制项目全周期技术服务设计标准，完工后配套</w:t>
                  </w:r>
                  <w:r>
                    <w:rPr>
                      <w:rFonts w:ascii="仿宋_GB2312" w:hAnsi="仿宋_GB2312" w:cs="仿宋_GB2312" w:eastAsia="仿宋_GB2312"/>
                      <w:sz w:val="22"/>
                      <w:color w:val="000000"/>
                    </w:rPr>
                    <w:t>3 次现场实操培训；项目验收交付后提供 1 年远程技术支撑、1 年全流程免费系统运维保障服务，及时处置全景功能、线上访问相关故障。</w:t>
                  </w:r>
                  <w:r>
                    <w:br/>
                  </w:r>
                  <w:r>
                    <w:rPr>
                      <w:rFonts w:ascii="仿宋_GB2312" w:hAnsi="仿宋_GB2312" w:cs="仿宋_GB2312" w:eastAsia="仿宋_GB2312"/>
                      <w:sz w:val="22"/>
                      <w:color w:val="000000"/>
                    </w:rPr>
                    <w:t>五、交付设计成果</w:t>
                  </w:r>
                  <w:r>
                    <w:br/>
                  </w:r>
                  <w:r>
                    <w:rPr>
                      <w:rFonts w:ascii="仿宋_GB2312" w:hAnsi="仿宋_GB2312" w:cs="仿宋_GB2312" w:eastAsia="仿宋_GB2312"/>
                      <w:sz w:val="22"/>
                      <w:color w:val="000000"/>
                    </w:rPr>
                    <w:t>1、核心设计文件：全景漫游交互功能设计方案、全景系统技术架构说明书、多终端交互性能管控细则、全景系统运维培训维保服务方案；2、全过程设计管控配套归档成果（按本项目设计标准实施、经设计校核验收）：交互式全景漫游线上部署包、移动端分享二维码素材。</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数字化标识系统设计（二）语音导览配音标准化设计服务</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本项为数字文保专项配套设计内容，主要开展博物馆语音导览配音人员资质标准设计、播音风格体系设计、语言规范标准设计、音频技术参数设计、音质质量管控标准设计及成果交付规范设计，编制完整语音导览标准化技术文件，用于规范全程配音录制、文稿校对、音频处理、质量验收全流程技术要求，所有指标可采用同等性能等效方案替代，具体设计控制标准如下：</w:t>
                  </w:r>
                  <w:r>
                    <w:br/>
                  </w:r>
                  <w:r>
                    <w:rPr>
                      <w:rFonts w:ascii="仿宋_GB2312" w:hAnsi="仿宋_GB2312" w:cs="仿宋_GB2312" w:eastAsia="仿宋_GB2312"/>
                      <w:sz w:val="22"/>
                      <w:color w:val="000000"/>
                    </w:rPr>
                    <w:t>一、录制团队与播音风格设计标准</w:t>
                  </w:r>
                  <w:r>
                    <w:br/>
                  </w:r>
                  <w:r>
                    <w:rPr>
                      <w:rFonts w:ascii="仿宋_GB2312" w:hAnsi="仿宋_GB2312" w:cs="仿宋_GB2312" w:eastAsia="仿宋_GB2312"/>
                      <w:sz w:val="22"/>
                      <w:color w:val="000000"/>
                    </w:rPr>
                    <w:t>人员资质设计要求：制定专业配音人员准入标准，配音人员需持有国家一级</w:t>
                  </w:r>
                  <w:r>
                    <w:rPr>
                      <w:rFonts w:ascii="仿宋_GB2312" w:hAnsi="仿宋_GB2312" w:cs="仿宋_GB2312" w:eastAsia="仿宋_GB2312"/>
                      <w:sz w:val="22"/>
                      <w:color w:val="000000"/>
                    </w:rPr>
                    <w:t>/ 二级播音员证书，具备博物馆、纪录片专业解说从业经验，可适配庄重、大气、亲和、童趣等多类播音风格；文稿校对人员需具备文博、考古、自然科学、传播学相关专业背景，保障讲解内容严谨、规范、准确。</w:t>
                  </w:r>
                  <w:r>
                    <w:br/>
                  </w:r>
                  <w:r>
                    <w:rPr>
                      <w:rFonts w:ascii="仿宋_GB2312" w:hAnsi="仿宋_GB2312" w:cs="仿宋_GB2312" w:eastAsia="仿宋_GB2312"/>
                      <w:sz w:val="22"/>
                      <w:color w:val="000000"/>
                    </w:rPr>
                    <w:t>播音风格设计规范：基础播音风格要求大气磁性、成熟稳重、浑厚低沉、抑扬顿挫、情感饱满；可根据博物馆整体展陈定位，定制文化科普风、故事讲述风、沉浸式体验风等专属解说风格。</w:t>
                  </w:r>
                  <w:r>
                    <w:br/>
                  </w:r>
                  <w:r>
                    <w:rPr>
                      <w:rFonts w:ascii="仿宋_GB2312" w:hAnsi="仿宋_GB2312" w:cs="仿宋_GB2312" w:eastAsia="仿宋_GB2312"/>
                      <w:sz w:val="22"/>
                      <w:color w:val="000000"/>
                    </w:rPr>
                    <w:t>语言标准化设计要求：统一采用普通话一级甲等播音标准，全程无方言口音、无平翘舌及发音错误，语言表达规范严谨。</w:t>
                  </w:r>
                  <w:r>
                    <w:br/>
                  </w:r>
                  <w:r>
                    <w:rPr>
                      <w:rFonts w:ascii="仿宋_GB2312" w:hAnsi="仿宋_GB2312" w:cs="仿宋_GB2312" w:eastAsia="仿宋_GB2312"/>
                      <w:sz w:val="22"/>
                      <w:color w:val="000000"/>
                    </w:rPr>
                    <w:t>二、音频技术参数设计标准</w:t>
                  </w:r>
                  <w:r>
                    <w:br/>
                  </w:r>
                  <w:r>
                    <w:rPr>
                      <w:rFonts w:ascii="仿宋_GB2312" w:hAnsi="仿宋_GB2312" w:cs="仿宋_GB2312" w:eastAsia="仿宋_GB2312"/>
                      <w:sz w:val="22"/>
                      <w:color w:val="000000"/>
                    </w:rPr>
                    <w:t>统一博物馆专业导览音频制作技术规范：</w:t>
                  </w:r>
                  <w:r>
                    <w:br/>
                  </w:r>
                  <w:r>
                    <w:rPr>
                      <w:rFonts w:ascii="仿宋_GB2312" w:hAnsi="仿宋_GB2312" w:cs="仿宋_GB2312" w:eastAsia="仿宋_GB2312"/>
                      <w:sz w:val="22"/>
                      <w:color w:val="000000"/>
                    </w:rPr>
                    <w:t>音频格式标准：设计采用无损</w:t>
                  </w:r>
                  <w:r>
                    <w:rPr>
                      <w:rFonts w:ascii="仿宋_GB2312" w:hAnsi="仿宋_GB2312" w:cs="仿宋_GB2312" w:eastAsia="仿宋_GB2312"/>
                      <w:sz w:val="22"/>
                      <w:color w:val="000000"/>
                    </w:rPr>
                    <w:t>WAV 为主交付格式，同步配套通用 MP3 备用格式；</w:t>
                  </w:r>
                  <w:r>
                    <w:br/>
                  </w:r>
                  <w:r>
                    <w:rPr>
                      <w:rFonts w:ascii="仿宋_GB2312" w:hAnsi="仿宋_GB2312" w:cs="仿宋_GB2312" w:eastAsia="仿宋_GB2312"/>
                      <w:sz w:val="22"/>
                      <w:color w:val="000000"/>
                    </w:rPr>
                    <w:t>采样精度标准：采样率</w:t>
                  </w:r>
                  <w:r>
                    <w:rPr>
                      <w:rFonts w:ascii="仿宋_GB2312" w:hAnsi="仿宋_GB2312" w:cs="仿宋_GB2312" w:eastAsia="仿宋_GB2312"/>
                      <w:sz w:val="22"/>
                      <w:color w:val="000000"/>
                    </w:rPr>
                    <w:t>≥44.1kHz，位深支持 16bit/24bit 可选，满足专业文博音频播放系统适配要求；</w:t>
                  </w:r>
                  <w:r>
                    <w:br/>
                  </w:r>
                  <w:r>
                    <w:rPr>
                      <w:rFonts w:ascii="仿宋_GB2312" w:hAnsi="仿宋_GB2312" w:cs="仿宋_GB2312" w:eastAsia="仿宋_GB2312"/>
                      <w:sz w:val="22"/>
                      <w:color w:val="000000"/>
                    </w:rPr>
                    <w:t>声道设计标准：采用立体声录制工艺，同时兼容单声道输出，适配展厅现场扩声系统；</w:t>
                  </w:r>
                  <w:r>
                    <w:br/>
                  </w:r>
                  <w:r>
                    <w:rPr>
                      <w:rFonts w:ascii="仿宋_GB2312" w:hAnsi="仿宋_GB2312" w:cs="仿宋_GB2312" w:eastAsia="仿宋_GB2312"/>
                      <w:sz w:val="22"/>
                      <w:color w:val="000000"/>
                    </w:rPr>
                    <w:t>音量响度标准：音频音量峰值管控区间为</w:t>
                  </w:r>
                  <w:r>
                    <w:rPr>
                      <w:rFonts w:ascii="仿宋_GB2312" w:hAnsi="仿宋_GB2312" w:cs="仿宋_GB2312" w:eastAsia="仿宋_GB2312"/>
                      <w:sz w:val="22"/>
                      <w:color w:val="000000"/>
                    </w:rPr>
                    <w:t>- 6dB～-3dB，响度符合 ITU-R BS.1770-4 国际标准，整段音频音量均衡、无高低起伏偏差。</w:t>
                  </w:r>
                  <w:r>
                    <w:br/>
                  </w:r>
                  <w:r>
                    <w:rPr>
                      <w:rFonts w:ascii="仿宋_GB2312" w:hAnsi="仿宋_GB2312" w:cs="仿宋_GB2312" w:eastAsia="仿宋_GB2312"/>
                      <w:sz w:val="22"/>
                      <w:color w:val="000000"/>
                    </w:rPr>
                    <w:t>三、音频音质质量管控设计标准</w:t>
                  </w:r>
                  <w:r>
                    <w:br/>
                  </w:r>
                  <w:r>
                    <w:rPr>
                      <w:rFonts w:ascii="仿宋_GB2312" w:hAnsi="仿宋_GB2312" w:cs="仿宋_GB2312" w:eastAsia="仿宋_GB2312"/>
                      <w:sz w:val="22"/>
                      <w:color w:val="000000"/>
                    </w:rPr>
                    <w:t>制定导览音频成品验收质控规范：音频成品无电流声、底噪、杂音、爆音、喷麦、回音等瑕疵；人声清晰饱满、圆润自然、无失真、无过重齿音；背景噪音</w:t>
                  </w:r>
                  <w:r>
                    <w:rPr>
                      <w:rFonts w:ascii="仿宋_GB2312" w:hAnsi="仿宋_GB2312" w:cs="仿宋_GB2312" w:eastAsia="仿宋_GB2312"/>
                      <w:sz w:val="22"/>
                      <w:color w:val="000000"/>
                    </w:rPr>
                    <w:t>≤-60dB，确保展厅公共环境下播放清晰通透、收听体验稳定。</w:t>
                  </w:r>
                  <w:r>
                    <w:br/>
                  </w:r>
                  <w:r>
                    <w:rPr>
                      <w:rFonts w:ascii="仿宋_GB2312" w:hAnsi="仿宋_GB2312" w:cs="仿宋_GB2312" w:eastAsia="仿宋_GB2312"/>
                      <w:sz w:val="22"/>
                      <w:color w:val="000000"/>
                    </w:rPr>
                    <w:t>四、交付设计成果</w:t>
                  </w:r>
                  <w:r>
                    <w:br/>
                  </w:r>
                  <w:r>
                    <w:rPr>
                      <w:rFonts w:ascii="仿宋_GB2312" w:hAnsi="仿宋_GB2312" w:cs="仿宋_GB2312" w:eastAsia="仿宋_GB2312"/>
                      <w:sz w:val="22"/>
                      <w:color w:val="000000"/>
                    </w:rPr>
                    <w:t>1、核心设计文件：语音导览播音资质及风格标准规范、音频录制技术参数导则、音频音质质量验收细则；2、设计管控归档成果：标准化配音讲解文稿（Word 版）、双格式立体声成品音频文件（WAV+MP3）。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供应商根据项目情况及招标文件要求实际配备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供应商根据项目情况及招标文件要求实际配备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供应商根据项目情况及招标文件要求实际配备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自合同签订之日起120个日历日内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符合项目要求及甲方要求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进度款，按照合同约定甲方向乙方及时拨付工程款项，达到付款条件起7个工作日内，支付合同总金额的40.0%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其他，全套施工图正式交付、通过图审机构审查合格，达到付款条件起15个工作日内，支付合同总金额的55.0%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其他，一年内无质量问题或已完成修改后，达到付款条件起30个工作日内，支付合同总金额的5.0%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在履行过程中发生的与之有关的任何争议，双方友好协商解决，协商不成的，由采购人所在地仲裁机构裁决</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分项报价表(2).xlsx 开标一览表 投标函 中小企业声明函 残疾人福利性单位声明函 商务应答表 服务方案 服务内容及服务要求应答表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分项报价表(2).xlsx 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开标前三个月内银行出具的资信证明，（以上两种形式的资料提供任何一种即可）</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提供开标截止时间前6个月内至少已缴纳1个月的完税证明，完税证明上应有代收机构或税务机关的公章或业务专用章。依法免税或新成立的供应商应提供相关文件证明</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至少已缴存1个月的社会保障资金缴存单据或社保机构开具的社会保险参保缴费情况证明，单据或证明上应有社保机构或代收机构的公章或业务专用章。依法不需要缴纳社会保障资金或新成立的供应商应提供相关文件证明</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本项目不接受联合体投标，单位负责人为同一人或者存在直接控股、管理关系的不同投标人，不得参加同一合同项下的政府采购活动（提供非联合体投标声明，包括控股管理声明）</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具备建设行政部门核发的工程设计综合资质或工程设计建筑行业乙级及以上资质或工程设计建筑行业(建筑工程)专业资质乙级及以上资质或（建筑装饰工程通用专业、建筑智能化工程通用专业、消防设施工程通用专业）乙级及以上资质。拟派项目负责人须具备(建筑工程相关专业)高级及以上技术职称同时具备一级注册建筑师，提供开标截止时间前6个月内至少一个月供应商为其缴纳的社会保险证明材料（五险一金提供一项即可），且无不良记录；</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磋商报价不超过采购预算/限价</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对磋商文件技术要求作出明确响应，对不得偏离的要求是否作了实质性响应</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针对本项目的理解，内容包括但不限于①项目背景与建设意义认知②项目核心建设重点认知③项目核心功能定位认知④项目整体实施认知等。方案内容详细完整、针对性强、可行性高，符合项目实际要求。 每项满分1分，缺项不得分，每项内容存在 缺陷，扣0.5分。缺陷是指内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项目设计成本控制措施</w:t>
            </w:r>
          </w:p>
        </w:tc>
        <w:tc>
          <w:tcPr>
            <w:tcW w:type="dxa" w:w="2492"/>
          </w:tcPr>
          <w:p>
            <w:pPr>
              <w:pStyle w:val="null3"/>
            </w:pPr>
            <w:r>
              <w:rPr>
                <w:rFonts w:ascii="仿宋_GB2312" w:hAnsi="仿宋_GB2312" w:cs="仿宋_GB2312" w:eastAsia="仿宋_GB2312"/>
              </w:rPr>
              <w:t>针对本项目的项目设计成本控制措施，包括但不限于①限额设计与目标分解②方案比选与技术经济论证③全流程成本管控节点④动态监控与偏差调整等。方案内容详细完整、针对性强、可行性高，符合项目实际 要求。 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针对本项目的项目服务承诺，包括但不限于①响应及时性保障②设计变更管理③后期服务跟进等。方案内容详细完整、针对性强、可行性高，符合项目实际 要求。 每项满分1分，缺项不得分 , 每项内容存在缺陷，扣0.5分。缺陷是指内容不合理、虽有内容但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造价控制措施</w:t>
            </w:r>
          </w:p>
        </w:tc>
        <w:tc>
          <w:tcPr>
            <w:tcW w:type="dxa" w:w="2492"/>
          </w:tcPr>
          <w:p>
            <w:pPr>
              <w:pStyle w:val="null3"/>
            </w:pPr>
            <w:r>
              <w:rPr>
                <w:rFonts w:ascii="仿宋_GB2312" w:hAnsi="仿宋_GB2312" w:cs="仿宋_GB2312" w:eastAsia="仿宋_GB2312"/>
              </w:rPr>
              <w:t>针对本项目的设计服务组织的保证措施，包括①材料设备造价管控标准与要求②施工过程造价管控标准与要求③工程变更与签证管控标准与要求④竣工结算造价管控标准与要求⑤造价管控组织及人员职责保障措施等。方案内容详细完整、针对性强、可行性高，符合项目实际 要求。 每项满分1分，缺项不得分 , 每项内容存在缺陷，扣0.5分。缺陷是指内容不合理、虽有内容但不完善、内容表述前后不一致、套用其他项目方案或与项目需求不匹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时间进度安排计划</w:t>
            </w:r>
          </w:p>
        </w:tc>
        <w:tc>
          <w:tcPr>
            <w:tcW w:type="dxa" w:w="2492"/>
          </w:tcPr>
          <w:p>
            <w:pPr>
              <w:pStyle w:val="null3"/>
            </w:pPr>
            <w:r>
              <w:rPr>
                <w:rFonts w:ascii="仿宋_GB2312" w:hAnsi="仿宋_GB2312" w:cs="仿宋_GB2312" w:eastAsia="仿宋_GB2312"/>
              </w:rPr>
              <w:t>针对本项目的设计时间进度安排计划，包括①阶段划分与关键节点②资源配置与进度保障③风险应对与动态调整④进度可视化与验收标准等。方案内容详细完整、针对性强、可行性高，符合项目实际 要求。 每项满分1分，缺项不得分 , 每项内容存在缺陷，扣0.5分。缺陷是指内容不合理、虽有内容但不完善、内容表述前后不一致、套用其他项目方案或与项目需求不匹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针对本项目的重难点分析，包括但不限于①重点难点识别全面性②应对措施针对性③技术衔接与兼容性问题④建议可行性等。方案内容详细完整、针对性强、可行性高，符合项目实际 要求。 每项满分1分，缺项不得分 , 每项内容存在缺陷，扣0.5分。缺陷是指内容不合理、虽有内容但不完善、内容表述前后不一致、套用其他项目方案或与项目需求不匹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设计质量控制的保证措施</w:t>
            </w:r>
          </w:p>
        </w:tc>
        <w:tc>
          <w:tcPr>
            <w:tcW w:type="dxa" w:w="2492"/>
          </w:tcPr>
          <w:p>
            <w:pPr>
              <w:pStyle w:val="null3"/>
            </w:pPr>
            <w:r>
              <w:rPr>
                <w:rFonts w:ascii="仿宋_GB2312" w:hAnsi="仿宋_GB2312" w:cs="仿宋_GB2312" w:eastAsia="仿宋_GB2312"/>
              </w:rPr>
              <w:t>针对本项目的设计质量控制的保证措施，包括但不限于①规范执行与标准落地②全流程质量管控机制③专业协同与技术复核④质量追溯与动态优化等。方案内容详细完整、针对性强、可行性高，符合项目实际 要求。 每项满分1分，缺项不得分 , 每项内容存在缺陷，扣0.5分。缺陷是指内容不合理、虽有内容但不完善、内容表述前后不一致、套用其他项目方案或与项目需求不匹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项目设计方案</w:t>
            </w:r>
          </w:p>
        </w:tc>
        <w:tc>
          <w:tcPr>
            <w:tcW w:type="dxa" w:w="2492"/>
          </w:tcPr>
          <w:p>
            <w:pPr>
              <w:pStyle w:val="null3"/>
            </w:pPr>
            <w:r>
              <w:rPr>
                <w:rFonts w:ascii="仿宋_GB2312" w:hAnsi="仿宋_GB2312" w:cs="仿宋_GB2312" w:eastAsia="仿宋_GB2312"/>
              </w:rPr>
              <w:t>针对本项目的项目设计方案，包括①展陈内容策划与大纲编制要求②展陈装修与空间功能设计要求③数字化保护与文物数据采集标准设计要求④多媒体展陈与智慧系统集成设计要求⑤专项系统与跨专业协同设计要求⑥全过程技术服务与成果交付要求等内容。方案内容详细完整、针对性强、可行性高，符合项目实际 要求。 每项满分2，缺项不得分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技术人员配置</w:t>
            </w:r>
          </w:p>
        </w:tc>
        <w:tc>
          <w:tcPr>
            <w:tcW w:type="dxa" w:w="2492"/>
          </w:tcPr>
          <w:p>
            <w:pPr>
              <w:pStyle w:val="null3"/>
            </w:pPr>
            <w:r>
              <w:rPr>
                <w:rFonts w:ascii="仿宋_GB2312" w:hAnsi="仿宋_GB2312" w:cs="仿宋_GB2312" w:eastAsia="仿宋_GB2312"/>
              </w:rPr>
              <w:t>技术人员配置 计分注册证书：一级注册建筑师、一级注册结构工程师、注册公用设备工程师（给排水、暖通、动力）、注册电气工程师（供配电、发输变电）、一级注册消防工程师。 计分标准 ① 同持对应专业注册证 + 高级职称：每人 6 分 ② 同持对应专业注册证 + 中级职称：每人 3 分 ③ 仅中级 / 仅高级 / 仅对应专业注册证：每人 1 分 计分规则 职称、注册专业须匹配；单人仅按最高分值档位计分，多证多职称不重复累加；项目负责人、拟投入技术人员均可计分，总分最高 30 分。 材料要求 提供人员身份证、有效职称证、注册证（注册单位为投标人）复印件加盖公章，附开标前半年内任一月份本单位社保；成立不足半年企业提供成立至今社保。 证件过期、注册单位不符、专业不匹配、社保不一致、资料缺失的人员不予计分。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供应商提供近五年至今具有类似项目业绩 ，每提供一份合同得10分，共计20分。（注：提供设计服务合同，时间以合同签订时间为准）。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 为满分。其他供应商的价格分统一按照下列公式计算：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详见附件：分项报价表(2).xlsx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详见附件：三原县国家文物保护单位城隍庙展示利用设施建设项目展陈装修、数字文保工程及数字化标识系统政府采购合同(1).docx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