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753B2">
      <w:pPr>
        <w:spacing w:before="480" w:after="480" w:line="288" w:lineRule="auto"/>
        <w:ind w:left="0"/>
        <w:jc w:val="center"/>
        <w:rPr>
          <w:rFonts w:hint="eastAsia" w:ascii="宋体" w:hAnsi="宋体" w:eastAsia="宋体" w:cs="宋体"/>
          <w:b/>
          <w:sz w:val="52"/>
          <w:lang w:val="en-US" w:eastAsia="zh-CN"/>
        </w:rPr>
      </w:pPr>
      <w:r>
        <w:rPr>
          <w:rFonts w:hint="eastAsia" w:ascii="宋体" w:hAnsi="宋体" w:eastAsia="宋体" w:cs="宋体"/>
          <w:b/>
          <w:sz w:val="52"/>
        </w:rPr>
        <w:t>三原县国家文物保护单位城隍庙展示利用设施建设项目展陈装修、数字文保工程及数字化标识系统</w:t>
      </w:r>
      <w:r>
        <w:rPr>
          <w:rFonts w:hint="eastAsia" w:ascii="宋体" w:hAnsi="宋体" w:eastAsia="宋体" w:cs="宋体"/>
          <w:b/>
          <w:sz w:val="52"/>
          <w:lang w:val="en-US" w:eastAsia="zh-CN"/>
        </w:rPr>
        <w:t>设计</w:t>
      </w:r>
    </w:p>
    <w:p w14:paraId="341BB83F">
      <w:pPr>
        <w:spacing w:before="480" w:after="480" w:line="288" w:lineRule="auto"/>
        <w:ind w:left="0"/>
        <w:jc w:val="center"/>
        <w:rPr>
          <w:rFonts w:hint="eastAsia" w:ascii="宋体" w:hAnsi="宋体" w:eastAsia="宋体" w:cs="宋体"/>
          <w:b/>
          <w:sz w:val="52"/>
        </w:rPr>
      </w:pPr>
    </w:p>
    <w:p w14:paraId="2380E248">
      <w:pPr>
        <w:spacing w:before="480" w:after="480" w:line="288" w:lineRule="auto"/>
        <w:ind w:left="0"/>
        <w:jc w:val="center"/>
        <w:rPr>
          <w:rFonts w:hint="eastAsia" w:ascii="宋体" w:hAnsi="宋体" w:eastAsia="宋体" w:cs="宋体"/>
          <w:b/>
          <w:sz w:val="52"/>
        </w:rPr>
      </w:pPr>
    </w:p>
    <w:p w14:paraId="110D182A">
      <w:pPr>
        <w:spacing w:before="480" w:after="480" w:line="288" w:lineRule="auto"/>
        <w:ind w:left="0"/>
        <w:jc w:val="center"/>
        <w:rPr>
          <w:rFonts w:hint="eastAsia" w:ascii="宋体" w:hAnsi="宋体" w:eastAsia="宋体" w:cs="宋体"/>
          <w:b/>
          <w:sz w:val="52"/>
        </w:rPr>
      </w:pPr>
    </w:p>
    <w:p w14:paraId="3294EBE7">
      <w:pPr>
        <w:spacing w:before="480" w:after="480" w:line="288" w:lineRule="auto"/>
        <w:ind w:left="0"/>
        <w:jc w:val="center"/>
        <w:rPr>
          <w:rFonts w:hint="eastAsia" w:ascii="宋体" w:hAnsi="宋体" w:eastAsia="宋体" w:cs="宋体"/>
          <w:b/>
          <w:sz w:val="52"/>
          <w:lang w:eastAsia="zh-CN"/>
        </w:rPr>
      </w:pPr>
      <w:r>
        <w:rPr>
          <w:rFonts w:hint="eastAsia" w:ascii="宋体" w:hAnsi="宋体" w:eastAsia="宋体" w:cs="宋体"/>
          <w:b/>
          <w:sz w:val="52"/>
        </w:rPr>
        <w:t>政府采购合同</w:t>
      </w:r>
      <w:r>
        <w:rPr>
          <w:rFonts w:hint="eastAsia" w:ascii="宋体" w:hAnsi="宋体" w:eastAsia="宋体" w:cs="宋体"/>
          <w:b/>
          <w:sz w:val="52"/>
          <w:lang w:eastAsia="zh-CN"/>
        </w:rPr>
        <w:t>（</w:t>
      </w:r>
      <w:r>
        <w:rPr>
          <w:rFonts w:hint="eastAsia" w:ascii="宋体" w:hAnsi="宋体" w:eastAsia="宋体" w:cs="宋体"/>
          <w:b/>
          <w:sz w:val="52"/>
          <w:lang w:val="en-US" w:eastAsia="zh-CN"/>
        </w:rPr>
        <w:t>仅供参考</w:t>
      </w:r>
      <w:r>
        <w:rPr>
          <w:rFonts w:hint="eastAsia" w:ascii="宋体" w:hAnsi="宋体" w:eastAsia="宋体" w:cs="宋体"/>
          <w:b/>
          <w:sz w:val="52"/>
          <w:lang w:eastAsia="zh-CN"/>
        </w:rPr>
        <w:t>）</w:t>
      </w:r>
    </w:p>
    <w:p w14:paraId="1CE9A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b/>
          <w:sz w:val="52"/>
        </w:rPr>
      </w:pPr>
      <w:r>
        <w:rPr>
          <w:rFonts w:hint="eastAsia" w:ascii="宋体" w:hAnsi="宋体" w:eastAsia="宋体" w:cs="宋体"/>
          <w:b/>
          <w:sz w:val="52"/>
        </w:rPr>
        <w:br w:type="page"/>
      </w:r>
    </w:p>
    <w:p w14:paraId="2C7B8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合同编号：</w:t>
      </w:r>
    </w:p>
    <w:p w14:paraId="785BE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甲方（采购单位）：</w:t>
      </w:r>
    </w:p>
    <w:p w14:paraId="3D842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乙方（中标供应商）：</w:t>
      </w:r>
    </w:p>
    <w:p w14:paraId="27F9F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依据《中华人民共和国政府采购法》《中华人民共和国民法典》《博物馆展览内容设计规范》（WW/T0088-2018）、《博物馆陈列展览形式设计与施工规范》（WW/T 0089-2018）等法律法规，本项目经公开招标、综合评分法评审确定乙方为本项目中标单位，甲乙双方本着平等自愿、诚实信用原则，就本项目设计服务事宜订立本合同，共同遵照执行。</w:t>
      </w:r>
    </w:p>
    <w:p w14:paraId="54483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0" w:name="heading_0"/>
      <w:r>
        <w:rPr>
          <w:rFonts w:hint="eastAsia" w:ascii="宋体" w:hAnsi="宋体" w:eastAsia="宋体" w:cs="宋体"/>
          <w:b/>
          <w:sz w:val="24"/>
          <w:szCs w:val="24"/>
        </w:rPr>
        <w:t>第一条 项目概况</w:t>
      </w:r>
      <w:bookmarkEnd w:id="0"/>
    </w:p>
    <w:p w14:paraId="4520FA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 w14:paraId="07CDFE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项目实施地点：</w:t>
      </w:r>
    </w:p>
    <w:p w14:paraId="2A071F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预算及合同总价：</w:t>
      </w:r>
    </w:p>
    <w:p w14:paraId="2116C9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本价格为固定总价包干，</w:t>
      </w:r>
      <w:r>
        <w:rPr>
          <w:rFonts w:hint="eastAsia" w:ascii="宋体" w:hAnsi="宋体" w:eastAsia="宋体" w:cs="宋体"/>
          <w:sz w:val="24"/>
          <w:szCs w:val="24"/>
        </w:rPr>
        <w:t>包含人工、勘测、设计、评审、报审、驻场服务、培训、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售后、</w:t>
      </w:r>
      <w:bookmarkStart w:id="15" w:name="_GoBack"/>
      <w:bookmarkEnd w:id="15"/>
      <w:r>
        <w:rPr>
          <w:rFonts w:hint="eastAsia" w:ascii="宋体" w:hAnsi="宋体" w:eastAsia="宋体" w:cs="宋体"/>
          <w:sz w:val="24"/>
          <w:szCs w:val="24"/>
        </w:rPr>
        <w:t>税费、差旅等全部费用，甲方无需额外支付任何款项。</w:t>
      </w:r>
    </w:p>
    <w:p w14:paraId="0E4EF3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合同履行期限：自本合同签订之日起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内完成全部设计、成果交付、图纸报审、配合验收等全部工作。</w:t>
      </w:r>
    </w:p>
    <w:p w14:paraId="45991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1" w:name="heading_1"/>
      <w:r>
        <w:rPr>
          <w:rFonts w:hint="eastAsia" w:ascii="宋体" w:hAnsi="宋体" w:eastAsia="宋体" w:cs="宋体"/>
          <w:b/>
          <w:sz w:val="24"/>
          <w:szCs w:val="24"/>
        </w:rPr>
        <w:t>第二条 服务范围与技术标准</w:t>
      </w:r>
      <w:bookmarkEnd w:id="1"/>
    </w:p>
    <w:p w14:paraId="6B2BC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b/>
          <w:sz w:val="24"/>
          <w:szCs w:val="24"/>
        </w:rPr>
      </w:pPr>
      <w:bookmarkStart w:id="2" w:name="heading_2"/>
      <w:r>
        <w:rPr>
          <w:rFonts w:hint="eastAsia" w:ascii="宋体" w:hAnsi="宋体" w:eastAsia="宋体" w:cs="宋体"/>
          <w:b/>
          <w:sz w:val="24"/>
          <w:szCs w:val="24"/>
        </w:rPr>
        <w:t>（一）服务内容</w:t>
      </w:r>
      <w:bookmarkEnd w:id="2"/>
    </w:p>
    <w:p w14:paraId="717123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服务内容：</w:t>
      </w:r>
    </w:p>
    <w:p w14:paraId="6E47C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b/>
          <w:sz w:val="24"/>
          <w:szCs w:val="24"/>
        </w:rPr>
      </w:pPr>
      <w:bookmarkStart w:id="3" w:name="heading_3"/>
      <w:r>
        <w:rPr>
          <w:rFonts w:hint="eastAsia" w:ascii="宋体" w:hAnsi="宋体" w:eastAsia="宋体" w:cs="宋体"/>
          <w:b/>
          <w:sz w:val="24"/>
          <w:szCs w:val="24"/>
        </w:rPr>
        <w:t>（二）执行标准</w:t>
      </w:r>
      <w:bookmarkEnd w:id="3"/>
    </w:p>
    <w:p w14:paraId="1432E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乙方全部工作必须严格执行国家、文博、消防、安防、环保现行规范，包含但不限于：WW/T0088-2018、WW/T0089-2018、GB/T 16571、GB/T30713、GB50016-2014（2018 版）、国家三级博物馆建设标准及招标文件采购需求全部技术参数。</w:t>
      </w:r>
    </w:p>
    <w:p w14:paraId="0EDCB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auto"/>
        <w:outlineLvl w:val="1"/>
        <w:rPr>
          <w:rFonts w:hint="eastAsia" w:ascii="宋体" w:hAnsi="宋体" w:eastAsia="宋体" w:cs="宋体"/>
          <w:b/>
          <w:sz w:val="24"/>
          <w:szCs w:val="24"/>
        </w:rPr>
      </w:pPr>
      <w:bookmarkStart w:id="4" w:name="heading_4"/>
      <w:r>
        <w:rPr>
          <w:rFonts w:hint="eastAsia" w:ascii="宋体" w:hAnsi="宋体" w:eastAsia="宋体" w:cs="宋体"/>
          <w:b/>
          <w:sz w:val="24"/>
          <w:szCs w:val="24"/>
        </w:rPr>
        <w:t>第三条 成果交付要求</w:t>
      </w:r>
      <w:bookmarkEnd w:id="4"/>
    </w:p>
    <w:p w14:paraId="5D84D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乙方分阶段向甲方交付纸质盖章版、电子版全套成果，包含调研报告、分级展陈大纲、全套设计图纸、效果图、概算/预算文件、三维文物标准规范、全景漫游部署包、语音导览音频、竣工归档资料、培训手册等，所有成果需通过甲方、文博主管部门、图审机构审查合格。</w:t>
      </w:r>
    </w:p>
    <w:p w14:paraId="7EFE7393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5" w:name="heading_5"/>
      <w:r>
        <w:rPr>
          <w:rFonts w:hint="eastAsia" w:ascii="宋体" w:hAnsi="宋体" w:eastAsia="宋体" w:cs="宋体"/>
          <w:b/>
          <w:sz w:val="32"/>
        </w:rPr>
        <w:t>第四条 合同价款支付方式</w:t>
      </w:r>
      <w:bookmarkEnd w:id="5"/>
    </w:p>
    <w:p w14:paraId="645F6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本项目无履约保证金、无质量保证金，款项分三期支付，甲方收到乙方合规增值税发票后于约定时限内拨付：</w:t>
      </w:r>
    </w:p>
    <w:p w14:paraId="4024B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第一期进度款（40%）：合同签订、乙方进场开展前期策划调研，达到付款条件7个工作日内，支付合同总价40%；</w:t>
      </w:r>
    </w:p>
    <w:p w14:paraId="66ED3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第二期进度款（55%）：全套施工图交付并通过图审机构审查合格，达到付款条件 15 个工作日内，支付合同总价55%；</w:t>
      </w:r>
    </w:p>
    <w:p w14:paraId="11694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第三期尾款（5%）：项目全部成果交付完成，满1年无设计质量问题或乙方完成全部整改，达到付款条件30个工作日内，支付剩余5%尾款。</w:t>
      </w:r>
    </w:p>
    <w:p w14:paraId="14DDB9E3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6" w:name="heading_6"/>
      <w:r>
        <w:rPr>
          <w:rFonts w:hint="eastAsia" w:ascii="宋体" w:hAnsi="宋体" w:eastAsia="宋体" w:cs="宋体"/>
          <w:b/>
          <w:sz w:val="32"/>
        </w:rPr>
        <w:t>第五条 双方权利与义务</w:t>
      </w:r>
      <w:bookmarkEnd w:id="6"/>
    </w:p>
    <w:p w14:paraId="40F2E804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7" w:name="heading_7"/>
      <w:r>
        <w:rPr>
          <w:rFonts w:hint="eastAsia" w:ascii="宋体" w:hAnsi="宋体" w:eastAsia="宋体" w:cs="宋体"/>
          <w:b/>
          <w:sz w:val="30"/>
        </w:rPr>
        <w:t>（一）甲方权利义务</w:t>
      </w:r>
      <w:bookmarkEnd w:id="7"/>
    </w:p>
    <w:p w14:paraId="1FA8A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及时提供城隍庙场地资料、馆藏文物台账、县域历史史料、原有建筑及消防图纸等基础资料；</w:t>
      </w:r>
    </w:p>
    <w:p w14:paraId="1D834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组织内部审核、对接文物 / 文旅主管部门组织专家评审，及时出具书面修改意见；</w:t>
      </w:r>
    </w:p>
    <w:p w14:paraId="26258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按合同约定按期足额支付合同款项；</w:t>
      </w:r>
    </w:p>
    <w:p w14:paraId="204D4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有权全程监督乙方设计进度、质量，对不符合需求、规范的成果要求乙方无偿修改。</w:t>
      </w:r>
    </w:p>
    <w:p w14:paraId="16FF39BA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8" w:name="heading_8"/>
      <w:r>
        <w:rPr>
          <w:rFonts w:hint="eastAsia" w:ascii="宋体" w:hAnsi="宋体" w:eastAsia="宋体" w:cs="宋体"/>
          <w:b/>
          <w:sz w:val="30"/>
        </w:rPr>
        <w:t>（二）乙方权利义务</w:t>
      </w:r>
      <w:bookmarkEnd w:id="8"/>
    </w:p>
    <w:p w14:paraId="7F615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配备符合招标文件资质要求的注册设计师、项目负责人；项目负责人具备建筑工程高级职称 + 一级注册建筑师，全程驻场履职；</w:t>
      </w:r>
    </w:p>
    <w:p w14:paraId="2BA97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严格按照总工期制定进度计划，按期交付各阶段成果，根据甲方及主管部门意见无偿修改至审核通过；</w:t>
      </w:r>
    </w:p>
    <w:p w14:paraId="29D72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落实文物无接触采集、文物安全隔离防护措施，所有展陈、消防、智能化设计满足文物保护优先原则；</w:t>
      </w:r>
    </w:p>
    <w:p w14:paraId="26479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完工后提供3次现场实操培训，交付后提供 1 年远程技术支持、1 年免费系统运维；</w:t>
      </w:r>
    </w:p>
    <w:p w14:paraId="70965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设计全过程承担数据保密义务，不得擅自向第三方泄露本项目文物资料、设计图纸；</w:t>
      </w:r>
    </w:p>
    <w:p w14:paraId="7345A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不得转包、分包本合同全部或部分工作，不接受联合体实施。</w:t>
      </w:r>
    </w:p>
    <w:p w14:paraId="08C132DD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9" w:name="heading_9"/>
      <w:r>
        <w:rPr>
          <w:rFonts w:hint="eastAsia" w:ascii="宋体" w:hAnsi="宋体" w:eastAsia="宋体" w:cs="宋体"/>
          <w:b/>
          <w:sz w:val="32"/>
        </w:rPr>
        <w:t>第六条 履约验收</w:t>
      </w:r>
      <w:bookmarkEnd w:id="9"/>
    </w:p>
    <w:p w14:paraId="01AF1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验收组织：甲方自行组织一次性整体验收，无需第三方机构、外部专家参与；</w:t>
      </w:r>
    </w:p>
    <w:p w14:paraId="34E6D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验收时限：乙方提交完整验收申请及全套归档资料后 30 日内，甲方完成验收；</w:t>
      </w:r>
    </w:p>
    <w:p w14:paraId="2EC37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验收标准：全部成果符合本合同、招标文件、国家现行规范、文物主管部门审核要求；</w:t>
      </w:r>
    </w:p>
    <w:p w14:paraId="11584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验收不合格：乙方需在甲方指定期限内无偿整改，逾期整改视为乙方违约。</w:t>
      </w:r>
    </w:p>
    <w:p w14:paraId="6B86E337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0" w:name="heading_10"/>
      <w:r>
        <w:rPr>
          <w:rFonts w:hint="eastAsia" w:ascii="宋体" w:hAnsi="宋体" w:eastAsia="宋体" w:cs="宋体"/>
          <w:b/>
          <w:sz w:val="32"/>
        </w:rPr>
        <w:t>第七条 知识产权与保密</w:t>
      </w:r>
      <w:bookmarkEnd w:id="10"/>
    </w:p>
    <w:p w14:paraId="7C1D8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本项目所有图纸、三维模型、全景系统、导览音频、策划文本、数字化标准等全部知识产权自交付之日起归甲方单独所有；</w:t>
      </w:r>
    </w:p>
    <w:p w14:paraId="0F614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甲乙双方对项目涉及文物档案、设计方案、内部资料永久保密，未经对方书面许可不得对外披露。</w:t>
      </w:r>
    </w:p>
    <w:p w14:paraId="1C29BAEC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1" w:name="heading_11"/>
      <w:r>
        <w:rPr>
          <w:rFonts w:hint="eastAsia" w:ascii="宋体" w:hAnsi="宋体" w:eastAsia="宋体" w:cs="宋体"/>
          <w:b/>
          <w:sz w:val="32"/>
        </w:rPr>
        <w:t>第八条 风险分担</w:t>
      </w:r>
      <w:bookmarkEnd w:id="11"/>
    </w:p>
    <w:p w14:paraId="113C7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因不可抗力（地震、洪水、政策重大调整等）造成合同无法正常履行的，双方实际产生的直接损失各自承担50%，工期同步顺延。</w:t>
      </w:r>
    </w:p>
    <w:p w14:paraId="557220ED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2" w:name="heading_12"/>
      <w:r>
        <w:rPr>
          <w:rFonts w:hint="eastAsia" w:ascii="宋体" w:hAnsi="宋体" w:eastAsia="宋体" w:cs="宋体"/>
          <w:b/>
          <w:sz w:val="32"/>
        </w:rPr>
        <w:t>第九条 违约责任</w:t>
      </w:r>
      <w:bookmarkEnd w:id="12"/>
    </w:p>
    <w:p w14:paraId="05B5E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乙方逾期交付各阶段成果，每逾期一日按合同总价0.05%向甲方支付违约金；逾期超过30日，甲方有权单方解除合同，乙方返还全部已收款项，并承担合同总价10%违约金；</w:t>
      </w:r>
    </w:p>
    <w:p w14:paraId="6E3D0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乙方设计成果存在重大缺陷、违反文博 / 消防规范、无法通过主管部门审查，乙方无偿重新设计并承担全部整改成本，同时赔偿甲方由此产生的全部损失；</w:t>
      </w:r>
    </w:p>
    <w:p w14:paraId="5ACED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甲方未按约定时限支付款项，每逾期一日按当期应付未付款金额0.05%支付违约金；</w:t>
      </w:r>
    </w:p>
    <w:p w14:paraId="6E1ED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乙方擅自转包、分包项目，甲方有权解除合同，乙方支付合同总价 20% 违约金。</w:t>
      </w:r>
    </w:p>
    <w:p w14:paraId="39238F5B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3" w:name="heading_13"/>
      <w:r>
        <w:rPr>
          <w:rFonts w:hint="eastAsia" w:ascii="宋体" w:hAnsi="宋体" w:eastAsia="宋体" w:cs="宋体"/>
          <w:b/>
          <w:sz w:val="32"/>
        </w:rPr>
        <w:t>第十条 争议解决</w:t>
      </w:r>
      <w:bookmarkEnd w:id="13"/>
    </w:p>
    <w:p w14:paraId="2C035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合同履行发生争议，双方先行友好协商；协商不成，提交采购人所在地仲裁机构仲裁裁决。</w:t>
      </w:r>
    </w:p>
    <w:p w14:paraId="7731249A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4" w:name="heading_14"/>
      <w:r>
        <w:rPr>
          <w:rFonts w:hint="eastAsia" w:ascii="宋体" w:hAnsi="宋体" w:eastAsia="宋体" w:cs="宋体"/>
          <w:b/>
          <w:sz w:val="32"/>
        </w:rPr>
        <w:t>第十一条 其他约定</w:t>
      </w:r>
      <w:bookmarkEnd w:id="14"/>
    </w:p>
    <w:p w14:paraId="6F701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本项目招标文件、乙方投标文件、中标通知书、采购需求文件均为本合同有效组成部分，与本合同具有同等法律效力；文件内容冲突时，以本合同约定为准；</w:t>
      </w:r>
    </w:p>
    <w:p w14:paraId="4518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本合同不分包、不接受联合体，不采购节能、环保、进口产品；</w:t>
      </w:r>
    </w:p>
    <w:p w14:paraId="7ABD5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合同一式肆份，甲方执贰份、乙方执壹份，政府采购监管备案壹份，签字盖章后生效；</w:t>
      </w:r>
    </w:p>
    <w:p w14:paraId="6B5FF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本合同未尽事宜，双方签订书面补充协议，补充协议与本合同具备同等法律效力。</w:t>
      </w:r>
    </w:p>
    <w:p w14:paraId="0E7A3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sz w:val="22"/>
          <w:vertAlign w:val="baseline"/>
        </w:rPr>
      </w:pPr>
      <w:r>
        <w:rPr>
          <w:rFonts w:hint="eastAsia" w:ascii="宋体" w:hAnsi="宋体" w:eastAsia="宋体" w:cs="宋体"/>
          <w:sz w:val="22"/>
        </w:rPr>
        <w:br w:type="page"/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0"/>
        <w:gridCol w:w="4261"/>
      </w:tblGrid>
      <w:tr w14:paraId="78720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5CC88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ind w:left="0" w:firstLine="440" w:firstLineChars="200"/>
              <w:jc w:val="left"/>
              <w:textAlignment w:val="auto"/>
              <w:rPr>
                <w:rFonts w:hint="eastAsia" w:ascii="宋体" w:hAnsi="宋体" w:eastAsia="宋体" w:cs="宋体"/>
                <w:sz w:val="22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甲方（盖章）：</w:t>
            </w:r>
          </w:p>
        </w:tc>
        <w:tc>
          <w:tcPr>
            <w:tcW w:w="4261" w:type="dxa"/>
          </w:tcPr>
          <w:p w14:paraId="491FD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乙方（盖章）：</w:t>
            </w:r>
          </w:p>
        </w:tc>
      </w:tr>
      <w:tr w14:paraId="354F7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341E5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法定代表人/授权代表（签字）：</w:t>
            </w:r>
          </w:p>
        </w:tc>
        <w:tc>
          <w:tcPr>
            <w:tcW w:w="4261" w:type="dxa"/>
          </w:tcPr>
          <w:p w14:paraId="2FDE9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法定代表人/授权代表（签字）：</w:t>
            </w:r>
          </w:p>
        </w:tc>
      </w:tr>
      <w:tr w14:paraId="4D554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0CC3E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地址：</w:t>
            </w:r>
          </w:p>
        </w:tc>
        <w:tc>
          <w:tcPr>
            <w:tcW w:w="4261" w:type="dxa"/>
          </w:tcPr>
          <w:p w14:paraId="4DCD7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地址：</w:t>
            </w:r>
          </w:p>
        </w:tc>
      </w:tr>
      <w:tr w14:paraId="210B2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41FDF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邮政编码：</w:t>
            </w:r>
          </w:p>
        </w:tc>
        <w:tc>
          <w:tcPr>
            <w:tcW w:w="4261" w:type="dxa"/>
          </w:tcPr>
          <w:p w14:paraId="693FF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邮政编码：</w:t>
            </w:r>
          </w:p>
        </w:tc>
      </w:tr>
      <w:tr w14:paraId="70087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2358F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  话：</w:t>
            </w:r>
          </w:p>
        </w:tc>
        <w:tc>
          <w:tcPr>
            <w:tcW w:w="4261" w:type="dxa"/>
          </w:tcPr>
          <w:p w14:paraId="3A480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  话：</w:t>
            </w:r>
          </w:p>
        </w:tc>
      </w:tr>
      <w:tr w14:paraId="44668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6A7A9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联系人：</w:t>
            </w:r>
          </w:p>
        </w:tc>
        <w:tc>
          <w:tcPr>
            <w:tcW w:w="4261" w:type="dxa"/>
          </w:tcPr>
          <w:p w14:paraId="3651D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联系人：</w:t>
            </w:r>
          </w:p>
        </w:tc>
      </w:tr>
      <w:tr w14:paraId="65E8C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7E77A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开户银行：</w:t>
            </w:r>
          </w:p>
        </w:tc>
        <w:tc>
          <w:tcPr>
            <w:tcW w:w="4261" w:type="dxa"/>
          </w:tcPr>
          <w:p w14:paraId="0392C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开户银行：</w:t>
            </w:r>
          </w:p>
        </w:tc>
      </w:tr>
      <w:tr w14:paraId="7EF5B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3554A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账  号：</w:t>
            </w:r>
          </w:p>
        </w:tc>
        <w:tc>
          <w:tcPr>
            <w:tcW w:w="4261" w:type="dxa"/>
          </w:tcPr>
          <w:p w14:paraId="13CD4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账  号：</w:t>
            </w:r>
          </w:p>
        </w:tc>
      </w:tr>
      <w:tr w14:paraId="5088F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 w14:paraId="7B669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签订日期：</w:t>
            </w:r>
            <w:r>
              <w:rPr>
                <w:rFonts w:hint="eastAsia" w:ascii="宋体" w:hAnsi="宋体" w:eastAsia="宋体" w:cs="宋体"/>
                <w:sz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hint="eastAsia" w:ascii="宋体" w:hAnsi="宋体" w:eastAsia="宋体" w:cs="宋体"/>
                <w:sz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hint="eastAsia" w:ascii="宋体" w:hAnsi="宋体" w:eastAsia="宋体" w:cs="宋体"/>
                <w:sz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4261" w:type="dxa"/>
          </w:tcPr>
          <w:p w14:paraId="7D7AA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签订日期：</w:t>
            </w:r>
            <w:r>
              <w:rPr>
                <w:rFonts w:hint="eastAsia" w:ascii="宋体" w:hAnsi="宋体" w:eastAsia="宋体" w:cs="宋体"/>
                <w:sz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hint="eastAsia" w:ascii="宋体" w:hAnsi="宋体" w:eastAsia="宋体" w:cs="宋体"/>
                <w:sz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hint="eastAsia" w:ascii="宋体" w:hAnsi="宋体" w:eastAsia="宋体" w:cs="宋体"/>
                <w:sz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</w:tr>
    </w:tbl>
    <w:p w14:paraId="021A4244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DB67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B03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04E0B1D"/>
    <w:rsid w:val="00A12741"/>
    <w:rsid w:val="02FE20CD"/>
    <w:rsid w:val="05872D63"/>
    <w:rsid w:val="08381BDD"/>
    <w:rsid w:val="08A00266"/>
    <w:rsid w:val="0A1E4E03"/>
    <w:rsid w:val="0A960E3D"/>
    <w:rsid w:val="0C91430F"/>
    <w:rsid w:val="0E8518F4"/>
    <w:rsid w:val="12415B32"/>
    <w:rsid w:val="12C66037"/>
    <w:rsid w:val="131D034D"/>
    <w:rsid w:val="13DD5D2E"/>
    <w:rsid w:val="13F27AB4"/>
    <w:rsid w:val="175F28D7"/>
    <w:rsid w:val="198253AE"/>
    <w:rsid w:val="1B222279"/>
    <w:rsid w:val="1BFB31F6"/>
    <w:rsid w:val="1D175E0D"/>
    <w:rsid w:val="1D721295"/>
    <w:rsid w:val="1D7C2114"/>
    <w:rsid w:val="1DA13929"/>
    <w:rsid w:val="20146634"/>
    <w:rsid w:val="21D97B35"/>
    <w:rsid w:val="22EF5136"/>
    <w:rsid w:val="276A7481"/>
    <w:rsid w:val="27EE1E60"/>
    <w:rsid w:val="28E13773"/>
    <w:rsid w:val="298170C1"/>
    <w:rsid w:val="2A4C68E4"/>
    <w:rsid w:val="2B5244B4"/>
    <w:rsid w:val="305807BF"/>
    <w:rsid w:val="306C0F86"/>
    <w:rsid w:val="33D32139"/>
    <w:rsid w:val="36650E32"/>
    <w:rsid w:val="3A06303A"/>
    <w:rsid w:val="3A5C534F"/>
    <w:rsid w:val="3A6F5083"/>
    <w:rsid w:val="3CDE204C"/>
    <w:rsid w:val="3EE17BD1"/>
    <w:rsid w:val="3FF81676"/>
    <w:rsid w:val="42073DF3"/>
    <w:rsid w:val="424F63B0"/>
    <w:rsid w:val="44F045A3"/>
    <w:rsid w:val="45CF2E79"/>
    <w:rsid w:val="46E841F3"/>
    <w:rsid w:val="4743767B"/>
    <w:rsid w:val="477A6E15"/>
    <w:rsid w:val="48C447EC"/>
    <w:rsid w:val="4BFB6776"/>
    <w:rsid w:val="4CE377D9"/>
    <w:rsid w:val="4F22226C"/>
    <w:rsid w:val="4FAA3D56"/>
    <w:rsid w:val="52012122"/>
    <w:rsid w:val="52741030"/>
    <w:rsid w:val="538057B3"/>
    <w:rsid w:val="540D34EB"/>
    <w:rsid w:val="545729B8"/>
    <w:rsid w:val="553C395C"/>
    <w:rsid w:val="55A40D40"/>
    <w:rsid w:val="55B300C2"/>
    <w:rsid w:val="56750E0A"/>
    <w:rsid w:val="56A65531"/>
    <w:rsid w:val="571E4796"/>
    <w:rsid w:val="58002C23"/>
    <w:rsid w:val="587A0A23"/>
    <w:rsid w:val="5A4F7C8D"/>
    <w:rsid w:val="5B5C6B06"/>
    <w:rsid w:val="5BCF552A"/>
    <w:rsid w:val="5EBF3633"/>
    <w:rsid w:val="61137C66"/>
    <w:rsid w:val="615F2EAC"/>
    <w:rsid w:val="62595B4D"/>
    <w:rsid w:val="63514A76"/>
    <w:rsid w:val="68487276"/>
    <w:rsid w:val="6A5C267E"/>
    <w:rsid w:val="6AB46016"/>
    <w:rsid w:val="6BD85D34"/>
    <w:rsid w:val="6CCD1611"/>
    <w:rsid w:val="6D21195D"/>
    <w:rsid w:val="6F911144"/>
    <w:rsid w:val="6FD74555"/>
    <w:rsid w:val="718720E0"/>
    <w:rsid w:val="724C2FD8"/>
    <w:rsid w:val="72BC63B0"/>
    <w:rsid w:val="749E4BB4"/>
    <w:rsid w:val="75510906"/>
    <w:rsid w:val="758D193E"/>
    <w:rsid w:val="75A5137D"/>
    <w:rsid w:val="77A613DD"/>
    <w:rsid w:val="79CB0C87"/>
    <w:rsid w:val="7B917CAE"/>
    <w:rsid w:val="7CEC5AE4"/>
    <w:rsid w:val="7E374B3D"/>
    <w:rsid w:val="7F2A46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2084</Words>
  <Characters>2188</Characters>
  <TotalTime>34</TotalTime>
  <ScaleCrop>false</ScaleCrop>
  <LinksUpToDate>false</LinksUpToDate>
  <CharactersWithSpaces>2267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2026-07-08T04:32:00Z</dcterms:created>
  <dc:creator>Apache POI</dc:creator>
  <cp:lastModifiedBy>冯强</cp:lastModifiedBy>
  <dcterms:modified xsi:type="dcterms:W3CDTF">2026-07-08T08:07:23Z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{"Label":"1","ContentProducer":"001191110102MACQD9K64010000","ProduceID":"7660010353350839513","ReservedCode1":"","ContentPropagator":"","PropagateID":"","ReservedCode2":""}</vt:lpwstr>
  </property>
  <property fmtid="{D5CDD505-2E9C-101B-9397-08002B2CF9AE}" pid="3" name="KSOTemplateDocerSaveRecord">
    <vt:lpwstr>eyJoZGlkIjoiYTk4ZWQ1OTFhYzA5MjdlODM2MmFhOThiYWUyN2RlY2IiLCJ1c2VySWQiOiI0NDk3MzcxODkifQ==</vt:lpwstr>
  </property>
  <property fmtid="{D5CDD505-2E9C-101B-9397-08002B2CF9AE}" pid="4" name="KSOProductBuildVer">
    <vt:lpwstr>2052-12.1.0.26895</vt:lpwstr>
  </property>
  <property fmtid="{D5CDD505-2E9C-101B-9397-08002B2CF9AE}" pid="5" name="ICV">
    <vt:lpwstr>30A1F6F0FA27445B85A71A77C42BE0C0_12</vt:lpwstr>
  </property>
</Properties>
</file>