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BD18">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仿宋_GB2312" w:hAnsi="仿宋" w:eastAsia="仿宋_GB2312"/>
          <w:bCs/>
          <w:sz w:val="44"/>
          <w:szCs w:val="44"/>
          <w:highlight w:val="none"/>
        </w:rPr>
      </w:pPr>
      <w:r>
        <w:rPr>
          <w:rFonts w:hint="eastAsia" w:ascii="仿宋_GB2312" w:hAnsi="仿宋" w:eastAsia="仿宋_GB2312"/>
          <w:b/>
          <w:bCs w:val="0"/>
          <w:sz w:val="44"/>
          <w:szCs w:val="44"/>
          <w:highlight w:val="none"/>
        </w:rPr>
        <w:t>拟签订采购合同文本</w:t>
      </w:r>
    </w:p>
    <w:p w14:paraId="7E31071B">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40" w:firstLineChars="200"/>
        <w:textAlignment w:val="auto"/>
        <w:rPr>
          <w:rFonts w:hint="eastAsia" w:ascii="仿宋_GB2312" w:hAnsi="仿宋_GB2312" w:eastAsia="仿宋_GB2312" w:cs="仿宋_GB2312"/>
          <w:bCs/>
          <w:sz w:val="22"/>
          <w:szCs w:val="22"/>
        </w:rPr>
      </w:pPr>
    </w:p>
    <w:p w14:paraId="7E080EA0">
      <w:pPr>
        <w:pStyle w:val="6"/>
        <w:tabs>
          <w:tab w:val="left" w:pos="5670"/>
        </w:tabs>
        <w:adjustRightInd w:val="0"/>
        <w:snapToGrid w:val="0"/>
        <w:spacing w:line="640" w:lineRule="exact"/>
        <w:jc w:val="center"/>
        <w:rPr>
          <w:rFonts w:hint="eastAsia" w:ascii="Times New Roman" w:hAnsi="Times New Roman" w:eastAsia="方正小标宋简体"/>
          <w:sz w:val="44"/>
          <w:szCs w:val="44"/>
          <w:lang w:val="en-US" w:eastAsia="zh-CN"/>
        </w:rPr>
      </w:pPr>
    </w:p>
    <w:p w14:paraId="6844E8B0">
      <w:pPr>
        <w:pStyle w:val="6"/>
        <w:tabs>
          <w:tab w:val="left" w:pos="5670"/>
        </w:tabs>
        <w:adjustRightInd w:val="0"/>
        <w:snapToGrid w:val="0"/>
        <w:spacing w:line="640" w:lineRule="exact"/>
        <w:jc w:val="center"/>
        <w:rPr>
          <w:rFonts w:hint="eastAsia" w:ascii="Times New Roman" w:hAnsi="Times New Roman" w:eastAsia="方正小标宋简体"/>
          <w:sz w:val="44"/>
          <w:szCs w:val="44"/>
          <w:lang w:val="en-US" w:eastAsia="zh-CN"/>
        </w:rPr>
      </w:pPr>
    </w:p>
    <w:p w14:paraId="1F0C868C">
      <w:pPr>
        <w:pStyle w:val="6"/>
        <w:tabs>
          <w:tab w:val="left" w:pos="5670"/>
        </w:tabs>
        <w:adjustRightInd w:val="0"/>
        <w:snapToGrid w:val="0"/>
        <w:spacing w:line="640" w:lineRule="exact"/>
        <w:jc w:val="center"/>
        <w:rPr>
          <w:rFonts w:hint="eastAsia" w:ascii="Times New Roman" w:hAnsi="Times New Roman" w:eastAsia="方正小标宋简体"/>
          <w:sz w:val="44"/>
          <w:szCs w:val="44"/>
          <w:lang w:val="en-US" w:eastAsia="zh-CN"/>
        </w:rPr>
      </w:pPr>
      <w:r>
        <w:rPr>
          <w:rFonts w:hint="eastAsia" w:ascii="Times New Roman" w:hAnsi="Times New Roman" w:eastAsia="方正小标宋简体"/>
          <w:sz w:val="44"/>
          <w:szCs w:val="44"/>
          <w:lang w:val="en-US" w:eastAsia="zh-CN"/>
        </w:rPr>
        <w:t>西安高新区2026年企业技术改造提升</w:t>
      </w:r>
    </w:p>
    <w:p w14:paraId="66DDB22A">
      <w:pPr>
        <w:pStyle w:val="6"/>
        <w:tabs>
          <w:tab w:val="left" w:pos="5670"/>
        </w:tabs>
        <w:adjustRightInd w:val="0"/>
        <w:snapToGrid w:val="0"/>
        <w:spacing w:line="640" w:lineRule="exact"/>
        <w:jc w:val="center"/>
        <w:rPr>
          <w:rFonts w:hint="eastAsia" w:ascii="Times New Roman" w:hAnsi="Times New Roman" w:eastAsia="方正小标宋简体"/>
          <w:sz w:val="44"/>
          <w:szCs w:val="44"/>
        </w:rPr>
      </w:pPr>
      <w:r>
        <w:rPr>
          <w:rFonts w:hint="eastAsia" w:ascii="Times New Roman" w:hAnsi="Times New Roman" w:eastAsia="方正小标宋简体"/>
          <w:sz w:val="44"/>
          <w:szCs w:val="44"/>
          <w:lang w:val="en-US" w:eastAsia="zh-CN"/>
        </w:rPr>
        <w:t>综合服务项目</w:t>
      </w:r>
      <w:r>
        <w:rPr>
          <w:rFonts w:hint="eastAsia" w:ascii="Times New Roman" w:hAnsi="Times New Roman" w:eastAsia="方正小标宋简体"/>
          <w:sz w:val="44"/>
          <w:szCs w:val="44"/>
        </w:rPr>
        <w:t>合同</w:t>
      </w:r>
    </w:p>
    <w:p w14:paraId="4E7E46F6">
      <w:pPr>
        <w:jc w:val="center"/>
        <w:outlineLvl w:val="0"/>
        <w:rPr>
          <w:rFonts w:ascii="Times New Roman" w:hAnsi="Times New Roman" w:eastAsia="仿宋"/>
          <w:b/>
          <w:bCs/>
          <w:sz w:val="44"/>
        </w:rPr>
      </w:pPr>
    </w:p>
    <w:p w14:paraId="7A1FB330">
      <w:pPr>
        <w:rPr>
          <w:rFonts w:ascii="Times New Roman" w:hAnsi="Times New Roman" w:eastAsia="仿宋"/>
          <w:sz w:val="28"/>
        </w:rPr>
      </w:pPr>
    </w:p>
    <w:p w14:paraId="43BB1B31">
      <w:pPr>
        <w:rPr>
          <w:rFonts w:ascii="Times New Roman" w:hAnsi="Times New Roman" w:eastAsia="仿宋"/>
          <w:sz w:val="28"/>
        </w:rPr>
      </w:pPr>
    </w:p>
    <w:p w14:paraId="6F359799">
      <w:pPr>
        <w:pStyle w:val="2"/>
        <w:tabs>
          <w:tab w:val="center" w:pos="4153"/>
          <w:tab w:val="right" w:pos="8306"/>
          <w:tab w:val="clear" w:pos="4140"/>
          <w:tab w:val="clear" w:pos="8300"/>
        </w:tabs>
        <w:rPr>
          <w:rFonts w:eastAsia="仿宋"/>
          <w:sz w:val="28"/>
        </w:rPr>
      </w:pPr>
    </w:p>
    <w:p w14:paraId="59D481FB">
      <w:pPr>
        <w:pStyle w:val="2"/>
        <w:tabs>
          <w:tab w:val="center" w:pos="4153"/>
          <w:tab w:val="right" w:pos="8306"/>
          <w:tab w:val="clear" w:pos="4140"/>
          <w:tab w:val="clear" w:pos="8300"/>
        </w:tabs>
        <w:rPr>
          <w:rFonts w:eastAsia="仿宋"/>
          <w:sz w:val="28"/>
        </w:rPr>
      </w:pPr>
    </w:p>
    <w:p w14:paraId="3F479266">
      <w:pPr>
        <w:pStyle w:val="2"/>
        <w:tabs>
          <w:tab w:val="center" w:pos="4153"/>
          <w:tab w:val="right" w:pos="8306"/>
          <w:tab w:val="clear" w:pos="4140"/>
          <w:tab w:val="clear" w:pos="8300"/>
        </w:tabs>
        <w:rPr>
          <w:rFonts w:eastAsia="仿宋"/>
          <w:sz w:val="28"/>
        </w:rPr>
      </w:pPr>
    </w:p>
    <w:p w14:paraId="108054A5">
      <w:pPr>
        <w:rPr>
          <w:rFonts w:ascii="Times New Roman" w:hAnsi="Times New Roman" w:eastAsia="仿宋"/>
          <w:sz w:val="28"/>
        </w:rPr>
      </w:pPr>
    </w:p>
    <w:p w14:paraId="66992747">
      <w:pPr>
        <w:rPr>
          <w:rFonts w:ascii="Times New Roman" w:hAnsi="Times New Roman" w:eastAsia="仿宋"/>
          <w:sz w:val="28"/>
        </w:rPr>
      </w:pPr>
    </w:p>
    <w:p w14:paraId="455F7905">
      <w:pPr>
        <w:pStyle w:val="2"/>
        <w:tabs>
          <w:tab w:val="center" w:pos="4153"/>
          <w:tab w:val="right" w:pos="8306"/>
          <w:tab w:val="clear" w:pos="4140"/>
          <w:tab w:val="clear" w:pos="8300"/>
        </w:tabs>
        <w:rPr>
          <w:rFonts w:eastAsia="仿宋"/>
          <w:sz w:val="28"/>
        </w:rPr>
      </w:pPr>
    </w:p>
    <w:p w14:paraId="74530F83">
      <w:pPr>
        <w:pStyle w:val="2"/>
        <w:tabs>
          <w:tab w:val="center" w:pos="4153"/>
          <w:tab w:val="right" w:pos="8306"/>
          <w:tab w:val="clear" w:pos="4140"/>
          <w:tab w:val="clear" w:pos="8300"/>
        </w:tabs>
        <w:rPr>
          <w:rFonts w:eastAsia="仿宋"/>
          <w:sz w:val="28"/>
        </w:rPr>
      </w:pPr>
    </w:p>
    <w:p w14:paraId="61072DA8">
      <w:pPr>
        <w:pStyle w:val="2"/>
        <w:tabs>
          <w:tab w:val="center" w:pos="4153"/>
          <w:tab w:val="right" w:pos="8306"/>
          <w:tab w:val="clear" w:pos="4140"/>
          <w:tab w:val="clear" w:pos="8300"/>
        </w:tabs>
        <w:rPr>
          <w:rFonts w:eastAsia="仿宋"/>
          <w:sz w:val="28"/>
        </w:rPr>
      </w:pPr>
    </w:p>
    <w:p w14:paraId="1812539F">
      <w:pPr>
        <w:pStyle w:val="2"/>
        <w:tabs>
          <w:tab w:val="center" w:pos="4153"/>
          <w:tab w:val="right" w:pos="8306"/>
          <w:tab w:val="clear" w:pos="4140"/>
          <w:tab w:val="clear" w:pos="8300"/>
        </w:tabs>
        <w:rPr>
          <w:rFonts w:eastAsia="仿宋"/>
          <w:sz w:val="28"/>
        </w:rPr>
      </w:pPr>
    </w:p>
    <w:p w14:paraId="302BE737">
      <w:pPr>
        <w:pStyle w:val="2"/>
        <w:tabs>
          <w:tab w:val="center" w:pos="4153"/>
          <w:tab w:val="right" w:pos="8306"/>
          <w:tab w:val="clear" w:pos="4140"/>
          <w:tab w:val="clear" w:pos="8300"/>
        </w:tabs>
        <w:rPr>
          <w:rFonts w:eastAsia="仿宋"/>
          <w:sz w:val="28"/>
        </w:rPr>
      </w:pPr>
    </w:p>
    <w:p w14:paraId="074B3EEF">
      <w:pPr>
        <w:pStyle w:val="2"/>
        <w:tabs>
          <w:tab w:val="center" w:pos="4153"/>
          <w:tab w:val="right" w:pos="8306"/>
          <w:tab w:val="clear" w:pos="4140"/>
          <w:tab w:val="clear" w:pos="8300"/>
        </w:tabs>
        <w:rPr>
          <w:rFonts w:eastAsia="仿宋"/>
          <w:sz w:val="28"/>
        </w:rPr>
      </w:pPr>
    </w:p>
    <w:p w14:paraId="040F1F0B">
      <w:pPr>
        <w:pStyle w:val="2"/>
        <w:tabs>
          <w:tab w:val="center" w:pos="4153"/>
          <w:tab w:val="right" w:pos="8306"/>
          <w:tab w:val="clear" w:pos="4140"/>
          <w:tab w:val="clear" w:pos="8300"/>
        </w:tabs>
        <w:rPr>
          <w:rFonts w:eastAsia="仿宋"/>
          <w:sz w:val="28"/>
        </w:rPr>
      </w:pPr>
    </w:p>
    <w:p w14:paraId="594AA5D6">
      <w:pPr>
        <w:pStyle w:val="2"/>
        <w:tabs>
          <w:tab w:val="center" w:pos="4153"/>
          <w:tab w:val="right" w:pos="8306"/>
          <w:tab w:val="clear" w:pos="4140"/>
          <w:tab w:val="clear" w:pos="8300"/>
        </w:tabs>
        <w:rPr>
          <w:rFonts w:eastAsia="仿宋"/>
          <w:sz w:val="28"/>
        </w:rPr>
      </w:pPr>
    </w:p>
    <w:p w14:paraId="0F907B91">
      <w:pPr>
        <w:pStyle w:val="2"/>
        <w:tabs>
          <w:tab w:val="center" w:pos="4153"/>
          <w:tab w:val="right" w:pos="8306"/>
          <w:tab w:val="clear" w:pos="4140"/>
          <w:tab w:val="clear" w:pos="8300"/>
        </w:tabs>
        <w:rPr>
          <w:rFonts w:eastAsia="仿宋"/>
          <w:sz w:val="28"/>
        </w:rPr>
      </w:pPr>
    </w:p>
    <w:p w14:paraId="18B2A09C">
      <w:pPr>
        <w:pStyle w:val="2"/>
        <w:tabs>
          <w:tab w:val="center" w:pos="4153"/>
          <w:tab w:val="right" w:pos="8306"/>
          <w:tab w:val="clear" w:pos="4140"/>
          <w:tab w:val="clear" w:pos="8300"/>
        </w:tabs>
        <w:rPr>
          <w:rFonts w:eastAsia="仿宋"/>
          <w:sz w:val="28"/>
        </w:rPr>
      </w:pPr>
    </w:p>
    <w:p w14:paraId="5086296C">
      <w:pPr>
        <w:pStyle w:val="2"/>
        <w:tabs>
          <w:tab w:val="center" w:pos="4153"/>
          <w:tab w:val="right" w:pos="8306"/>
          <w:tab w:val="clear" w:pos="4140"/>
          <w:tab w:val="clear" w:pos="8300"/>
        </w:tabs>
        <w:rPr>
          <w:rFonts w:eastAsia="仿宋"/>
          <w:sz w:val="28"/>
        </w:rPr>
      </w:pPr>
    </w:p>
    <w:p w14:paraId="45C60186">
      <w:pPr>
        <w:pStyle w:val="2"/>
        <w:tabs>
          <w:tab w:val="center" w:pos="4153"/>
          <w:tab w:val="right" w:pos="8306"/>
          <w:tab w:val="clear" w:pos="4140"/>
          <w:tab w:val="clear" w:pos="8300"/>
        </w:tabs>
        <w:rPr>
          <w:rFonts w:eastAsia="仿宋"/>
          <w:sz w:val="28"/>
        </w:rPr>
      </w:pPr>
    </w:p>
    <w:p w14:paraId="5E36FA8E">
      <w:pPr>
        <w:pStyle w:val="2"/>
        <w:tabs>
          <w:tab w:val="center" w:pos="4153"/>
          <w:tab w:val="right" w:pos="8306"/>
          <w:tab w:val="clear" w:pos="4140"/>
          <w:tab w:val="clear" w:pos="8300"/>
        </w:tabs>
        <w:rPr>
          <w:rFonts w:eastAsia="仿宋"/>
          <w:sz w:val="28"/>
        </w:rPr>
      </w:pPr>
    </w:p>
    <w:p w14:paraId="33B6D17E">
      <w:pPr>
        <w:pStyle w:val="2"/>
        <w:tabs>
          <w:tab w:val="center" w:pos="4153"/>
          <w:tab w:val="right" w:pos="8306"/>
          <w:tab w:val="clear" w:pos="4140"/>
          <w:tab w:val="clear" w:pos="8300"/>
        </w:tabs>
        <w:rPr>
          <w:rFonts w:eastAsia="仿宋"/>
          <w:sz w:val="28"/>
        </w:rPr>
      </w:pPr>
    </w:p>
    <w:p w14:paraId="04F0C66C">
      <w:pPr>
        <w:pStyle w:val="2"/>
        <w:tabs>
          <w:tab w:val="center" w:pos="4153"/>
          <w:tab w:val="right" w:pos="8306"/>
          <w:tab w:val="clear" w:pos="4140"/>
          <w:tab w:val="clear" w:pos="8300"/>
        </w:tabs>
        <w:rPr>
          <w:rFonts w:eastAsia="仿宋"/>
          <w:sz w:val="28"/>
        </w:rPr>
      </w:pPr>
    </w:p>
    <w:tbl>
      <w:tblPr>
        <w:tblStyle w:val="14"/>
        <w:tblW w:w="0" w:type="auto"/>
        <w:tblInd w:w="607" w:type="dxa"/>
        <w:shd w:val="clear" w:color="auto" w:fill="FFFFFF"/>
        <w:tblLayout w:type="fixed"/>
        <w:tblCellMar>
          <w:top w:w="0" w:type="dxa"/>
          <w:left w:w="108" w:type="dxa"/>
          <w:bottom w:w="0" w:type="dxa"/>
          <w:right w:w="108" w:type="dxa"/>
        </w:tblCellMar>
      </w:tblPr>
      <w:tblGrid>
        <w:gridCol w:w="2203"/>
        <w:gridCol w:w="6200"/>
      </w:tblGrid>
      <w:tr w14:paraId="6D5F1C36">
        <w:tblPrEx>
          <w:tblCellMar>
            <w:top w:w="0" w:type="dxa"/>
            <w:left w:w="108" w:type="dxa"/>
            <w:bottom w:w="0" w:type="dxa"/>
            <w:right w:w="108" w:type="dxa"/>
          </w:tblCellMar>
        </w:tblPrEx>
        <w:tc>
          <w:tcPr>
            <w:tcW w:w="2203" w:type="dxa"/>
            <w:shd w:val="clear" w:color="auto" w:fill="FFFFFF"/>
            <w:noWrap w:val="0"/>
            <w:vAlign w:val="center"/>
          </w:tcPr>
          <w:p w14:paraId="0240BECC">
            <w:pPr>
              <w:spacing w:before="120" w:after="120"/>
              <w:jc w:val="right"/>
              <w:rPr>
                <w:rFonts w:ascii="Times New Roman" w:hAnsi="Times New Roman" w:eastAsia="方正小标宋简体"/>
                <w:bCs/>
                <w:color w:val="000000"/>
                <w:sz w:val="28"/>
                <w:szCs w:val="28"/>
              </w:rPr>
            </w:pPr>
            <w:r>
              <w:rPr>
                <w:rFonts w:hint="eastAsia" w:eastAsia="方正小标宋简体"/>
                <w:bCs/>
                <w:color w:val="000000"/>
                <w:sz w:val="28"/>
                <w:szCs w:val="28"/>
                <w:lang w:val="en-US" w:eastAsia="zh-CN"/>
              </w:rPr>
              <w:t>项目</w:t>
            </w:r>
            <w:r>
              <w:rPr>
                <w:rFonts w:hint="eastAsia" w:ascii="Times New Roman" w:hAnsi="Times New Roman" w:eastAsia="方正小标宋简体"/>
                <w:bCs/>
                <w:color w:val="000000"/>
                <w:sz w:val="28"/>
                <w:szCs w:val="28"/>
              </w:rPr>
              <w:t>编号</w:t>
            </w:r>
            <w:r>
              <w:rPr>
                <w:rFonts w:ascii="Times New Roman" w:hAnsi="Times New Roman" w:eastAsia="方正小标宋简体"/>
                <w:bCs/>
                <w:color w:val="000000"/>
                <w:sz w:val="28"/>
                <w:szCs w:val="28"/>
              </w:rPr>
              <w:t>：</w:t>
            </w:r>
          </w:p>
        </w:tc>
        <w:tc>
          <w:tcPr>
            <w:tcW w:w="6200" w:type="dxa"/>
            <w:shd w:val="clear" w:color="auto" w:fill="FFFFFF"/>
            <w:noWrap w:val="0"/>
            <w:vAlign w:val="top"/>
          </w:tcPr>
          <w:p w14:paraId="7F61313C">
            <w:pPr>
              <w:spacing w:before="120" w:after="120"/>
              <w:rPr>
                <w:rFonts w:ascii="Times New Roman" w:hAnsi="Times New Roman" w:eastAsia="仿宋"/>
                <w:sz w:val="28"/>
                <w:szCs w:val="28"/>
              </w:rPr>
            </w:pPr>
          </w:p>
        </w:tc>
      </w:tr>
      <w:tr w14:paraId="6864D3B1">
        <w:tblPrEx>
          <w:shd w:val="clear" w:color="auto" w:fill="FFFFFF"/>
          <w:tblCellMar>
            <w:top w:w="0" w:type="dxa"/>
            <w:left w:w="108" w:type="dxa"/>
            <w:bottom w:w="0" w:type="dxa"/>
            <w:right w:w="108" w:type="dxa"/>
          </w:tblCellMar>
        </w:tblPrEx>
        <w:tc>
          <w:tcPr>
            <w:tcW w:w="2203" w:type="dxa"/>
            <w:shd w:val="clear" w:color="auto" w:fill="FFFFFF"/>
            <w:noWrap w:val="0"/>
            <w:vAlign w:val="center"/>
          </w:tcPr>
          <w:p w14:paraId="4C50A955">
            <w:pPr>
              <w:spacing w:before="120" w:after="120"/>
              <w:jc w:val="right"/>
              <w:rPr>
                <w:rFonts w:ascii="Times New Roman" w:hAnsi="Times New Roman" w:eastAsia="方正小标宋简体"/>
                <w:bCs/>
                <w:color w:val="000000"/>
                <w:sz w:val="28"/>
                <w:szCs w:val="28"/>
              </w:rPr>
            </w:pPr>
            <w:r>
              <w:rPr>
                <w:rFonts w:ascii="Times New Roman" w:hAnsi="Times New Roman" w:eastAsia="方正小标宋简体"/>
                <w:bCs/>
                <w:color w:val="000000"/>
                <w:sz w:val="28"/>
                <w:szCs w:val="28"/>
              </w:rPr>
              <w:t>甲　　方：</w:t>
            </w:r>
          </w:p>
        </w:tc>
        <w:tc>
          <w:tcPr>
            <w:tcW w:w="6200" w:type="dxa"/>
            <w:shd w:val="clear" w:color="auto" w:fill="FFFFFF"/>
            <w:noWrap w:val="0"/>
            <w:vAlign w:val="top"/>
          </w:tcPr>
          <w:p w14:paraId="5C086B0E">
            <w:pPr>
              <w:spacing w:before="120" w:after="120"/>
              <w:rPr>
                <w:rFonts w:ascii="Times New Roman" w:hAnsi="Times New Roman" w:eastAsia="仿宋"/>
                <w:sz w:val="28"/>
                <w:szCs w:val="28"/>
              </w:rPr>
            </w:pPr>
          </w:p>
        </w:tc>
      </w:tr>
      <w:tr w14:paraId="13A79CCC">
        <w:tblPrEx>
          <w:tblCellMar>
            <w:top w:w="0" w:type="dxa"/>
            <w:left w:w="108" w:type="dxa"/>
            <w:bottom w:w="0" w:type="dxa"/>
            <w:right w:w="108" w:type="dxa"/>
          </w:tblCellMar>
        </w:tblPrEx>
        <w:tc>
          <w:tcPr>
            <w:tcW w:w="2203" w:type="dxa"/>
            <w:shd w:val="clear" w:color="auto" w:fill="FFFFFF"/>
            <w:noWrap w:val="0"/>
            <w:vAlign w:val="center"/>
          </w:tcPr>
          <w:p w14:paraId="236369DA">
            <w:pPr>
              <w:spacing w:before="120" w:after="120" w:line="360" w:lineRule="auto"/>
              <w:jc w:val="right"/>
              <w:rPr>
                <w:rFonts w:ascii="Times New Roman" w:hAnsi="Times New Roman" w:eastAsia="方正小标宋简体"/>
                <w:bCs/>
                <w:color w:val="000000"/>
                <w:sz w:val="28"/>
                <w:szCs w:val="28"/>
              </w:rPr>
            </w:pPr>
            <w:r>
              <w:rPr>
                <w:rFonts w:ascii="Times New Roman" w:hAnsi="Times New Roman" w:eastAsia="方正小标宋简体"/>
                <w:bCs/>
                <w:color w:val="000000"/>
                <w:sz w:val="28"/>
                <w:szCs w:val="28"/>
              </w:rPr>
              <w:t>乙　　方：</w:t>
            </w:r>
          </w:p>
        </w:tc>
        <w:tc>
          <w:tcPr>
            <w:tcW w:w="6200" w:type="dxa"/>
            <w:shd w:val="clear" w:color="auto" w:fill="FFFFFF"/>
            <w:noWrap w:val="0"/>
            <w:vAlign w:val="top"/>
          </w:tcPr>
          <w:p w14:paraId="5B914D32">
            <w:pPr>
              <w:spacing w:before="120" w:after="120"/>
              <w:rPr>
                <w:rFonts w:hint="eastAsia" w:ascii="Times New Roman" w:hAnsi="Times New Roman"/>
                <w:color w:val="FF0000"/>
                <w:sz w:val="28"/>
                <w:szCs w:val="28"/>
                <w:u w:val="single"/>
              </w:rPr>
            </w:pPr>
          </w:p>
        </w:tc>
      </w:tr>
    </w:tbl>
    <w:p w14:paraId="7E4CA3DE">
      <w:pPr>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br w:type="page"/>
      </w:r>
    </w:p>
    <w:p w14:paraId="2C504F4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甲方（采购人）： </w:t>
      </w:r>
    </w:p>
    <w:p w14:paraId="059A3AE2">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乙方（</w:t>
      </w:r>
      <w:r>
        <w:rPr>
          <w:rFonts w:hint="eastAsia" w:ascii="仿宋_GB2312" w:hAnsi="仿宋_GB2312" w:eastAsia="仿宋_GB2312" w:cs="仿宋_GB2312"/>
          <w:bCs/>
          <w:sz w:val="28"/>
          <w:szCs w:val="28"/>
          <w:lang w:eastAsia="zh-CN"/>
        </w:rPr>
        <w:t>成交供应商</w:t>
      </w:r>
      <w:r>
        <w:rPr>
          <w:rFonts w:hint="eastAsia" w:ascii="仿宋_GB2312" w:hAnsi="仿宋_GB2312" w:eastAsia="仿宋_GB2312" w:cs="仿宋_GB2312"/>
          <w:bCs/>
          <w:sz w:val="28"/>
          <w:szCs w:val="28"/>
        </w:rPr>
        <w:t xml:space="preserve">）： </w:t>
      </w:r>
    </w:p>
    <w:p w14:paraId="10387DF2">
      <w:pPr>
        <w:keepNext w:val="0"/>
        <w:keepLines w:val="0"/>
        <w:pageBreakBefore w:val="0"/>
        <w:widowControl w:val="0"/>
        <w:kinsoku/>
        <w:wordWrap w:val="0"/>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u w:val="single"/>
          <w:lang w:val="en-US" w:eastAsia="zh-CN"/>
        </w:rPr>
        <w:t>西安高新区2026年企业技术改造提升综合服务项目（</w:t>
      </w:r>
      <w:r>
        <w:rPr>
          <w:rFonts w:hint="eastAsia" w:ascii="仿宋_GB2312" w:hAnsi="仿宋_GB2312" w:eastAsia="仿宋_GB2312" w:cs="仿宋_GB2312"/>
          <w:bCs/>
          <w:sz w:val="28"/>
          <w:szCs w:val="28"/>
          <w:u w:val="single"/>
          <w:lang w:val="en-US" w:eastAsia="zh-Hans"/>
        </w:rPr>
        <w:t>项目编号：</w:t>
      </w:r>
      <w:r>
        <w:rPr>
          <w:rFonts w:hint="eastAsia" w:ascii="仿宋_GB2312" w:hAnsi="仿宋_GB2312" w:eastAsia="仿宋_GB2312" w:cs="仿宋_GB2312"/>
          <w:bCs/>
          <w:sz w:val="28"/>
          <w:szCs w:val="28"/>
          <w:u w:val="single"/>
          <w:lang w:val="en-US" w:eastAsia="zh-CN"/>
        </w:rPr>
        <w:t>SXHC2026-239</w:t>
      </w:r>
      <w:r>
        <w:rPr>
          <w:rFonts w:hint="eastAsia" w:ascii="仿宋_GB2312" w:hAnsi="仿宋_GB2312" w:eastAsia="仿宋_GB2312" w:cs="仿宋_GB2312"/>
          <w:bCs/>
          <w:sz w:val="28"/>
          <w:szCs w:val="28"/>
          <w:u w:val="single"/>
          <w:lang w:val="en-US" w:eastAsia="zh-Hans"/>
        </w:rPr>
        <w:t>)</w:t>
      </w:r>
      <w:r>
        <w:rPr>
          <w:rFonts w:hint="eastAsia" w:ascii="仿宋_GB2312" w:hAnsi="仿宋_GB2312" w:eastAsia="仿宋_GB2312" w:cs="仿宋_GB2312"/>
          <w:bCs/>
          <w:sz w:val="28"/>
          <w:szCs w:val="28"/>
          <w:lang w:val="en-US" w:eastAsia="zh-Hans"/>
        </w:rPr>
        <w:t>，由陕西华采招标有限公司组织</w:t>
      </w:r>
      <w:r>
        <w:rPr>
          <w:rFonts w:hint="eastAsia" w:ascii="仿宋_GB2312" w:hAnsi="仿宋_GB2312" w:eastAsia="仿宋_GB2312" w:cs="仿宋_GB2312"/>
          <w:bCs/>
          <w:sz w:val="28"/>
          <w:szCs w:val="28"/>
          <w:lang w:val="en-US" w:eastAsia="zh-CN"/>
        </w:rPr>
        <w:t>竞争性磋商</w:t>
      </w:r>
      <w:r>
        <w:rPr>
          <w:rFonts w:hint="eastAsia" w:ascii="仿宋_GB2312" w:hAnsi="仿宋_GB2312" w:eastAsia="仿宋_GB2312" w:cs="仿宋_GB2312"/>
          <w:bCs/>
          <w:sz w:val="28"/>
          <w:szCs w:val="28"/>
          <w:lang w:val="en-US" w:eastAsia="zh-Hans"/>
        </w:rPr>
        <w:t>，</w:t>
      </w:r>
      <w:r>
        <w:rPr>
          <w:rFonts w:hint="eastAsia" w:ascii="仿宋_GB2312" w:hAnsi="仿宋_GB2312" w:eastAsia="仿宋_GB2312" w:cs="仿宋_GB2312"/>
          <w:bCs/>
          <w:sz w:val="28"/>
          <w:szCs w:val="28"/>
          <w:u w:val="single"/>
          <w:lang w:val="en-US" w:eastAsia="zh-Hans"/>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lang w:val="en-US" w:eastAsia="zh-Hans"/>
        </w:rPr>
        <w:t>以下简称“甲方”</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lang w:val="en-US" w:eastAsia="zh-Hans"/>
        </w:rPr>
        <w:t>确定</w:t>
      </w:r>
      <w:r>
        <w:rPr>
          <w:rFonts w:hint="eastAsia" w:ascii="仿宋_GB2312" w:hAnsi="仿宋_GB2312" w:eastAsia="仿宋_GB2312" w:cs="仿宋_GB2312"/>
          <w:bCs/>
          <w:sz w:val="28"/>
          <w:szCs w:val="28"/>
          <w:u w:val="single"/>
          <w:lang w:val="en-US" w:eastAsia="zh-Hans"/>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lang w:val="en-US" w:eastAsia="zh-Hans"/>
        </w:rPr>
        <w:t>（以下简称“乙方”）为该项目的</w:t>
      </w:r>
      <w:r>
        <w:rPr>
          <w:rFonts w:hint="eastAsia" w:ascii="仿宋_GB2312" w:hAnsi="仿宋_GB2312" w:eastAsia="仿宋_GB2312" w:cs="仿宋_GB2312"/>
          <w:bCs/>
          <w:sz w:val="28"/>
          <w:szCs w:val="28"/>
          <w:lang w:val="en-US" w:eastAsia="zh-CN"/>
        </w:rPr>
        <w:t>成交供应商</w:t>
      </w:r>
      <w:r>
        <w:rPr>
          <w:rFonts w:hint="eastAsia" w:ascii="仿宋_GB2312" w:hAnsi="仿宋_GB2312" w:eastAsia="仿宋_GB2312" w:cs="仿宋_GB2312"/>
          <w:bCs/>
          <w:sz w:val="28"/>
          <w:szCs w:val="28"/>
          <w:lang w:val="en-US" w:eastAsia="zh-Hans"/>
        </w:rPr>
        <w:t>。</w:t>
      </w:r>
    </w:p>
    <w:p w14:paraId="4505621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Hans"/>
        </w:rPr>
        <w:t>依据《中华人民共和国</w:t>
      </w:r>
      <w:r>
        <w:rPr>
          <w:rFonts w:hint="eastAsia" w:ascii="仿宋_GB2312" w:hAnsi="仿宋_GB2312" w:eastAsia="仿宋_GB2312" w:cs="仿宋_GB2312"/>
          <w:bCs/>
          <w:sz w:val="28"/>
          <w:szCs w:val="28"/>
          <w:lang w:val="en-US" w:eastAsia="zh-CN"/>
        </w:rPr>
        <w:t>民法典</w:t>
      </w:r>
      <w:r>
        <w:rPr>
          <w:rFonts w:hint="eastAsia" w:ascii="仿宋_GB2312" w:hAnsi="仿宋_GB2312" w:eastAsia="仿宋_GB2312" w:cs="仿宋_GB2312"/>
          <w:bCs/>
          <w:sz w:val="28"/>
          <w:szCs w:val="28"/>
          <w:lang w:val="en-US" w:eastAsia="zh-Hans"/>
        </w:rPr>
        <w:t>》和《中华人民共和国政府采购法》之规定，经双方在平等、自愿、互利的基础上，签订本合同，共同信守。</w:t>
      </w:r>
    </w:p>
    <w:p w14:paraId="744C543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一、合同内容</w:t>
      </w:r>
    </w:p>
    <w:p w14:paraId="1DB50571">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zh-CN" w:eastAsia="zh-CN"/>
        </w:rPr>
        <w:t>（</w:t>
      </w:r>
      <w:r>
        <w:rPr>
          <w:rFonts w:hint="eastAsia" w:ascii="仿宋_GB2312" w:hAnsi="仿宋_GB2312" w:eastAsia="仿宋_GB2312" w:cs="仿宋_GB2312"/>
          <w:sz w:val="28"/>
          <w:szCs w:val="28"/>
          <w:highlight w:val="none"/>
          <w:lang w:val="en-US" w:eastAsia="zh-CN"/>
        </w:rPr>
        <w:t>一</w:t>
      </w:r>
      <w:r>
        <w:rPr>
          <w:rFonts w:hint="eastAsia" w:ascii="仿宋_GB2312" w:hAnsi="仿宋_GB2312" w:eastAsia="仿宋_GB2312" w:cs="仿宋_GB2312"/>
          <w:sz w:val="28"/>
          <w:szCs w:val="28"/>
          <w:highlight w:val="none"/>
          <w:lang w:val="zh-CN" w:eastAsia="zh-CN"/>
        </w:rPr>
        <w:t>）</w:t>
      </w:r>
      <w:r>
        <w:rPr>
          <w:rFonts w:hint="eastAsia" w:ascii="仿宋_GB2312" w:hAnsi="仿宋_GB2312" w:eastAsia="仿宋_GB2312" w:cs="仿宋_GB2312"/>
          <w:sz w:val="28"/>
          <w:szCs w:val="28"/>
          <w:highlight w:val="none"/>
          <w:lang w:val="en-US" w:eastAsia="zh-CN"/>
        </w:rPr>
        <w:t>服务内容</w:t>
      </w:r>
    </w:p>
    <w:p w14:paraId="508BC692">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乙方作为“西安高新区2026年企业技术改造提升综合服务”项目成交供应商，主要配合甲方做好以下工作：</w:t>
      </w:r>
    </w:p>
    <w:p w14:paraId="11D6D838">
      <w:pPr>
        <w:pStyle w:val="23"/>
        <w:spacing w:line="360" w:lineRule="auto"/>
        <w:ind w:firstLine="560" w:firstLineChars="200"/>
        <w:jc w:val="both"/>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1、安排至少2人负责工业投资、工业技改、企业固定资产投资（技改类）项目日常的统计、整理、催报；至少6人进行区内企业摸底调研，收集、整理企业项目投资信息，汇总、分析、报送；</w:t>
      </w:r>
    </w:p>
    <w:p w14:paraId="59F330B4">
      <w:pPr>
        <w:pStyle w:val="23"/>
        <w:spacing w:line="360" w:lineRule="auto"/>
        <w:ind w:firstLine="560" w:firstLineChars="200"/>
        <w:jc w:val="both"/>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2、每季度形成投资统计报告，并预计下季度投资情况，根据实时情况提出工作措施，做好预警工作；完成年度高新区本项工作的统计分析报告；</w:t>
      </w:r>
    </w:p>
    <w:p w14:paraId="6D3A460A">
      <w:pPr>
        <w:pStyle w:val="23"/>
        <w:spacing w:line="360" w:lineRule="auto"/>
        <w:ind w:firstLine="560" w:firstLineChars="200"/>
        <w:jc w:val="both"/>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3、对有设备跟新、技术改造、数字化转型的企业，按照市统计局固定资产投资入库的资料要求，协助企业进行技改项目资料的收集，报区发改局审核入库；</w:t>
      </w:r>
    </w:p>
    <w:p w14:paraId="031F6512">
      <w:pPr>
        <w:pStyle w:val="23"/>
        <w:spacing w:line="360" w:lineRule="auto"/>
        <w:ind w:firstLine="560" w:firstLineChars="200"/>
        <w:jc w:val="both"/>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4、对已入库的企业，及时督促并收集企业报送的技改项目固定资产投资数据统计报表及相关资料；督促企业报送全年报表及区发改局要求的其他报表及资料；</w:t>
      </w:r>
    </w:p>
    <w:p w14:paraId="4082FFA4">
      <w:pPr>
        <w:pStyle w:val="23"/>
        <w:spacing w:line="360" w:lineRule="auto"/>
        <w:ind w:firstLine="560" w:firstLineChars="200"/>
        <w:jc w:val="both"/>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5、对全年统计工作中出现的异常情况提出相应的应对措施并落实；</w:t>
      </w:r>
    </w:p>
    <w:p w14:paraId="675B80EF">
      <w:pPr>
        <w:pStyle w:val="23"/>
        <w:spacing w:line="360" w:lineRule="auto"/>
        <w:ind w:firstLine="560" w:firstLineChars="200"/>
        <w:jc w:val="both"/>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6、组织区内企业进行培训，多渠道开展统计工作和政策宣传，全年不少于3次；</w:t>
      </w:r>
    </w:p>
    <w:p w14:paraId="0F7707FE">
      <w:pPr>
        <w:pStyle w:val="23"/>
        <w:spacing w:line="360" w:lineRule="auto"/>
        <w:ind w:firstLine="560" w:firstLineChars="200"/>
        <w:jc w:val="both"/>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开展超长期国债设备更新、中央预算内资金、新型政策性金融工具、陕西省一揽子贷款贴息及西安市产业链提升等支持政策以及高新区普惠政策等各级政策的宣贯，指导服务和专题培训，组织并协助企业及时进行政策申报；</w:t>
      </w:r>
    </w:p>
    <w:p w14:paraId="749AE18B">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lang w:val="en-US" w:eastAsia="zh-CN"/>
        </w:rPr>
        <w:t>8、完成高新区工信局企业固定资产投资工作任务</w:t>
      </w:r>
      <w:r>
        <w:rPr>
          <w:rFonts w:hint="eastAsia" w:ascii="仿宋_GB2312" w:hAnsi="仿宋_GB2312" w:eastAsia="仿宋_GB2312" w:cs="仿宋_GB2312"/>
          <w:sz w:val="28"/>
          <w:szCs w:val="28"/>
          <w:highlight w:val="none"/>
          <w:lang w:val="en-US" w:eastAsia="zh-CN"/>
        </w:rPr>
        <w:t>。</w:t>
      </w:r>
    </w:p>
    <w:p w14:paraId="05240378">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（二）服务期限：自合同签订之日起</w:t>
      </w:r>
      <w:r>
        <w:rPr>
          <w:rFonts w:hint="eastAsia" w:ascii="仿宋_GB2312" w:hAnsi="仿宋_GB2312" w:eastAsia="仿宋_GB2312" w:cs="仿宋_GB2312"/>
          <w:sz w:val="28"/>
          <w:szCs w:val="28"/>
          <w:highlight w:val="none"/>
          <w:lang w:val="en-US" w:eastAsia="zh-CN"/>
        </w:rPr>
        <w:t>1年</w:t>
      </w:r>
      <w:r>
        <w:rPr>
          <w:rFonts w:hint="eastAsia" w:ascii="仿宋_GB2312" w:hAnsi="仿宋_GB2312" w:eastAsia="仿宋_GB2312" w:cs="仿宋_GB2312"/>
          <w:sz w:val="28"/>
          <w:szCs w:val="28"/>
          <w:highlight w:val="none"/>
        </w:rPr>
        <w:t>。</w:t>
      </w:r>
    </w:p>
    <w:p w14:paraId="25167898">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（三）实施地点：</w:t>
      </w:r>
      <w:r>
        <w:rPr>
          <w:rFonts w:hint="eastAsia" w:ascii="仿宋_GB2312" w:hAnsi="仿宋_GB2312" w:eastAsia="仿宋_GB2312" w:cs="仿宋_GB2312"/>
          <w:sz w:val="28"/>
          <w:szCs w:val="28"/>
          <w:highlight w:val="none"/>
          <w:lang w:val="en-US" w:eastAsia="zh-CN"/>
        </w:rPr>
        <w:t>西安高新区范围内，具体以甲方指定地点为准。</w:t>
      </w:r>
    </w:p>
    <w:p w14:paraId="6A12095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
          <w:bCs w:val="0"/>
          <w:sz w:val="28"/>
          <w:szCs w:val="28"/>
          <w:lang w:val="en-US" w:eastAsia="zh-Hans"/>
        </w:rPr>
        <w:t>二、</w:t>
      </w:r>
      <w:r>
        <w:rPr>
          <w:rFonts w:hint="eastAsia" w:ascii="仿宋_GB2312" w:hAnsi="仿宋_GB2312" w:eastAsia="仿宋_GB2312" w:cs="仿宋_GB2312"/>
          <w:b/>
          <w:bCs w:val="0"/>
          <w:sz w:val="28"/>
          <w:szCs w:val="28"/>
          <w:lang w:val="en-US" w:eastAsia="zh-CN"/>
        </w:rPr>
        <w:t>合同价款</w:t>
      </w:r>
    </w:p>
    <w:p w14:paraId="48C75D8E">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bookmarkStart w:id="0" w:name="_Toc4603"/>
      <w:bookmarkStart w:id="1" w:name="_Toc18752"/>
      <w:r>
        <w:rPr>
          <w:rFonts w:hint="eastAsia" w:ascii="仿宋_GB2312" w:hAnsi="仿宋_GB2312" w:eastAsia="仿宋_GB2312" w:cs="仿宋_GB2312"/>
          <w:sz w:val="28"/>
          <w:szCs w:val="28"/>
          <w:highlight w:val="none"/>
        </w:rPr>
        <w:t>（一）合同总价款为人民币（大写）</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w:t>
      </w:r>
      <w:r>
        <w:rPr>
          <w:rFonts w:hint="eastAsia" w:ascii="微软雅黑" w:hAnsi="微软雅黑" w:eastAsia="微软雅黑" w:cs="微软雅黑"/>
          <w:sz w:val="28"/>
          <w:szCs w:val="28"/>
          <w:highlight w:val="none"/>
          <w:lang w:val="en-US" w:eastAsia="zh-CN"/>
        </w:rPr>
        <w:t>￥</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w:t>
      </w:r>
    </w:p>
    <w:p w14:paraId="7560E309">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rPr>
        <w:t>（二）</w:t>
      </w:r>
      <w:r>
        <w:rPr>
          <w:rFonts w:hint="eastAsia" w:ascii="仿宋_GB2312" w:hAnsi="仿宋_GB2312" w:eastAsia="仿宋_GB2312" w:cs="仿宋_GB2312"/>
          <w:bCs/>
          <w:sz w:val="28"/>
          <w:szCs w:val="28"/>
          <w:highlight w:val="none"/>
        </w:rPr>
        <w:t>合同总价</w:t>
      </w:r>
      <w:r>
        <w:rPr>
          <w:rFonts w:hint="eastAsia" w:ascii="仿宋_GB2312" w:hAnsi="仿宋_GB2312" w:eastAsia="仿宋_GB2312" w:cs="仿宋_GB2312"/>
          <w:bCs/>
          <w:sz w:val="28"/>
          <w:szCs w:val="28"/>
          <w:highlight w:val="none"/>
          <w:lang w:val="en-US" w:eastAsia="zh-CN"/>
        </w:rPr>
        <w:t>包括</w:t>
      </w:r>
      <w:r>
        <w:rPr>
          <w:rFonts w:hint="eastAsia" w:ascii="仿宋_GB2312" w:hAnsi="仿宋_GB2312" w:eastAsia="仿宋_GB2312" w:cs="仿宋_GB2312"/>
          <w:bCs/>
          <w:sz w:val="28"/>
          <w:szCs w:val="28"/>
          <w:highlight w:val="none"/>
        </w:rPr>
        <w:t>但不限于人工费、材料费、交通费、专家费、</w:t>
      </w:r>
      <w:r>
        <w:rPr>
          <w:rFonts w:hint="eastAsia" w:ascii="仿宋_GB2312" w:hAnsi="仿宋_GB2312" w:eastAsia="仿宋_GB2312" w:cs="仿宋_GB2312"/>
          <w:bCs/>
          <w:sz w:val="28"/>
          <w:szCs w:val="28"/>
          <w:highlight w:val="none"/>
          <w:lang w:eastAsia="zh-Hans"/>
        </w:rPr>
        <w:t>培训</w:t>
      </w:r>
      <w:r>
        <w:rPr>
          <w:rFonts w:hint="eastAsia" w:ascii="仿宋_GB2312" w:hAnsi="仿宋_GB2312" w:eastAsia="仿宋_GB2312" w:cs="仿宋_GB2312"/>
          <w:bCs/>
          <w:sz w:val="28"/>
          <w:szCs w:val="28"/>
          <w:highlight w:val="none"/>
        </w:rPr>
        <w:t>费、管理费、税金、</w:t>
      </w:r>
      <w:r>
        <w:rPr>
          <w:rFonts w:hint="eastAsia" w:ascii="仿宋_GB2312" w:hAnsi="仿宋_GB2312" w:eastAsia="仿宋_GB2312" w:cs="仿宋_GB2312"/>
          <w:bCs/>
          <w:sz w:val="28"/>
          <w:szCs w:val="28"/>
          <w:highlight w:val="none"/>
          <w:lang w:val="zh-CN"/>
        </w:rPr>
        <w:t>劳务人员福利费及其它费用</w:t>
      </w:r>
      <w:r>
        <w:rPr>
          <w:rFonts w:hint="eastAsia" w:ascii="仿宋_GB2312" w:hAnsi="仿宋_GB2312" w:eastAsia="仿宋_GB2312" w:cs="仿宋_GB2312"/>
          <w:color w:val="auto"/>
          <w:sz w:val="28"/>
          <w:szCs w:val="28"/>
          <w:highlight w:val="none"/>
          <w:lang w:val="en-US" w:eastAsia="zh-CN"/>
        </w:rPr>
        <w:t>。</w:t>
      </w:r>
    </w:p>
    <w:p w14:paraId="3A455EED">
      <w:pPr>
        <w:keepNext w:val="0"/>
        <w:keepLines w:val="0"/>
        <w:pageBreakBefore w:val="0"/>
        <w:widowControl w:val="0"/>
        <w:kinsoku/>
        <w:wordWrap/>
        <w:overflowPunct/>
        <w:topLinePunct w:val="0"/>
        <w:bidi w:val="0"/>
        <w:adjustRightInd w:val="0"/>
        <w:snapToGrid w:val="0"/>
        <w:spacing w:line="360" w:lineRule="auto"/>
        <w:ind w:firstLine="562" w:firstLineChars="200"/>
        <w:textAlignment w:val="auto"/>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lang w:val="en-US" w:eastAsia="zh-CN"/>
        </w:rPr>
        <w:t>三</w:t>
      </w:r>
      <w:r>
        <w:rPr>
          <w:rFonts w:hint="eastAsia" w:ascii="仿宋_GB2312" w:hAnsi="仿宋_GB2312" w:eastAsia="仿宋_GB2312" w:cs="仿宋_GB2312"/>
          <w:b/>
          <w:sz w:val="28"/>
          <w:szCs w:val="28"/>
          <w:highlight w:val="none"/>
        </w:rPr>
        <w:t>、款项结算</w:t>
      </w:r>
    </w:p>
    <w:p w14:paraId="10AC4FC5">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（一）款项支付: </w:t>
      </w:r>
    </w:p>
    <w:p w14:paraId="07CEEBDB">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val="en-US" w:eastAsia="zh-CN"/>
        </w:rPr>
        <w:t>1、自合同签订之日起</w:t>
      </w:r>
      <w:r>
        <w:rPr>
          <w:rFonts w:hint="eastAsia" w:ascii="仿宋_GB2312" w:hAnsi="仿宋_GB2312" w:eastAsia="仿宋_GB2312" w:cs="仿宋_GB2312"/>
          <w:sz w:val="28"/>
          <w:szCs w:val="28"/>
          <w:highlight w:val="none"/>
          <w:lang w:eastAsia="zh-CN"/>
        </w:rPr>
        <w:t>，支付合同总</w:t>
      </w:r>
      <w:r>
        <w:rPr>
          <w:rFonts w:hint="eastAsia" w:ascii="仿宋_GB2312" w:hAnsi="仿宋_GB2312" w:eastAsia="仿宋_GB2312" w:cs="仿宋_GB2312"/>
          <w:sz w:val="28"/>
          <w:szCs w:val="28"/>
          <w:highlight w:val="none"/>
          <w:lang w:val="en-US" w:eastAsia="zh-CN"/>
        </w:rPr>
        <w:t>金额</w:t>
      </w:r>
      <w:r>
        <w:rPr>
          <w:rFonts w:hint="eastAsia" w:ascii="仿宋_GB2312" w:hAnsi="仿宋_GB2312" w:eastAsia="仿宋_GB2312" w:cs="仿宋_GB2312"/>
          <w:sz w:val="28"/>
          <w:szCs w:val="28"/>
          <w:highlight w:val="none"/>
          <w:lang w:eastAsia="zh-CN"/>
        </w:rPr>
        <w:t>的</w:t>
      </w:r>
      <w:r>
        <w:rPr>
          <w:rFonts w:hint="eastAsia" w:ascii="仿宋_GB2312" w:hAnsi="仿宋_GB2312" w:eastAsia="仿宋_GB2312" w:cs="仿宋_GB2312"/>
          <w:sz w:val="28"/>
          <w:szCs w:val="28"/>
          <w:highlight w:val="none"/>
          <w:lang w:val="en-US" w:eastAsia="zh-CN"/>
        </w:rPr>
        <w:t>4</w:t>
      </w:r>
      <w:r>
        <w:rPr>
          <w:rFonts w:hint="eastAsia" w:ascii="仿宋_GB2312" w:hAnsi="仿宋_GB2312" w:eastAsia="仿宋_GB2312" w:cs="仿宋_GB2312"/>
          <w:sz w:val="28"/>
          <w:szCs w:val="28"/>
          <w:highlight w:val="none"/>
          <w:lang w:eastAsia="zh-CN"/>
        </w:rPr>
        <w:t>0%；</w:t>
      </w:r>
    </w:p>
    <w:p w14:paraId="050923B5">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sz w:val="28"/>
          <w:szCs w:val="28"/>
          <w:highlight w:val="none"/>
          <w:lang w:val="en-US" w:eastAsia="zh-CN"/>
        </w:rPr>
        <w:t>2、服务期满7个月且</w:t>
      </w:r>
      <w:bookmarkStart w:id="2" w:name="_GoBack"/>
      <w:bookmarkEnd w:id="2"/>
      <w:r>
        <w:rPr>
          <w:rFonts w:hint="eastAsia" w:ascii="仿宋_GB2312" w:hAnsi="仿宋_GB2312" w:eastAsia="仿宋_GB2312" w:cs="仿宋_GB2312"/>
          <w:sz w:val="28"/>
          <w:szCs w:val="28"/>
          <w:highlight w:val="none"/>
          <w:lang w:val="en-US" w:eastAsia="zh-CN"/>
        </w:rPr>
        <w:t>服务良好</w:t>
      </w:r>
      <w:r>
        <w:rPr>
          <w:rFonts w:hint="eastAsia" w:ascii="仿宋_GB2312" w:hAnsi="仿宋_GB2312" w:eastAsia="仿宋_GB2312" w:cs="仿宋_GB2312"/>
          <w:sz w:val="28"/>
          <w:szCs w:val="28"/>
          <w:highlight w:val="none"/>
          <w:lang w:eastAsia="zh-CN"/>
        </w:rPr>
        <w:t>，支付合同总</w:t>
      </w:r>
      <w:r>
        <w:rPr>
          <w:rFonts w:hint="eastAsia" w:ascii="仿宋_GB2312" w:hAnsi="仿宋_GB2312" w:eastAsia="仿宋_GB2312" w:cs="仿宋_GB2312"/>
          <w:sz w:val="28"/>
          <w:szCs w:val="28"/>
          <w:highlight w:val="none"/>
          <w:lang w:val="en-US" w:eastAsia="zh-CN"/>
        </w:rPr>
        <w:t>金额</w:t>
      </w:r>
      <w:r>
        <w:rPr>
          <w:rFonts w:hint="eastAsia" w:ascii="仿宋_GB2312" w:hAnsi="仿宋_GB2312" w:eastAsia="仿宋_GB2312" w:cs="仿宋_GB2312"/>
          <w:sz w:val="28"/>
          <w:szCs w:val="28"/>
          <w:highlight w:val="none"/>
          <w:lang w:eastAsia="zh-CN"/>
        </w:rPr>
        <w:t>的</w:t>
      </w:r>
      <w:r>
        <w:rPr>
          <w:rFonts w:hint="eastAsia" w:ascii="仿宋_GB2312" w:hAnsi="仿宋_GB2312" w:eastAsia="仿宋_GB2312" w:cs="仿宋_GB2312"/>
          <w:sz w:val="28"/>
          <w:szCs w:val="28"/>
          <w:highlight w:val="none"/>
          <w:lang w:val="en-US" w:eastAsia="zh-CN"/>
        </w:rPr>
        <w:t>3</w:t>
      </w:r>
      <w:r>
        <w:rPr>
          <w:rFonts w:hint="eastAsia" w:ascii="仿宋_GB2312" w:hAnsi="仿宋_GB2312" w:eastAsia="仿宋_GB2312" w:cs="仿宋_GB2312"/>
          <w:sz w:val="28"/>
          <w:szCs w:val="28"/>
          <w:highlight w:val="none"/>
          <w:lang w:eastAsia="zh-CN"/>
        </w:rPr>
        <w:t>0%；</w:t>
      </w:r>
    </w:p>
    <w:p w14:paraId="5C032716">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3、服务期满12个月且服务良好，</w:t>
      </w:r>
      <w:r>
        <w:rPr>
          <w:rFonts w:hint="eastAsia" w:ascii="仿宋_GB2312" w:hAnsi="仿宋_GB2312" w:eastAsia="仿宋_GB2312" w:cs="仿宋_GB2312"/>
          <w:sz w:val="28"/>
          <w:szCs w:val="28"/>
          <w:highlight w:val="none"/>
          <w:lang w:eastAsia="zh-CN"/>
        </w:rPr>
        <w:t>支付合同总</w:t>
      </w:r>
      <w:r>
        <w:rPr>
          <w:rFonts w:hint="eastAsia" w:ascii="仿宋_GB2312" w:hAnsi="仿宋_GB2312" w:eastAsia="仿宋_GB2312" w:cs="仿宋_GB2312"/>
          <w:sz w:val="28"/>
          <w:szCs w:val="28"/>
          <w:highlight w:val="none"/>
          <w:lang w:val="en-US" w:eastAsia="zh-CN"/>
        </w:rPr>
        <w:t>金额</w:t>
      </w:r>
      <w:r>
        <w:rPr>
          <w:rFonts w:hint="eastAsia" w:ascii="仿宋_GB2312" w:hAnsi="仿宋_GB2312" w:eastAsia="仿宋_GB2312" w:cs="仿宋_GB2312"/>
          <w:sz w:val="28"/>
          <w:szCs w:val="28"/>
          <w:highlight w:val="none"/>
          <w:lang w:eastAsia="zh-CN"/>
        </w:rPr>
        <w:t>的</w:t>
      </w:r>
      <w:r>
        <w:rPr>
          <w:rFonts w:hint="eastAsia" w:ascii="仿宋_GB2312" w:hAnsi="仿宋_GB2312" w:eastAsia="仿宋_GB2312" w:cs="仿宋_GB2312"/>
          <w:sz w:val="28"/>
          <w:szCs w:val="28"/>
          <w:highlight w:val="none"/>
          <w:lang w:val="en-US" w:eastAsia="zh-CN"/>
        </w:rPr>
        <w:t>3</w:t>
      </w:r>
      <w:r>
        <w:rPr>
          <w:rFonts w:hint="eastAsia" w:ascii="仿宋_GB2312" w:hAnsi="仿宋_GB2312" w:eastAsia="仿宋_GB2312" w:cs="仿宋_GB2312"/>
          <w:sz w:val="28"/>
          <w:szCs w:val="28"/>
          <w:highlight w:val="none"/>
          <w:lang w:eastAsia="zh-CN"/>
        </w:rPr>
        <w:t>0%。</w:t>
      </w:r>
    </w:p>
    <w:p w14:paraId="6150395B">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rPr>
        <w:t>由西安高新区财政局见甲方书面意见后按进度支付有关款项，发票直开“西安高新技术产业开发区管理委员会”</w:t>
      </w:r>
      <w:r>
        <w:rPr>
          <w:rFonts w:hint="eastAsia" w:ascii="仿宋_GB2312" w:hAnsi="仿宋_GB2312" w:eastAsia="仿宋_GB2312" w:cs="仿宋_GB2312"/>
          <w:sz w:val="28"/>
          <w:szCs w:val="28"/>
          <w:highlight w:val="none"/>
          <w:lang w:eastAsia="zh-CN"/>
        </w:rPr>
        <w:t>。</w:t>
      </w:r>
    </w:p>
    <w:p w14:paraId="2B795DC1">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（二）支付方式：甲方以电子转账方式支付。</w:t>
      </w:r>
    </w:p>
    <w:p w14:paraId="51A02292">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default"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eastAsia="zh-CN"/>
        </w:rPr>
        <w:t>四</w:t>
      </w:r>
      <w:r>
        <w:rPr>
          <w:rFonts w:hint="eastAsia" w:ascii="仿宋_GB2312" w:hAnsi="仿宋_GB2312" w:eastAsia="仿宋_GB2312" w:cs="仿宋_GB2312"/>
          <w:b/>
          <w:bCs/>
          <w:sz w:val="28"/>
          <w:szCs w:val="28"/>
          <w:highlight w:val="none"/>
        </w:rPr>
        <w:t>、服务</w:t>
      </w:r>
      <w:r>
        <w:rPr>
          <w:rFonts w:hint="eastAsia" w:ascii="仿宋_GB2312" w:hAnsi="仿宋_GB2312" w:eastAsia="仿宋_GB2312" w:cs="仿宋_GB2312"/>
          <w:b/>
          <w:bCs/>
          <w:sz w:val="28"/>
          <w:szCs w:val="28"/>
          <w:highlight w:val="none"/>
          <w:lang w:val="en-US" w:eastAsia="zh-CN"/>
        </w:rPr>
        <w:t>质量保证</w:t>
      </w:r>
    </w:p>
    <w:p w14:paraId="2BF6011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val="en-US" w:eastAsia="zh-CN"/>
        </w:rPr>
      </w:pPr>
      <w:r>
        <w:rPr>
          <w:rFonts w:hint="eastAsia" w:ascii="仿宋_GB2312" w:hAnsi="仿宋_GB2312" w:eastAsia="仿宋_GB2312" w:cs="仿宋_GB2312"/>
          <w:bCs/>
          <w:sz w:val="28"/>
          <w:szCs w:val="28"/>
          <w:highlight w:val="none"/>
          <w:lang w:val="en-US" w:eastAsia="zh-CN"/>
        </w:rPr>
        <w:t>（一）服务要求</w:t>
      </w:r>
    </w:p>
    <w:p w14:paraId="03318304">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val="en-US" w:eastAsia="zh-CN"/>
        </w:rPr>
      </w:pPr>
      <w:r>
        <w:rPr>
          <w:rFonts w:hint="eastAsia" w:ascii="仿宋_GB2312" w:hAnsi="仿宋_GB2312" w:eastAsia="仿宋_GB2312" w:cs="仿宋_GB2312"/>
          <w:bCs/>
          <w:sz w:val="28"/>
          <w:szCs w:val="28"/>
          <w:highlight w:val="none"/>
          <w:lang w:val="en-US" w:eastAsia="zh-CN"/>
        </w:rPr>
        <w:t>根据安全保密以及服务质量的要求，指派具有专业水平的人员，做好区内企业投资的摸底调研、收集整理；企业项目投资信息的汇总、分析、报送，并在每季度形成分析报告；服从甲方工作安排，遵守西安高新区管委会的各项规章制度。</w:t>
      </w:r>
    </w:p>
    <w:p w14:paraId="15DB7B8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val="en-US" w:eastAsia="zh-CN"/>
        </w:rPr>
      </w:pPr>
      <w:r>
        <w:rPr>
          <w:rFonts w:hint="eastAsia" w:ascii="仿宋_GB2312" w:hAnsi="仿宋_GB2312" w:eastAsia="仿宋_GB2312" w:cs="仿宋_GB2312"/>
          <w:bCs/>
          <w:sz w:val="28"/>
          <w:szCs w:val="28"/>
          <w:highlight w:val="none"/>
          <w:lang w:val="en-US" w:eastAsia="zh-CN"/>
        </w:rPr>
        <w:t>（二）知识产权</w:t>
      </w:r>
    </w:p>
    <w:p w14:paraId="429A0DC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val="en-US" w:eastAsia="zh-CN"/>
        </w:rPr>
      </w:pPr>
      <w:r>
        <w:rPr>
          <w:rFonts w:hint="eastAsia" w:ascii="仿宋_GB2312" w:hAnsi="仿宋_GB2312" w:eastAsia="仿宋_GB2312" w:cs="仿宋_GB2312"/>
          <w:bCs/>
          <w:sz w:val="28"/>
          <w:szCs w:val="28"/>
          <w:highlight w:val="none"/>
          <w:lang w:val="en-US" w:eastAsia="zh-CN"/>
        </w:rPr>
        <w:t xml:space="preserve">1、本项目所涉及到的所有成果的知识产权归甲方所有。 </w:t>
      </w:r>
    </w:p>
    <w:p w14:paraId="127F5A0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val="en-US" w:eastAsia="zh-CN"/>
        </w:rPr>
      </w:pPr>
      <w:r>
        <w:rPr>
          <w:rFonts w:hint="eastAsia" w:ascii="仿宋_GB2312" w:hAnsi="仿宋_GB2312" w:eastAsia="仿宋_GB2312" w:cs="仿宋_GB2312"/>
          <w:bCs/>
          <w:sz w:val="28"/>
          <w:szCs w:val="28"/>
          <w:highlight w:val="none"/>
          <w:lang w:val="en-US" w:eastAsia="zh-CN"/>
        </w:rPr>
        <w:t xml:space="preserve">2、乙方无论出于任何目的如在其它场合使用该成果，必须经甲方同意方可使用。否则，甲方有权要求终止涉及到该知识产权的任何使用活动并保留追究卖方相应法律责任的权利。 </w:t>
      </w:r>
    </w:p>
    <w:p w14:paraId="2B928276">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val="en-US" w:eastAsia="zh-CN"/>
        </w:rPr>
      </w:pPr>
      <w:r>
        <w:rPr>
          <w:rFonts w:hint="eastAsia" w:ascii="仿宋_GB2312" w:hAnsi="仿宋_GB2312" w:eastAsia="仿宋_GB2312" w:cs="仿宋_GB2312"/>
          <w:bCs/>
          <w:sz w:val="28"/>
          <w:szCs w:val="28"/>
          <w:highlight w:val="none"/>
          <w:lang w:val="en-US" w:eastAsia="zh-CN"/>
        </w:rPr>
        <w:t>3、乙方为执行本合同而提供的技术资料使用权归甲方所有。</w:t>
      </w:r>
    </w:p>
    <w:p w14:paraId="030A334F">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val="en-US" w:eastAsia="zh-CN"/>
        </w:rPr>
      </w:pPr>
      <w:r>
        <w:rPr>
          <w:rFonts w:hint="eastAsia" w:ascii="仿宋_GB2312" w:hAnsi="仿宋_GB2312" w:eastAsia="仿宋_GB2312" w:cs="仿宋_GB2312"/>
          <w:bCs/>
          <w:sz w:val="28"/>
          <w:szCs w:val="28"/>
          <w:highlight w:val="none"/>
          <w:lang w:val="en-US" w:eastAsia="zh-CN"/>
        </w:rPr>
        <w:t>（三）其他要求</w:t>
      </w:r>
    </w:p>
    <w:p w14:paraId="7E9030AA">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val="en-US" w:eastAsia="zh-CN"/>
        </w:rPr>
      </w:pPr>
      <w:r>
        <w:rPr>
          <w:rFonts w:hint="eastAsia" w:ascii="仿宋_GB2312" w:hAnsi="仿宋_GB2312" w:eastAsia="仿宋_GB2312" w:cs="仿宋_GB2312"/>
          <w:bCs/>
          <w:sz w:val="28"/>
          <w:szCs w:val="28"/>
          <w:highlight w:val="none"/>
          <w:lang w:val="en-US" w:eastAsia="zh-CN"/>
        </w:rPr>
        <w:t>1、因公外出时（西安市范围内），乙方保证常驻服务人员快速到达现场，所产生的所有费用由乙方承担。</w:t>
      </w:r>
    </w:p>
    <w:p w14:paraId="7D6AECBF">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val="en-US" w:eastAsia="zh-CN"/>
        </w:rPr>
      </w:pPr>
      <w:r>
        <w:rPr>
          <w:rFonts w:hint="eastAsia" w:ascii="仿宋_GB2312" w:hAnsi="仿宋_GB2312" w:eastAsia="仿宋_GB2312" w:cs="仿宋_GB2312"/>
          <w:bCs/>
          <w:sz w:val="28"/>
          <w:szCs w:val="28"/>
          <w:highlight w:val="none"/>
          <w:lang w:val="en-US" w:eastAsia="zh-CN"/>
        </w:rPr>
        <w:t>2、乙方应提供服务人员相关办公设备及耗材，如办公台式机或笔记本电脑。</w:t>
      </w:r>
    </w:p>
    <w:p w14:paraId="1EB9D77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val="en-US" w:eastAsia="zh-CN"/>
        </w:rPr>
      </w:pPr>
      <w:r>
        <w:rPr>
          <w:rFonts w:hint="eastAsia" w:ascii="仿宋_GB2312" w:hAnsi="仿宋_GB2312" w:eastAsia="仿宋_GB2312" w:cs="仿宋_GB2312"/>
          <w:bCs/>
          <w:sz w:val="28"/>
          <w:szCs w:val="28"/>
          <w:highlight w:val="none"/>
          <w:lang w:val="en-US" w:eastAsia="zh-CN"/>
        </w:rPr>
        <w:t>3、乙方服从安排，完成甲方交办的工作任务。</w:t>
      </w:r>
    </w:p>
    <w:p w14:paraId="0896D5E2">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val="en-US" w:eastAsia="zh-CN"/>
        </w:rPr>
      </w:pPr>
      <w:r>
        <w:rPr>
          <w:rFonts w:hint="eastAsia" w:ascii="仿宋_GB2312" w:hAnsi="仿宋_GB2312" w:eastAsia="仿宋_GB2312" w:cs="仿宋_GB2312"/>
          <w:bCs/>
          <w:sz w:val="28"/>
          <w:szCs w:val="28"/>
          <w:highlight w:val="none"/>
          <w:lang w:val="en-US" w:eastAsia="zh-CN"/>
        </w:rPr>
        <w:t>4、乙方需派一名项目负责人，直接与甲方沟通，项目负责人接收甲方提出的问题与要求，并及时反馈给工作组，解决在项目实施过程中遇到的问题。</w:t>
      </w:r>
    </w:p>
    <w:p w14:paraId="5187D186">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val="en-US" w:eastAsia="zh-CN"/>
        </w:rPr>
      </w:pPr>
      <w:r>
        <w:rPr>
          <w:rFonts w:hint="eastAsia" w:ascii="仿宋_GB2312" w:hAnsi="仿宋_GB2312" w:eastAsia="仿宋_GB2312" w:cs="仿宋_GB2312"/>
          <w:bCs/>
          <w:sz w:val="28"/>
          <w:szCs w:val="28"/>
          <w:highlight w:val="none"/>
          <w:lang w:val="en-US" w:eastAsia="zh-CN"/>
        </w:rPr>
        <w:t>5、项目在实施过程中会出现不可预料的需求变更，乙方需积极配合甲方的需求变更，并按照变更后的需求继续进行方案实施。</w:t>
      </w:r>
    </w:p>
    <w:p w14:paraId="395068B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val="en-US" w:eastAsia="zh-CN"/>
        </w:rPr>
      </w:pPr>
      <w:r>
        <w:rPr>
          <w:rFonts w:hint="eastAsia" w:ascii="仿宋_GB2312" w:hAnsi="仿宋_GB2312" w:eastAsia="仿宋_GB2312" w:cs="仿宋_GB2312"/>
          <w:bCs/>
          <w:sz w:val="28"/>
          <w:szCs w:val="28"/>
          <w:highlight w:val="none"/>
          <w:lang w:val="en-US" w:eastAsia="zh-CN"/>
        </w:rPr>
        <w:t>6、乙方需提交所有实施方案流程及说明文档。</w:t>
      </w:r>
    </w:p>
    <w:p w14:paraId="55CEF6F5">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
          <w:bCs w:val="0"/>
          <w:sz w:val="28"/>
          <w:szCs w:val="28"/>
          <w:lang w:val="en-US" w:eastAsia="zh-Hans"/>
        </w:rPr>
      </w:pPr>
      <w:r>
        <w:rPr>
          <w:rFonts w:hint="eastAsia" w:ascii="仿宋_GB2312" w:hAnsi="仿宋_GB2312" w:eastAsia="仿宋_GB2312" w:cs="仿宋_GB2312"/>
          <w:bCs/>
          <w:sz w:val="28"/>
          <w:szCs w:val="28"/>
          <w:highlight w:val="none"/>
          <w:lang w:val="en-US" w:eastAsia="zh-CN"/>
        </w:rPr>
        <w:t>7、乙方需建立高效的管理团队，项目团队组成合理。</w:t>
      </w:r>
    </w:p>
    <w:p w14:paraId="3C239EB5">
      <w:pPr>
        <w:keepNext w:val="0"/>
        <w:keepLines w:val="0"/>
        <w:pageBreakBefore w:val="0"/>
        <w:widowControl w:val="0"/>
        <w:kinsoku/>
        <w:wordWrap/>
        <w:overflowPunct/>
        <w:topLinePunct w:val="0"/>
        <w:bidi w:val="0"/>
        <w:adjustRightInd w:val="0"/>
        <w:snapToGrid w:val="0"/>
        <w:spacing w:line="360" w:lineRule="auto"/>
        <w:ind w:firstLine="562"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b/>
          <w:bCs/>
          <w:sz w:val="28"/>
          <w:szCs w:val="28"/>
          <w:highlight w:val="none"/>
          <w:lang w:eastAsia="zh-CN"/>
        </w:rPr>
        <w:t>五</w:t>
      </w:r>
      <w:r>
        <w:rPr>
          <w:rFonts w:hint="eastAsia" w:ascii="仿宋_GB2312" w:hAnsi="仿宋_GB2312" w:eastAsia="仿宋_GB2312" w:cs="仿宋_GB2312"/>
          <w:b/>
          <w:bCs/>
          <w:sz w:val="28"/>
          <w:szCs w:val="28"/>
          <w:highlight w:val="none"/>
        </w:rPr>
        <w:t>、</w:t>
      </w:r>
      <w:r>
        <w:rPr>
          <w:rFonts w:hint="eastAsia" w:ascii="仿宋_GB2312" w:hAnsi="仿宋_GB2312" w:eastAsia="仿宋_GB2312" w:cs="仿宋_GB2312"/>
          <w:b/>
          <w:bCs/>
          <w:sz w:val="28"/>
          <w:szCs w:val="28"/>
          <w:highlight w:val="none"/>
          <w:lang w:val="en-US" w:eastAsia="zh-CN"/>
        </w:rPr>
        <w:t>甲方权利和义务</w:t>
      </w:r>
      <w:r>
        <w:rPr>
          <w:rFonts w:hint="eastAsia" w:ascii="仿宋_GB2312" w:hAnsi="仿宋_GB2312" w:eastAsia="仿宋_GB2312" w:cs="仿宋_GB2312"/>
          <w:sz w:val="28"/>
          <w:szCs w:val="28"/>
          <w:highlight w:val="none"/>
          <w:lang w:val="en-US" w:eastAsia="zh-CN"/>
        </w:rPr>
        <w:t xml:space="preserve"> </w:t>
      </w:r>
    </w:p>
    <w:p w14:paraId="278072E9">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（一）甲方负责按本合同的约定向乙方支付合同价款。</w:t>
      </w:r>
    </w:p>
    <w:p w14:paraId="59735065">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（二）甲方依据服务合同对乙方的工作进行督促、检查和考核。</w:t>
      </w:r>
    </w:p>
    <w:p w14:paraId="356C1024">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（三）甲方若认为乙方履行合同不力严重影响项目进度，甲方有权要求更换乙方主要人员，直至终止合同。</w:t>
      </w:r>
    </w:p>
    <w:p w14:paraId="11C7CD5C">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（四）甲方支持乙方的工作，按合同保证乙方责任和权力的统一。</w:t>
      </w:r>
    </w:p>
    <w:p w14:paraId="2806DDBE">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（五）甲方负责向乙方提供本合同规定的服务工作所需的办公场所、为乙方服务提供便利；同时提供必要的文本、资料和数据等材料。</w:t>
      </w:r>
    </w:p>
    <w:p w14:paraId="531F9D69">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（六）甲方负责协调项目外部条件及与地方的关系。 </w:t>
      </w:r>
    </w:p>
    <w:p w14:paraId="09B78473">
      <w:pPr>
        <w:keepNext w:val="0"/>
        <w:keepLines w:val="0"/>
        <w:pageBreakBefore w:val="0"/>
        <w:widowControl w:val="0"/>
        <w:kinsoku/>
        <w:wordWrap/>
        <w:overflowPunct/>
        <w:topLinePunct w:val="0"/>
        <w:bidi w:val="0"/>
        <w:adjustRightInd w:val="0"/>
        <w:snapToGrid w:val="0"/>
        <w:spacing w:line="360" w:lineRule="auto"/>
        <w:ind w:firstLine="562"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b/>
          <w:bCs/>
          <w:sz w:val="28"/>
          <w:szCs w:val="28"/>
          <w:highlight w:val="none"/>
          <w:lang w:val="en-US" w:eastAsia="zh-CN"/>
        </w:rPr>
        <w:t>六、乙方权利和义务</w:t>
      </w:r>
      <w:r>
        <w:rPr>
          <w:rFonts w:hint="eastAsia" w:ascii="仿宋_GB2312" w:hAnsi="仿宋_GB2312" w:eastAsia="仿宋_GB2312" w:cs="仿宋_GB2312"/>
          <w:sz w:val="28"/>
          <w:szCs w:val="28"/>
          <w:highlight w:val="none"/>
          <w:lang w:val="en-US" w:eastAsia="zh-CN"/>
        </w:rPr>
        <w:t xml:space="preserve"> </w:t>
      </w:r>
    </w:p>
    <w:p w14:paraId="74AEAA03">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（一）乙方拥有合同中规定的权力，并承担相应全部责任。</w:t>
      </w:r>
    </w:p>
    <w:p w14:paraId="59E9F270">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（二）乙方的工作人员必须严格遵守甲方的规章制度，以良好的形象和积极的工作态度，按甲方要求开展工作。</w:t>
      </w:r>
    </w:p>
    <w:p w14:paraId="365AA727">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（三）乙方必须具有履行本合同书所需的技能、谨慎与勤奋，必须按照相关的职业准则完成其全部职责。</w:t>
      </w:r>
    </w:p>
    <w:p w14:paraId="3E9FE240">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（四）在服务过程中甲方如需另聘专家咨询或协助，在服务责任以内发生的费用，由乙方承担。</w:t>
      </w:r>
    </w:p>
    <w:p w14:paraId="2A8E8031">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（五）乙方负责服务期间的人员安全问题（含财产安全及人身安全等），甲方不承担工伤事故责任。</w:t>
      </w:r>
    </w:p>
    <w:p w14:paraId="1579AA3B">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sz w:val="28"/>
          <w:szCs w:val="28"/>
          <w:highlight w:val="none"/>
          <w:lang w:val="en-US" w:eastAsia="zh-CN"/>
        </w:rPr>
        <w:t xml:space="preserve">（六）乙方不得将本项目转让、分包给其它单位或个人。 </w:t>
      </w:r>
    </w:p>
    <w:p w14:paraId="54B8765A">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_GB2312" w:eastAsia="仿宋_GB2312" w:cs="仿宋_GB2312"/>
          <w:b/>
          <w:sz w:val="28"/>
          <w:szCs w:val="28"/>
          <w:highlight w:val="none"/>
          <w:lang w:val="en-US" w:eastAsia="zh-CN"/>
        </w:rPr>
      </w:pPr>
      <w:r>
        <w:rPr>
          <w:rFonts w:hint="eastAsia" w:ascii="仿宋_GB2312" w:hAnsi="仿宋_GB2312" w:eastAsia="仿宋_GB2312" w:cs="仿宋_GB2312"/>
          <w:b/>
          <w:sz w:val="28"/>
          <w:szCs w:val="28"/>
          <w:highlight w:val="none"/>
          <w:lang w:val="en-US" w:eastAsia="zh-CN"/>
        </w:rPr>
        <w:t>七</w:t>
      </w:r>
      <w:r>
        <w:rPr>
          <w:rFonts w:hint="eastAsia" w:ascii="仿宋_GB2312" w:hAnsi="仿宋_GB2312" w:eastAsia="仿宋_GB2312" w:cs="仿宋_GB2312"/>
          <w:b/>
          <w:sz w:val="28"/>
          <w:szCs w:val="28"/>
          <w:highlight w:val="none"/>
        </w:rPr>
        <w:t>、</w:t>
      </w:r>
      <w:r>
        <w:rPr>
          <w:rFonts w:hint="eastAsia" w:ascii="仿宋_GB2312" w:hAnsi="仿宋_GB2312" w:eastAsia="仿宋_GB2312" w:cs="仿宋_GB2312"/>
          <w:b/>
          <w:sz w:val="28"/>
          <w:szCs w:val="28"/>
          <w:highlight w:val="none"/>
          <w:lang w:val="en-US" w:eastAsia="zh-CN"/>
        </w:rPr>
        <w:t>监督检查</w:t>
      </w:r>
    </w:p>
    <w:p w14:paraId="2A0EBDBC">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b/>
          <w:sz w:val="28"/>
          <w:szCs w:val="28"/>
          <w:highlight w:val="none"/>
        </w:rPr>
      </w:pPr>
      <w:r>
        <w:rPr>
          <w:rFonts w:hint="eastAsia" w:ascii="仿宋_GB2312" w:hAnsi="仿宋_GB2312" w:eastAsia="仿宋_GB2312" w:cs="仿宋_GB2312"/>
          <w:bCs/>
          <w:sz w:val="28"/>
          <w:szCs w:val="28"/>
          <w:highlight w:val="none"/>
          <w:lang w:eastAsia="zh-CN"/>
        </w:rPr>
        <w:t>西安高新技术产业开发区工业和信息化局</w:t>
      </w:r>
      <w:r>
        <w:rPr>
          <w:rFonts w:hint="eastAsia" w:ascii="仿宋_GB2312" w:hAnsi="仿宋_GB2312" w:eastAsia="仿宋_GB2312" w:cs="仿宋_GB2312"/>
          <w:bCs/>
          <w:sz w:val="28"/>
          <w:szCs w:val="28"/>
          <w:highlight w:val="none"/>
        </w:rPr>
        <w:t>，对本合同的执行情况进行监督检查，乙方应在甲方要求下积极配合。</w:t>
      </w:r>
    </w:p>
    <w:p w14:paraId="74238AB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bCs w:val="0"/>
          <w:sz w:val="28"/>
          <w:szCs w:val="28"/>
          <w:lang w:val="en-US" w:eastAsia="zh-Hans"/>
        </w:rPr>
      </w:pPr>
      <w:r>
        <w:rPr>
          <w:rFonts w:hint="eastAsia" w:ascii="仿宋_GB2312" w:hAnsi="仿宋_GB2312" w:eastAsia="仿宋_GB2312" w:cs="仿宋_GB2312"/>
          <w:b/>
          <w:bCs w:val="0"/>
          <w:sz w:val="28"/>
          <w:szCs w:val="28"/>
          <w:lang w:val="en-US" w:eastAsia="zh-CN"/>
        </w:rPr>
        <w:t>八</w:t>
      </w:r>
      <w:r>
        <w:rPr>
          <w:rFonts w:hint="eastAsia" w:ascii="仿宋_GB2312" w:hAnsi="仿宋_GB2312" w:eastAsia="仿宋_GB2312" w:cs="仿宋_GB2312"/>
          <w:b/>
          <w:bCs w:val="0"/>
          <w:sz w:val="28"/>
          <w:szCs w:val="28"/>
          <w:lang w:val="en-US" w:eastAsia="zh-Hans"/>
        </w:rPr>
        <w:t>、保密制度</w:t>
      </w:r>
    </w:p>
    <w:p w14:paraId="7901B29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CN"/>
        </w:rPr>
        <w:t>（一）</w:t>
      </w:r>
      <w:r>
        <w:rPr>
          <w:rFonts w:hint="eastAsia" w:ascii="仿宋_GB2312" w:hAnsi="仿宋_GB2312" w:eastAsia="仿宋_GB2312" w:cs="仿宋_GB2312"/>
          <w:bCs/>
          <w:sz w:val="28"/>
          <w:szCs w:val="28"/>
          <w:lang w:val="en-US" w:eastAsia="zh-Hans"/>
        </w:rPr>
        <w:t>乙方有义务对收集整理加工的数据的内容严格保密，只能为履行本合同之目的使用保密信息，不得为任何其他目的使用或授权他人使用保密信息。</w:t>
      </w:r>
    </w:p>
    <w:p w14:paraId="639A4021">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CN"/>
        </w:rPr>
        <w:t>（二）</w:t>
      </w:r>
      <w:r>
        <w:rPr>
          <w:rFonts w:hint="eastAsia" w:ascii="仿宋_GB2312" w:hAnsi="仿宋_GB2312" w:eastAsia="仿宋_GB2312" w:cs="仿宋_GB2312"/>
          <w:bCs/>
          <w:sz w:val="28"/>
          <w:szCs w:val="28"/>
          <w:lang w:val="en-US" w:eastAsia="zh-Hans"/>
        </w:rPr>
        <w:t>乙方在履行本合同过程中，对甲方提供给乙方的资料信息以及乙方在为甲方服务的全过程中接触到的所有信息，乙方负有保密的责任。未经甲方书面同意，乙方不得擅自公开、出版、发表或以其他方式使用或者向任何第三方透露在本服务中从甲方获得的任何数据和信息。</w:t>
      </w:r>
    </w:p>
    <w:p w14:paraId="25FB2881">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CN"/>
        </w:rPr>
        <w:t>（三）</w:t>
      </w:r>
      <w:r>
        <w:rPr>
          <w:rFonts w:hint="eastAsia" w:ascii="仿宋_GB2312" w:hAnsi="仿宋_GB2312" w:eastAsia="仿宋_GB2312" w:cs="仿宋_GB2312"/>
          <w:bCs/>
          <w:sz w:val="28"/>
          <w:szCs w:val="28"/>
          <w:lang w:val="en-US" w:eastAsia="zh-Hans"/>
        </w:rPr>
        <w:t>双方应自知悉项目保密信息之日起至项目保密信息公开之日止履行保密义务。合同是否终止或解除，不影响保密义务的履行。详见附件《保密协议》。</w:t>
      </w:r>
    </w:p>
    <w:p w14:paraId="58740180">
      <w:pPr>
        <w:keepNext w:val="0"/>
        <w:keepLines w:val="0"/>
        <w:pageBreakBefore w:val="0"/>
        <w:widowControl w:val="0"/>
        <w:kinsoku/>
        <w:wordWrap/>
        <w:overflowPunct/>
        <w:topLinePunct w:val="0"/>
        <w:bidi w:val="0"/>
        <w:adjustRightInd w:val="0"/>
        <w:snapToGrid w:val="0"/>
        <w:spacing w:line="360" w:lineRule="auto"/>
        <w:ind w:firstLine="562" w:firstLineChars="200"/>
        <w:textAlignment w:val="auto"/>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lang w:val="en-US" w:eastAsia="zh-CN"/>
        </w:rPr>
        <w:t>九</w:t>
      </w:r>
      <w:r>
        <w:rPr>
          <w:rFonts w:hint="eastAsia" w:ascii="仿宋_GB2312" w:hAnsi="仿宋_GB2312" w:eastAsia="仿宋_GB2312" w:cs="仿宋_GB2312"/>
          <w:b/>
          <w:bCs/>
          <w:sz w:val="28"/>
          <w:szCs w:val="28"/>
          <w:highlight w:val="none"/>
        </w:rPr>
        <w:t>、</w:t>
      </w:r>
      <w:r>
        <w:rPr>
          <w:rFonts w:hint="eastAsia" w:ascii="仿宋_GB2312" w:hAnsi="仿宋_GB2312" w:eastAsia="仿宋_GB2312" w:cs="仿宋_GB2312"/>
          <w:b/>
          <w:sz w:val="28"/>
          <w:szCs w:val="28"/>
          <w:highlight w:val="none"/>
        </w:rPr>
        <w:t>违约责任</w:t>
      </w:r>
    </w:p>
    <w:p w14:paraId="45915757">
      <w:pPr>
        <w:autoSpaceDE w:val="0"/>
        <w:autoSpaceDN w:val="0"/>
        <w:adjustRightInd w:val="0"/>
        <w:snapToGrid w:val="0"/>
        <w:spacing w:line="360" w:lineRule="auto"/>
        <w:ind w:firstLine="63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（一）按《中华人民共和国民法典》中的相关条款执行。</w:t>
      </w:r>
    </w:p>
    <w:p w14:paraId="09EB225F">
      <w:pPr>
        <w:autoSpaceDE w:val="0"/>
        <w:autoSpaceDN w:val="0"/>
        <w:adjustRightInd w:val="0"/>
        <w:snapToGrid w:val="0"/>
        <w:spacing w:line="360" w:lineRule="auto"/>
        <w:ind w:firstLine="63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（二）未按合同要求提供服务或服务质量不能满足要求，乙方必须无条件整改，提高服务质量，否则，甲方可以按照实际情况扣除相应费用，并有权终止合同，同时对乙方违约行为进行追究。</w:t>
      </w:r>
    </w:p>
    <w:p w14:paraId="11562F7A">
      <w:pPr>
        <w:keepNext w:val="0"/>
        <w:keepLines w:val="0"/>
        <w:pageBreakBefore w:val="0"/>
        <w:widowControl w:val="0"/>
        <w:kinsoku/>
        <w:wordWrap/>
        <w:overflowPunct/>
        <w:topLinePunct w:val="0"/>
        <w:bidi w:val="0"/>
        <w:adjustRightInd w:val="0"/>
        <w:snapToGrid w:val="0"/>
        <w:spacing w:line="360" w:lineRule="auto"/>
        <w:ind w:firstLine="562" w:firstLineChars="200"/>
        <w:textAlignment w:val="auto"/>
        <w:rPr>
          <w:rFonts w:hint="eastAsia"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十、合同争议解决的方式</w:t>
      </w:r>
    </w:p>
    <w:p w14:paraId="15CBEA2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因本合同引起的或与本合同有关的一切争议，由双方协商解决，协商不成的，双方均同意提交西安仲裁委员会仲裁解决。</w:t>
      </w:r>
    </w:p>
    <w:p w14:paraId="203161C6">
      <w:pPr>
        <w:keepNext w:val="0"/>
        <w:keepLines w:val="0"/>
        <w:pageBreakBefore w:val="0"/>
        <w:widowControl w:val="0"/>
        <w:kinsoku/>
        <w:wordWrap/>
        <w:overflowPunct/>
        <w:topLinePunct w:val="0"/>
        <w:bidi w:val="0"/>
        <w:adjustRightInd w:val="0"/>
        <w:snapToGrid w:val="0"/>
        <w:spacing w:line="360" w:lineRule="auto"/>
        <w:ind w:firstLine="562" w:firstLineChars="200"/>
        <w:textAlignment w:val="auto"/>
        <w:rPr>
          <w:rFonts w:hint="eastAsia"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十一、不可抗力合同生效</w:t>
      </w:r>
    </w:p>
    <w:p w14:paraId="79F42A0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rPr>
        <w:t>如果本合同的其中一方因受战争、火灾、洪水、台风、地震、国内骚乱或其它灾害影响，而不能履行本合同，则履约时间应被相应地延长，而且对于因延时而造成的损失，任何一方都不承担责任</w:t>
      </w:r>
      <w:r>
        <w:rPr>
          <w:rFonts w:hint="eastAsia" w:ascii="仿宋_GB2312" w:hAnsi="仿宋_GB2312" w:eastAsia="仿宋_GB2312" w:cs="仿宋_GB2312"/>
          <w:bCs/>
          <w:sz w:val="28"/>
          <w:szCs w:val="28"/>
          <w:highlight w:val="none"/>
          <w:lang w:eastAsia="zh-CN"/>
        </w:rPr>
        <w:t>。</w:t>
      </w:r>
    </w:p>
    <w:p w14:paraId="0BF7096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bCs w:val="0"/>
          <w:sz w:val="28"/>
          <w:szCs w:val="28"/>
          <w:highlight w:val="none"/>
          <w:lang w:val="en-US" w:eastAsia="zh-CN"/>
        </w:rPr>
      </w:pPr>
      <w:r>
        <w:rPr>
          <w:rFonts w:hint="eastAsia" w:ascii="仿宋_GB2312" w:hAnsi="仿宋_GB2312" w:eastAsia="仿宋_GB2312" w:cs="仿宋_GB2312"/>
          <w:b/>
          <w:bCs w:val="0"/>
          <w:sz w:val="28"/>
          <w:szCs w:val="28"/>
          <w:highlight w:val="none"/>
          <w:lang w:val="en-US" w:eastAsia="zh-CN"/>
        </w:rPr>
        <w:t>十二、合同的生效与终止</w:t>
      </w:r>
    </w:p>
    <w:p w14:paraId="02497D2E">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lang w:eastAsia="zh-CN"/>
        </w:rPr>
        <w:t>1、本合同一式</w:t>
      </w:r>
      <w:r>
        <w:rPr>
          <w:rFonts w:hint="eastAsia" w:ascii="仿宋_GB2312" w:hAnsi="仿宋_GB2312" w:eastAsia="仿宋_GB2312"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u w:val="single"/>
          <w:lang w:eastAsia="zh-CN"/>
        </w:rPr>
        <w:t>陆</w:t>
      </w:r>
      <w:r>
        <w:rPr>
          <w:rFonts w:hint="eastAsia" w:ascii="仿宋_GB2312" w:hAnsi="仿宋_GB2312" w:eastAsia="仿宋_GB2312"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lang w:eastAsia="zh-CN"/>
        </w:rPr>
        <w:t>份，甲方执</w:t>
      </w:r>
      <w:r>
        <w:rPr>
          <w:rFonts w:hint="eastAsia" w:ascii="仿宋_GB2312" w:hAnsi="仿宋_GB2312" w:eastAsia="仿宋_GB2312"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u w:val="single"/>
          <w:lang w:eastAsia="zh-CN"/>
        </w:rPr>
        <w:t>肆</w:t>
      </w:r>
      <w:r>
        <w:rPr>
          <w:rFonts w:hint="eastAsia" w:ascii="仿宋_GB2312" w:hAnsi="仿宋_GB2312" w:eastAsia="仿宋_GB2312"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lang w:eastAsia="zh-CN"/>
        </w:rPr>
        <w:t>份，乙方执</w:t>
      </w:r>
      <w:r>
        <w:rPr>
          <w:rFonts w:hint="eastAsia" w:ascii="仿宋_GB2312" w:hAnsi="仿宋_GB2312" w:eastAsia="仿宋_GB2312" w:cs="仿宋_GB2312"/>
          <w:bCs/>
          <w:sz w:val="28"/>
          <w:szCs w:val="28"/>
          <w:highlight w:val="none"/>
          <w:u w:val="single"/>
          <w:lang w:val="en-US" w:eastAsia="zh-CN"/>
        </w:rPr>
        <w:t xml:space="preserve"> 贰 </w:t>
      </w:r>
      <w:r>
        <w:rPr>
          <w:rFonts w:hint="eastAsia" w:ascii="仿宋_GB2312" w:hAnsi="仿宋_GB2312" w:eastAsia="仿宋_GB2312" w:cs="仿宋_GB2312"/>
          <w:bCs/>
          <w:sz w:val="28"/>
          <w:szCs w:val="28"/>
          <w:highlight w:val="none"/>
          <w:lang w:eastAsia="zh-CN"/>
        </w:rPr>
        <w:t>份，经甲、乙双方的法定代表人（授权代理人）签字盖章后生效。</w:t>
      </w:r>
    </w:p>
    <w:p w14:paraId="396D8AC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lang w:eastAsia="zh-CN"/>
        </w:rPr>
        <w:t>2、本项目</w:t>
      </w:r>
      <w:r>
        <w:rPr>
          <w:rFonts w:hint="eastAsia" w:ascii="仿宋_GB2312" w:hAnsi="仿宋_GB2312" w:eastAsia="仿宋_GB2312" w:cs="仿宋_GB2312"/>
          <w:bCs/>
          <w:sz w:val="28"/>
          <w:szCs w:val="28"/>
          <w:highlight w:val="none"/>
          <w:lang w:val="en-US" w:eastAsia="zh-CN"/>
        </w:rPr>
        <w:t>磋商</w:t>
      </w:r>
      <w:r>
        <w:rPr>
          <w:rFonts w:hint="eastAsia" w:ascii="仿宋_GB2312" w:hAnsi="仿宋_GB2312" w:eastAsia="仿宋_GB2312" w:cs="仿宋_GB2312"/>
          <w:bCs/>
          <w:sz w:val="28"/>
          <w:szCs w:val="28"/>
          <w:highlight w:val="none"/>
          <w:lang w:eastAsia="zh-CN"/>
        </w:rPr>
        <w:t>文件及其澄清文件，乙方作为本项目投标人时的</w:t>
      </w:r>
      <w:r>
        <w:rPr>
          <w:rFonts w:hint="eastAsia" w:ascii="仿宋_GB2312" w:hAnsi="仿宋_GB2312" w:eastAsia="仿宋_GB2312" w:cs="仿宋_GB2312"/>
          <w:bCs/>
          <w:sz w:val="28"/>
          <w:szCs w:val="28"/>
          <w:highlight w:val="none"/>
          <w:lang w:val="en-US" w:eastAsia="zh-CN"/>
        </w:rPr>
        <w:t>响应</w:t>
      </w:r>
      <w:r>
        <w:rPr>
          <w:rFonts w:hint="eastAsia" w:ascii="仿宋_GB2312" w:hAnsi="仿宋_GB2312" w:eastAsia="仿宋_GB2312" w:cs="仿宋_GB2312"/>
          <w:bCs/>
          <w:sz w:val="28"/>
          <w:szCs w:val="28"/>
          <w:highlight w:val="none"/>
          <w:lang w:eastAsia="zh-CN"/>
        </w:rPr>
        <w:t>文件及澄清文件为本合同不可分割的组成部分,与合同正文具有同等法律效力。二者如有矛盾，以合同正文为准。</w:t>
      </w:r>
    </w:p>
    <w:p w14:paraId="52A7BB1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lang w:eastAsia="zh-CN"/>
        </w:rPr>
        <w:t>3、如果本合同的某些条款被认定为无效、不合法或不能执行，此类无效、不合法或不能执行的认定不影响其他条款的有效性、合法性，或可执行性。</w:t>
      </w:r>
    </w:p>
    <w:p w14:paraId="4FE5D36A">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lang w:eastAsia="zh-CN"/>
        </w:rPr>
        <w:t>4、一方严重违反本合同项下的义务，并且违约方在对方通知后三十天仍未纠正，则守约方可向对方发出解除合同的书面通知。如果该违约因不可抗力因素无法在三十天内纠正，则守约方应为违约方合理地延长该时间的期限。在合同的一方接到解除合同的通知后，合同另一方将根据实际情况或双方认可的计划以有序的方式尽快结束与项目有关的所有工作。</w:t>
      </w:r>
    </w:p>
    <w:p w14:paraId="7B7A271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lang w:eastAsia="zh-CN"/>
        </w:rPr>
        <w:t>5、在与项目有关的所有工作终止期间，所有已制作的资料都将按本合同规定进行交付。</w:t>
      </w:r>
    </w:p>
    <w:p w14:paraId="547049F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eastAsia="仿宋_GB2312"/>
          <w:lang w:val="en-US" w:eastAsia="zh-CN"/>
        </w:rPr>
      </w:pPr>
      <w:r>
        <w:rPr>
          <w:rFonts w:hint="eastAsia" w:ascii="仿宋_GB2312" w:hAnsi="仿宋_GB2312" w:eastAsia="仿宋_GB2312" w:cs="仿宋_GB2312"/>
          <w:bCs/>
          <w:sz w:val="28"/>
          <w:szCs w:val="28"/>
          <w:highlight w:val="none"/>
          <w:lang w:eastAsia="zh-CN"/>
        </w:rPr>
        <w:t>6、合同未尽事宜，由甲、乙双方协商后作为合同的补充文件，与原合同具有同等法律效力。</w:t>
      </w:r>
    </w:p>
    <w:bookmarkEnd w:id="0"/>
    <w:bookmarkEnd w:id="1"/>
    <w:tbl>
      <w:tblPr>
        <w:tblStyle w:val="14"/>
        <w:tblpPr w:leftFromText="180" w:rightFromText="180" w:vertAnchor="text" w:horzAnchor="page" w:tblpX="1450" w:tblpY="441"/>
        <w:tblOverlap w:val="never"/>
        <w:tblW w:w="88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117"/>
        <w:gridCol w:w="2075"/>
        <w:gridCol w:w="1921"/>
        <w:gridCol w:w="2785"/>
      </w:tblGrid>
      <w:tr w14:paraId="122FB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54" w:hRule="atLeast"/>
        </w:trPr>
        <w:tc>
          <w:tcPr>
            <w:tcW w:w="2117" w:type="dxa"/>
            <w:tcBorders>
              <w:bottom w:val="nil"/>
              <w:right w:val="nil"/>
            </w:tcBorders>
            <w:noWrap w:val="0"/>
            <w:vAlign w:val="center"/>
          </w:tcPr>
          <w:p w14:paraId="3B896BAB">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甲方单位：</w:t>
            </w:r>
          </w:p>
          <w:p w14:paraId="2E7204B0">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（盖章）</w:t>
            </w:r>
          </w:p>
        </w:tc>
        <w:tc>
          <w:tcPr>
            <w:tcW w:w="2075" w:type="dxa"/>
            <w:tcBorders>
              <w:left w:val="nil"/>
              <w:bottom w:val="nil"/>
              <w:right w:val="nil"/>
            </w:tcBorders>
            <w:noWrap w:val="0"/>
            <w:vAlign w:val="center"/>
          </w:tcPr>
          <w:p w14:paraId="5A466E1E">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Cs/>
                <w:sz w:val="28"/>
                <w:szCs w:val="28"/>
              </w:rPr>
            </w:pPr>
          </w:p>
        </w:tc>
        <w:tc>
          <w:tcPr>
            <w:tcW w:w="1921" w:type="dxa"/>
            <w:tcBorders>
              <w:left w:val="nil"/>
              <w:bottom w:val="nil"/>
              <w:right w:val="nil"/>
            </w:tcBorders>
            <w:noWrap w:val="0"/>
            <w:vAlign w:val="center"/>
          </w:tcPr>
          <w:p w14:paraId="07F0D1A2">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乙方单位：</w:t>
            </w:r>
          </w:p>
          <w:p w14:paraId="47EBD58A">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（盖章）</w:t>
            </w:r>
          </w:p>
        </w:tc>
        <w:tc>
          <w:tcPr>
            <w:tcW w:w="2785" w:type="dxa"/>
            <w:tcBorders>
              <w:left w:val="nil"/>
              <w:bottom w:val="nil"/>
            </w:tcBorders>
            <w:noWrap w:val="0"/>
            <w:vAlign w:val="center"/>
          </w:tcPr>
          <w:p w14:paraId="76E7A714">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Cs/>
                <w:sz w:val="28"/>
                <w:szCs w:val="28"/>
              </w:rPr>
            </w:pPr>
          </w:p>
        </w:tc>
      </w:tr>
      <w:tr w14:paraId="0E027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trPr>
        <w:tc>
          <w:tcPr>
            <w:tcW w:w="2117" w:type="dxa"/>
            <w:tcBorders>
              <w:top w:val="nil"/>
              <w:bottom w:val="nil"/>
              <w:right w:val="nil"/>
            </w:tcBorders>
            <w:noWrap w:val="0"/>
            <w:vAlign w:val="center"/>
          </w:tcPr>
          <w:p w14:paraId="132EDBC7">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单位负责人：</w:t>
            </w:r>
          </w:p>
        </w:tc>
        <w:tc>
          <w:tcPr>
            <w:tcW w:w="2075" w:type="dxa"/>
            <w:tcBorders>
              <w:top w:val="nil"/>
              <w:left w:val="nil"/>
              <w:bottom w:val="nil"/>
              <w:right w:val="nil"/>
            </w:tcBorders>
            <w:noWrap w:val="0"/>
            <w:vAlign w:val="center"/>
          </w:tcPr>
          <w:p w14:paraId="325C97EE">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Cs/>
                <w:sz w:val="28"/>
                <w:szCs w:val="28"/>
              </w:rPr>
            </w:pPr>
          </w:p>
        </w:tc>
        <w:tc>
          <w:tcPr>
            <w:tcW w:w="1921" w:type="dxa"/>
            <w:tcBorders>
              <w:top w:val="nil"/>
              <w:left w:val="nil"/>
              <w:bottom w:val="nil"/>
              <w:right w:val="nil"/>
            </w:tcBorders>
            <w:noWrap w:val="0"/>
            <w:vAlign w:val="center"/>
          </w:tcPr>
          <w:p w14:paraId="4EFF0CA8">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
                <w:bCs/>
                <w:sz w:val="28"/>
                <w:szCs w:val="28"/>
                <w:lang w:eastAsia="zh-CN"/>
              </w:rPr>
            </w:pPr>
            <w:r>
              <w:rPr>
                <w:rFonts w:hint="eastAsia" w:ascii="Times New Roman" w:hAnsi="Times New Roman" w:eastAsia="仿宋_GB2312" w:cs="仿宋_GB2312"/>
                <w:b/>
                <w:bCs/>
                <w:sz w:val="28"/>
                <w:szCs w:val="28"/>
              </w:rPr>
              <w:t>法定代表人</w:t>
            </w:r>
            <w:r>
              <w:rPr>
                <w:rFonts w:hint="eastAsia" w:ascii="Times New Roman" w:hAnsi="Times New Roman" w:eastAsia="仿宋_GB2312" w:cs="仿宋_GB2312"/>
                <w:b/>
                <w:bCs/>
                <w:sz w:val="28"/>
                <w:szCs w:val="28"/>
                <w:lang w:eastAsia="zh-CN"/>
              </w:rPr>
              <w:t>：</w:t>
            </w:r>
          </w:p>
        </w:tc>
        <w:tc>
          <w:tcPr>
            <w:tcW w:w="2785" w:type="dxa"/>
            <w:tcBorders>
              <w:top w:val="nil"/>
              <w:left w:val="nil"/>
              <w:bottom w:val="nil"/>
            </w:tcBorders>
            <w:noWrap w:val="0"/>
            <w:vAlign w:val="center"/>
          </w:tcPr>
          <w:p w14:paraId="0291DC4F">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Cs/>
                <w:sz w:val="28"/>
                <w:szCs w:val="28"/>
              </w:rPr>
            </w:pPr>
          </w:p>
        </w:tc>
      </w:tr>
      <w:tr w14:paraId="3490F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trPr>
        <w:tc>
          <w:tcPr>
            <w:tcW w:w="2117" w:type="dxa"/>
            <w:tcBorders>
              <w:top w:val="nil"/>
              <w:bottom w:val="nil"/>
              <w:right w:val="nil"/>
            </w:tcBorders>
            <w:noWrap w:val="0"/>
            <w:vAlign w:val="center"/>
          </w:tcPr>
          <w:p w14:paraId="03E82EBF">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委托代理人：</w:t>
            </w:r>
          </w:p>
        </w:tc>
        <w:tc>
          <w:tcPr>
            <w:tcW w:w="2075" w:type="dxa"/>
            <w:tcBorders>
              <w:top w:val="nil"/>
              <w:left w:val="nil"/>
              <w:bottom w:val="nil"/>
              <w:right w:val="nil"/>
            </w:tcBorders>
            <w:noWrap w:val="0"/>
            <w:vAlign w:val="center"/>
          </w:tcPr>
          <w:p w14:paraId="2A06A252">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Cs/>
                <w:sz w:val="28"/>
                <w:szCs w:val="28"/>
              </w:rPr>
            </w:pPr>
          </w:p>
        </w:tc>
        <w:tc>
          <w:tcPr>
            <w:tcW w:w="1921" w:type="dxa"/>
            <w:tcBorders>
              <w:top w:val="nil"/>
              <w:left w:val="nil"/>
              <w:bottom w:val="nil"/>
              <w:right w:val="nil"/>
            </w:tcBorders>
            <w:noWrap w:val="0"/>
            <w:vAlign w:val="center"/>
          </w:tcPr>
          <w:p w14:paraId="4A5A3DDA">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
                <w:bCs/>
                <w:sz w:val="28"/>
                <w:szCs w:val="28"/>
                <w:lang w:eastAsia="zh-CN"/>
              </w:rPr>
            </w:pPr>
            <w:r>
              <w:rPr>
                <w:rFonts w:hint="eastAsia" w:ascii="Times New Roman" w:hAnsi="Times New Roman" w:eastAsia="仿宋_GB2312" w:cs="仿宋_GB2312"/>
                <w:b/>
                <w:bCs/>
                <w:sz w:val="28"/>
                <w:szCs w:val="28"/>
              </w:rPr>
              <w:t>委托代理人</w:t>
            </w:r>
            <w:r>
              <w:rPr>
                <w:rFonts w:hint="eastAsia" w:ascii="Times New Roman" w:hAnsi="Times New Roman" w:eastAsia="仿宋_GB2312" w:cs="仿宋_GB2312"/>
                <w:b/>
                <w:bCs/>
                <w:sz w:val="28"/>
                <w:szCs w:val="28"/>
                <w:lang w:eastAsia="zh-CN"/>
              </w:rPr>
              <w:t>：</w:t>
            </w:r>
          </w:p>
        </w:tc>
        <w:tc>
          <w:tcPr>
            <w:tcW w:w="2785" w:type="dxa"/>
            <w:tcBorders>
              <w:top w:val="nil"/>
              <w:left w:val="nil"/>
              <w:bottom w:val="nil"/>
            </w:tcBorders>
            <w:noWrap w:val="0"/>
            <w:vAlign w:val="center"/>
          </w:tcPr>
          <w:p w14:paraId="2EA8DF5B">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Cs/>
                <w:sz w:val="28"/>
                <w:szCs w:val="28"/>
              </w:rPr>
            </w:pPr>
          </w:p>
        </w:tc>
      </w:tr>
      <w:tr w14:paraId="177EC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trPr>
        <w:tc>
          <w:tcPr>
            <w:tcW w:w="2117" w:type="dxa"/>
            <w:tcBorders>
              <w:top w:val="nil"/>
              <w:bottom w:val="nil"/>
              <w:right w:val="nil"/>
            </w:tcBorders>
            <w:noWrap w:val="0"/>
            <w:vAlign w:val="center"/>
          </w:tcPr>
          <w:p w14:paraId="1EFC796A">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日    期：</w:t>
            </w:r>
          </w:p>
        </w:tc>
        <w:tc>
          <w:tcPr>
            <w:tcW w:w="2075" w:type="dxa"/>
            <w:tcBorders>
              <w:top w:val="nil"/>
              <w:left w:val="nil"/>
              <w:bottom w:val="nil"/>
              <w:right w:val="nil"/>
            </w:tcBorders>
            <w:noWrap w:val="0"/>
            <w:vAlign w:val="center"/>
          </w:tcPr>
          <w:p w14:paraId="3393220F">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Cs/>
                <w:sz w:val="28"/>
                <w:szCs w:val="28"/>
              </w:rPr>
            </w:pPr>
            <w:r>
              <w:rPr>
                <w:rFonts w:hint="eastAsia" w:ascii="Times New Roman" w:hAnsi="Times New Roman" w:eastAsia="仿宋_GB2312" w:cs="仿宋_GB2312"/>
                <w:bCs/>
                <w:sz w:val="28"/>
                <w:szCs w:val="28"/>
              </w:rPr>
              <w:t>年   月   日</w:t>
            </w:r>
          </w:p>
        </w:tc>
        <w:tc>
          <w:tcPr>
            <w:tcW w:w="1921" w:type="dxa"/>
            <w:tcBorders>
              <w:top w:val="nil"/>
              <w:left w:val="nil"/>
              <w:bottom w:val="nil"/>
              <w:right w:val="nil"/>
            </w:tcBorders>
            <w:noWrap w:val="0"/>
            <w:vAlign w:val="center"/>
          </w:tcPr>
          <w:p w14:paraId="1092D00B">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日    期：</w:t>
            </w:r>
          </w:p>
        </w:tc>
        <w:tc>
          <w:tcPr>
            <w:tcW w:w="2785" w:type="dxa"/>
            <w:tcBorders>
              <w:top w:val="nil"/>
              <w:left w:val="nil"/>
              <w:bottom w:val="nil"/>
            </w:tcBorders>
            <w:noWrap w:val="0"/>
            <w:vAlign w:val="center"/>
          </w:tcPr>
          <w:p w14:paraId="711C8DF4">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Cs/>
                <w:sz w:val="28"/>
                <w:szCs w:val="28"/>
              </w:rPr>
            </w:pPr>
            <w:r>
              <w:rPr>
                <w:rFonts w:hint="eastAsia" w:ascii="Times New Roman" w:hAnsi="Times New Roman" w:eastAsia="仿宋_GB2312" w:cs="仿宋_GB2312"/>
                <w:bCs/>
                <w:sz w:val="28"/>
                <w:szCs w:val="28"/>
              </w:rPr>
              <w:t>年   月   日</w:t>
            </w:r>
          </w:p>
        </w:tc>
      </w:tr>
      <w:tr w14:paraId="6D476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9" w:hRule="atLeast"/>
        </w:trPr>
        <w:tc>
          <w:tcPr>
            <w:tcW w:w="2117" w:type="dxa"/>
            <w:tcBorders>
              <w:top w:val="nil"/>
              <w:bottom w:val="nil"/>
              <w:right w:val="nil"/>
            </w:tcBorders>
            <w:noWrap w:val="0"/>
            <w:vAlign w:val="center"/>
          </w:tcPr>
          <w:p w14:paraId="639ED139">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统一社会信用</w:t>
            </w:r>
          </w:p>
          <w:p w14:paraId="1CE86B19">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代码：</w:t>
            </w:r>
          </w:p>
        </w:tc>
        <w:tc>
          <w:tcPr>
            <w:tcW w:w="2075" w:type="dxa"/>
            <w:tcBorders>
              <w:top w:val="nil"/>
              <w:left w:val="nil"/>
              <w:bottom w:val="nil"/>
              <w:right w:val="nil"/>
            </w:tcBorders>
            <w:noWrap w:val="0"/>
            <w:vAlign w:val="center"/>
          </w:tcPr>
          <w:p w14:paraId="313F1968">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Cs/>
                <w:sz w:val="28"/>
                <w:szCs w:val="28"/>
                <w:lang w:val="en-US" w:eastAsia="zh-CN"/>
              </w:rPr>
            </w:pPr>
          </w:p>
        </w:tc>
        <w:tc>
          <w:tcPr>
            <w:tcW w:w="1921" w:type="dxa"/>
            <w:tcBorders>
              <w:top w:val="nil"/>
              <w:left w:val="nil"/>
              <w:bottom w:val="nil"/>
              <w:right w:val="nil"/>
            </w:tcBorders>
            <w:noWrap w:val="0"/>
            <w:vAlign w:val="center"/>
          </w:tcPr>
          <w:p w14:paraId="5543105C">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Cs/>
                <w:sz w:val="28"/>
                <w:szCs w:val="28"/>
              </w:rPr>
            </w:pPr>
            <w:r>
              <w:rPr>
                <w:rFonts w:hint="eastAsia" w:ascii="Times New Roman" w:hAnsi="Times New Roman" w:eastAsia="仿宋_GB2312" w:cs="仿宋_GB2312"/>
                <w:b/>
                <w:bCs/>
                <w:sz w:val="28"/>
                <w:szCs w:val="28"/>
              </w:rPr>
              <w:t>统一社会信用代码：</w:t>
            </w:r>
          </w:p>
        </w:tc>
        <w:tc>
          <w:tcPr>
            <w:tcW w:w="2785" w:type="dxa"/>
            <w:tcBorders>
              <w:top w:val="nil"/>
              <w:left w:val="nil"/>
              <w:bottom w:val="nil"/>
            </w:tcBorders>
            <w:noWrap w:val="0"/>
            <w:vAlign w:val="center"/>
          </w:tcPr>
          <w:p w14:paraId="0CC555CA">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Cs/>
                <w:sz w:val="28"/>
                <w:szCs w:val="28"/>
              </w:rPr>
            </w:pPr>
          </w:p>
        </w:tc>
      </w:tr>
      <w:tr w14:paraId="3E417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9" w:hRule="atLeast"/>
        </w:trPr>
        <w:tc>
          <w:tcPr>
            <w:tcW w:w="2117" w:type="dxa"/>
            <w:tcBorders>
              <w:top w:val="nil"/>
              <w:bottom w:val="nil"/>
              <w:right w:val="nil"/>
            </w:tcBorders>
            <w:noWrap w:val="0"/>
            <w:vAlign w:val="center"/>
          </w:tcPr>
          <w:p w14:paraId="19DDA3EA">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开户单位：</w:t>
            </w:r>
          </w:p>
        </w:tc>
        <w:tc>
          <w:tcPr>
            <w:tcW w:w="2075" w:type="dxa"/>
            <w:tcBorders>
              <w:top w:val="nil"/>
              <w:left w:val="nil"/>
              <w:bottom w:val="nil"/>
              <w:right w:val="nil"/>
            </w:tcBorders>
            <w:noWrap w:val="0"/>
            <w:vAlign w:val="center"/>
          </w:tcPr>
          <w:p w14:paraId="3BE77AB0">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Cs/>
                <w:sz w:val="28"/>
                <w:szCs w:val="28"/>
              </w:rPr>
            </w:pPr>
          </w:p>
          <w:p w14:paraId="7661BED4">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Cs/>
                <w:sz w:val="28"/>
                <w:szCs w:val="28"/>
              </w:rPr>
            </w:pPr>
          </w:p>
        </w:tc>
        <w:tc>
          <w:tcPr>
            <w:tcW w:w="1921" w:type="dxa"/>
            <w:tcBorders>
              <w:top w:val="nil"/>
              <w:left w:val="nil"/>
              <w:bottom w:val="nil"/>
              <w:right w:val="nil"/>
            </w:tcBorders>
            <w:noWrap w:val="0"/>
            <w:vAlign w:val="center"/>
          </w:tcPr>
          <w:p w14:paraId="32CF9E41">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开户单位：</w:t>
            </w:r>
          </w:p>
        </w:tc>
        <w:tc>
          <w:tcPr>
            <w:tcW w:w="2785" w:type="dxa"/>
            <w:tcBorders>
              <w:top w:val="nil"/>
              <w:left w:val="nil"/>
              <w:bottom w:val="nil"/>
            </w:tcBorders>
            <w:noWrap w:val="0"/>
            <w:vAlign w:val="center"/>
          </w:tcPr>
          <w:p w14:paraId="0638BFBA">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Cs/>
                <w:sz w:val="28"/>
                <w:szCs w:val="28"/>
              </w:rPr>
            </w:pPr>
          </w:p>
        </w:tc>
      </w:tr>
      <w:tr w14:paraId="6A3B4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2117" w:type="dxa"/>
            <w:tcBorders>
              <w:top w:val="nil"/>
              <w:bottom w:val="nil"/>
              <w:right w:val="nil"/>
            </w:tcBorders>
            <w:noWrap w:val="0"/>
            <w:vAlign w:val="center"/>
          </w:tcPr>
          <w:p w14:paraId="55966B4F">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帐    号：</w:t>
            </w:r>
          </w:p>
        </w:tc>
        <w:tc>
          <w:tcPr>
            <w:tcW w:w="2075" w:type="dxa"/>
            <w:tcBorders>
              <w:top w:val="nil"/>
              <w:left w:val="nil"/>
              <w:bottom w:val="nil"/>
              <w:right w:val="nil"/>
            </w:tcBorders>
            <w:noWrap w:val="0"/>
            <w:vAlign w:val="center"/>
          </w:tcPr>
          <w:p w14:paraId="0CF89895">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Cs/>
                <w:sz w:val="28"/>
                <w:szCs w:val="28"/>
              </w:rPr>
            </w:pPr>
          </w:p>
        </w:tc>
        <w:tc>
          <w:tcPr>
            <w:tcW w:w="1921" w:type="dxa"/>
            <w:tcBorders>
              <w:top w:val="nil"/>
              <w:left w:val="nil"/>
              <w:bottom w:val="nil"/>
              <w:right w:val="nil"/>
            </w:tcBorders>
            <w:noWrap w:val="0"/>
            <w:vAlign w:val="center"/>
          </w:tcPr>
          <w:p w14:paraId="21F56B78">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帐    号：</w:t>
            </w:r>
          </w:p>
        </w:tc>
        <w:tc>
          <w:tcPr>
            <w:tcW w:w="2785" w:type="dxa"/>
            <w:tcBorders>
              <w:top w:val="nil"/>
              <w:left w:val="nil"/>
              <w:bottom w:val="nil"/>
            </w:tcBorders>
            <w:noWrap w:val="0"/>
            <w:vAlign w:val="center"/>
          </w:tcPr>
          <w:p w14:paraId="635D445C">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Cs/>
                <w:sz w:val="28"/>
                <w:szCs w:val="28"/>
              </w:rPr>
            </w:pPr>
          </w:p>
        </w:tc>
      </w:tr>
      <w:tr w14:paraId="0C693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2117" w:type="dxa"/>
            <w:tcBorders>
              <w:top w:val="nil"/>
              <w:bottom w:val="nil"/>
              <w:right w:val="nil"/>
            </w:tcBorders>
            <w:noWrap w:val="0"/>
            <w:vAlign w:val="center"/>
          </w:tcPr>
          <w:p w14:paraId="59D9D887">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地    址：</w:t>
            </w:r>
          </w:p>
        </w:tc>
        <w:tc>
          <w:tcPr>
            <w:tcW w:w="2075" w:type="dxa"/>
            <w:tcBorders>
              <w:top w:val="nil"/>
              <w:left w:val="nil"/>
              <w:bottom w:val="nil"/>
              <w:right w:val="nil"/>
            </w:tcBorders>
            <w:noWrap w:val="0"/>
            <w:vAlign w:val="center"/>
          </w:tcPr>
          <w:p w14:paraId="519FC45F">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Cs/>
                <w:sz w:val="28"/>
                <w:szCs w:val="28"/>
              </w:rPr>
            </w:pPr>
          </w:p>
        </w:tc>
        <w:tc>
          <w:tcPr>
            <w:tcW w:w="1921" w:type="dxa"/>
            <w:tcBorders>
              <w:top w:val="nil"/>
              <w:left w:val="nil"/>
              <w:bottom w:val="nil"/>
              <w:right w:val="nil"/>
            </w:tcBorders>
            <w:noWrap w:val="0"/>
            <w:vAlign w:val="center"/>
          </w:tcPr>
          <w:p w14:paraId="254C8CE3">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地    址：</w:t>
            </w:r>
          </w:p>
        </w:tc>
        <w:tc>
          <w:tcPr>
            <w:tcW w:w="2785" w:type="dxa"/>
            <w:tcBorders>
              <w:top w:val="nil"/>
              <w:left w:val="nil"/>
              <w:bottom w:val="nil"/>
            </w:tcBorders>
            <w:noWrap w:val="0"/>
            <w:vAlign w:val="center"/>
          </w:tcPr>
          <w:p w14:paraId="05D023A2">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Cs/>
                <w:sz w:val="28"/>
                <w:szCs w:val="28"/>
              </w:rPr>
            </w:pPr>
          </w:p>
        </w:tc>
      </w:tr>
      <w:tr w14:paraId="621B5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2117" w:type="dxa"/>
            <w:tcBorders>
              <w:top w:val="nil"/>
              <w:bottom w:val="nil"/>
              <w:right w:val="nil"/>
            </w:tcBorders>
            <w:noWrap w:val="0"/>
            <w:vAlign w:val="center"/>
          </w:tcPr>
          <w:p w14:paraId="705F8D70">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邮    编：</w:t>
            </w:r>
          </w:p>
        </w:tc>
        <w:tc>
          <w:tcPr>
            <w:tcW w:w="2075" w:type="dxa"/>
            <w:tcBorders>
              <w:top w:val="nil"/>
              <w:left w:val="nil"/>
              <w:bottom w:val="nil"/>
              <w:right w:val="nil"/>
            </w:tcBorders>
            <w:noWrap w:val="0"/>
            <w:vAlign w:val="center"/>
          </w:tcPr>
          <w:p w14:paraId="1EFB6162">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Cs/>
                <w:sz w:val="28"/>
                <w:szCs w:val="28"/>
              </w:rPr>
            </w:pPr>
          </w:p>
        </w:tc>
        <w:tc>
          <w:tcPr>
            <w:tcW w:w="1921" w:type="dxa"/>
            <w:tcBorders>
              <w:top w:val="nil"/>
              <w:left w:val="nil"/>
              <w:bottom w:val="nil"/>
              <w:right w:val="nil"/>
            </w:tcBorders>
            <w:noWrap w:val="0"/>
            <w:vAlign w:val="center"/>
          </w:tcPr>
          <w:p w14:paraId="65E8C1CB">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邮    编：</w:t>
            </w:r>
          </w:p>
        </w:tc>
        <w:tc>
          <w:tcPr>
            <w:tcW w:w="2785" w:type="dxa"/>
            <w:tcBorders>
              <w:top w:val="nil"/>
              <w:left w:val="nil"/>
              <w:bottom w:val="nil"/>
            </w:tcBorders>
            <w:noWrap w:val="0"/>
            <w:vAlign w:val="center"/>
          </w:tcPr>
          <w:p w14:paraId="08CB42B2">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Cs/>
                <w:sz w:val="28"/>
                <w:szCs w:val="28"/>
              </w:rPr>
            </w:pPr>
          </w:p>
        </w:tc>
      </w:tr>
      <w:tr w14:paraId="14E22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2117" w:type="dxa"/>
            <w:tcBorders>
              <w:top w:val="nil"/>
              <w:bottom w:val="nil"/>
              <w:right w:val="nil"/>
            </w:tcBorders>
            <w:noWrap w:val="0"/>
            <w:vAlign w:val="center"/>
          </w:tcPr>
          <w:p w14:paraId="7BAF40C0">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联系电话：</w:t>
            </w:r>
          </w:p>
        </w:tc>
        <w:tc>
          <w:tcPr>
            <w:tcW w:w="2075" w:type="dxa"/>
            <w:tcBorders>
              <w:top w:val="nil"/>
              <w:left w:val="nil"/>
              <w:bottom w:val="nil"/>
              <w:right w:val="nil"/>
            </w:tcBorders>
            <w:noWrap w:val="0"/>
            <w:vAlign w:val="center"/>
          </w:tcPr>
          <w:p w14:paraId="1A358558">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ascii="Times New Roman" w:hAnsi="Times New Roman" w:eastAsia="仿宋_GB2312" w:cs="仿宋_GB2312"/>
                <w:bCs/>
                <w:sz w:val="28"/>
                <w:szCs w:val="28"/>
              </w:rPr>
            </w:pPr>
          </w:p>
        </w:tc>
        <w:tc>
          <w:tcPr>
            <w:tcW w:w="1921" w:type="dxa"/>
            <w:tcBorders>
              <w:top w:val="nil"/>
              <w:left w:val="nil"/>
              <w:bottom w:val="nil"/>
              <w:right w:val="nil"/>
            </w:tcBorders>
            <w:noWrap w:val="0"/>
            <w:vAlign w:val="center"/>
          </w:tcPr>
          <w:p w14:paraId="56F18C21">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联系电话：</w:t>
            </w:r>
          </w:p>
        </w:tc>
        <w:tc>
          <w:tcPr>
            <w:tcW w:w="2785" w:type="dxa"/>
            <w:tcBorders>
              <w:top w:val="nil"/>
              <w:left w:val="nil"/>
              <w:bottom w:val="nil"/>
            </w:tcBorders>
            <w:noWrap w:val="0"/>
            <w:vAlign w:val="center"/>
          </w:tcPr>
          <w:p w14:paraId="0569D63F">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Cs/>
                <w:sz w:val="28"/>
                <w:szCs w:val="28"/>
              </w:rPr>
            </w:pPr>
          </w:p>
        </w:tc>
      </w:tr>
      <w:tr w14:paraId="251F6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2117" w:type="dxa"/>
            <w:tcBorders>
              <w:top w:val="nil"/>
              <w:right w:val="nil"/>
            </w:tcBorders>
            <w:noWrap w:val="0"/>
            <w:vAlign w:val="center"/>
          </w:tcPr>
          <w:p w14:paraId="2D05DC0C">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EMAIL：</w:t>
            </w:r>
          </w:p>
        </w:tc>
        <w:tc>
          <w:tcPr>
            <w:tcW w:w="2075" w:type="dxa"/>
            <w:tcBorders>
              <w:top w:val="nil"/>
              <w:left w:val="nil"/>
              <w:right w:val="nil"/>
            </w:tcBorders>
            <w:noWrap w:val="0"/>
            <w:vAlign w:val="center"/>
          </w:tcPr>
          <w:p w14:paraId="4F00CB86">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Cs/>
                <w:sz w:val="28"/>
                <w:szCs w:val="28"/>
              </w:rPr>
            </w:pPr>
          </w:p>
        </w:tc>
        <w:tc>
          <w:tcPr>
            <w:tcW w:w="1921" w:type="dxa"/>
            <w:tcBorders>
              <w:top w:val="nil"/>
              <w:left w:val="nil"/>
              <w:right w:val="nil"/>
            </w:tcBorders>
            <w:noWrap w:val="0"/>
            <w:vAlign w:val="center"/>
          </w:tcPr>
          <w:p w14:paraId="382B2C16">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EMAIL：</w:t>
            </w:r>
          </w:p>
        </w:tc>
        <w:tc>
          <w:tcPr>
            <w:tcW w:w="2785" w:type="dxa"/>
            <w:tcBorders>
              <w:top w:val="nil"/>
              <w:left w:val="nil"/>
            </w:tcBorders>
            <w:noWrap w:val="0"/>
            <w:vAlign w:val="center"/>
          </w:tcPr>
          <w:p w14:paraId="30760B46">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Times New Roman" w:hAnsi="Times New Roman" w:eastAsia="仿宋_GB2312" w:cs="仿宋_GB2312"/>
                <w:bCs/>
                <w:sz w:val="28"/>
                <w:szCs w:val="28"/>
              </w:rPr>
            </w:pPr>
          </w:p>
        </w:tc>
      </w:tr>
    </w:tbl>
    <w:p w14:paraId="023A3254">
      <w:pPr>
        <w:pStyle w:val="2"/>
        <w:tabs>
          <w:tab w:val="center" w:pos="4153"/>
          <w:tab w:val="right" w:pos="8306"/>
          <w:tab w:val="clear" w:pos="4140"/>
          <w:tab w:val="clear" w:pos="8300"/>
        </w:tabs>
        <w:rPr>
          <w:rFonts w:ascii="仿宋_GB2312" w:hAnsi="仿宋_GB2312" w:eastAsia="仿宋_GB2312" w:cs="仿宋_GB2312"/>
          <w:sz w:val="28"/>
          <w:szCs w:val="28"/>
        </w:rPr>
      </w:pPr>
    </w:p>
    <w:p w14:paraId="592C300B">
      <w:pPr>
        <w:pStyle w:val="2"/>
      </w:pPr>
    </w:p>
    <w:p w14:paraId="17C6DB0E">
      <w:pPr>
        <w:pStyle w:val="2"/>
      </w:pPr>
    </w:p>
    <w:p w14:paraId="0742138C">
      <w:pPr>
        <w:rPr>
          <w:rFonts w:hint="eastAsia" w:ascii="Times New Roman" w:hAnsi="Times New Roman" w:eastAsia="方正小标宋简体" w:cs="方正小标宋简体"/>
          <w:bCs/>
          <w:color w:val="333333"/>
          <w:sz w:val="44"/>
          <w:szCs w:val="44"/>
        </w:rPr>
      </w:pPr>
      <w:r>
        <w:rPr>
          <w:rFonts w:hint="eastAsia" w:ascii="Times New Roman" w:hAnsi="Times New Roman" w:eastAsia="方正小标宋简体" w:cs="方正小标宋简体"/>
          <w:bCs/>
          <w:color w:val="333333"/>
          <w:sz w:val="44"/>
          <w:szCs w:val="44"/>
        </w:rPr>
        <w:br w:type="page"/>
      </w:r>
    </w:p>
    <w:p w14:paraId="3251D144">
      <w:pPr>
        <w:jc w:val="center"/>
        <w:rPr>
          <w:rFonts w:ascii="Times New Roman" w:hAnsi="Times New Roman" w:eastAsia="方正小标宋简体" w:cs="方正小标宋简体"/>
          <w:bCs/>
          <w:color w:val="333333"/>
          <w:sz w:val="44"/>
          <w:szCs w:val="44"/>
        </w:rPr>
      </w:pPr>
      <w:r>
        <w:rPr>
          <w:rFonts w:hint="eastAsia" w:ascii="Times New Roman" w:hAnsi="Times New Roman" w:eastAsia="方正小标宋简体" w:cs="方正小标宋简体"/>
          <w:bCs/>
          <w:color w:val="333333"/>
          <w:sz w:val="44"/>
          <w:szCs w:val="44"/>
        </w:rPr>
        <w:t>保 密 协 议</w:t>
      </w:r>
    </w:p>
    <w:p w14:paraId="12874512">
      <w:pPr>
        <w:rPr>
          <w:rFonts w:ascii="Times New Roman" w:hAnsi="Times New Roman"/>
        </w:rPr>
      </w:pPr>
    </w:p>
    <w:p w14:paraId="4FAC92EB">
      <w:pPr>
        <w:spacing w:line="560" w:lineRule="exact"/>
        <w:ind w:firstLine="562" w:firstLineChars="200"/>
        <w:rPr>
          <w:rFonts w:hint="eastAsia" w:ascii="Times New Roman" w:hAnsi="Times New Roman" w:eastAsia="仿宋_GB2312" w:cs="仿宋_GB2312"/>
          <w:b/>
          <w:bCs/>
          <w:color w:val="000000"/>
          <w:kern w:val="0"/>
          <w:sz w:val="28"/>
          <w:szCs w:val="28"/>
          <w:lang w:bidi="ar"/>
        </w:rPr>
      </w:pPr>
      <w:r>
        <w:rPr>
          <w:rFonts w:hint="eastAsia" w:ascii="Times New Roman" w:hAnsi="Times New Roman" w:eastAsia="仿宋_GB2312" w:cs="仿宋_GB2312"/>
          <w:b/>
          <w:bCs/>
          <w:color w:val="000000"/>
          <w:kern w:val="0"/>
          <w:sz w:val="28"/>
          <w:szCs w:val="28"/>
          <w:lang w:bidi="ar"/>
        </w:rPr>
        <w:t>甲方：</w:t>
      </w:r>
    </w:p>
    <w:p w14:paraId="7DAE2DDE">
      <w:pPr>
        <w:spacing w:line="560" w:lineRule="exact"/>
        <w:ind w:firstLine="562" w:firstLineChars="200"/>
        <w:rPr>
          <w:rFonts w:hint="eastAsia" w:ascii="Times New Roman" w:hAnsi="Times New Roman" w:eastAsia="仿宋_GB2312" w:cs="仿宋_GB2312"/>
          <w:b/>
          <w:bCs/>
          <w:color w:val="000000"/>
          <w:kern w:val="0"/>
          <w:sz w:val="28"/>
          <w:szCs w:val="28"/>
          <w:lang w:bidi="ar"/>
        </w:rPr>
      </w:pPr>
      <w:r>
        <w:rPr>
          <w:rFonts w:hint="eastAsia" w:ascii="Times New Roman" w:hAnsi="Times New Roman" w:eastAsia="仿宋_GB2312" w:cs="仿宋_GB2312"/>
          <w:b/>
          <w:bCs/>
          <w:color w:val="000000"/>
          <w:kern w:val="0"/>
          <w:sz w:val="28"/>
          <w:szCs w:val="28"/>
          <w:lang w:bidi="ar"/>
        </w:rPr>
        <w:t>乙方：</w:t>
      </w:r>
    </w:p>
    <w:p w14:paraId="3A34A46C">
      <w:pPr>
        <w:spacing w:line="560" w:lineRule="exact"/>
        <w:ind w:firstLine="560" w:firstLineChars="200"/>
        <w:rPr>
          <w:rFonts w:hint="eastAsia" w:ascii="Times New Roman" w:hAnsi="Times New Roman" w:eastAsia="仿宋_GB2312" w:cs="仿宋_GB2312"/>
          <w:sz w:val="28"/>
          <w:szCs w:val="28"/>
        </w:rPr>
      </w:pPr>
      <w:r>
        <w:rPr>
          <w:rFonts w:hint="eastAsia" w:ascii="Times New Roman" w:hAnsi="Times New Roman" w:eastAsia="仿宋_GB2312" w:cs="仿宋_GB2312"/>
          <w:color w:val="000000"/>
          <w:kern w:val="0"/>
          <w:sz w:val="28"/>
          <w:szCs w:val="28"/>
          <w:lang w:bidi="ar"/>
        </w:rPr>
        <w:t>为确保甲乙双方有关</w:t>
      </w:r>
      <w:r>
        <w:rPr>
          <w:rFonts w:hint="eastAsia" w:ascii="Times New Roman" w:hAnsi="Times New Roman" w:eastAsia="仿宋_GB2312" w:cs="仿宋_GB2312"/>
          <w:color w:val="000000"/>
          <w:kern w:val="0"/>
          <w:sz w:val="28"/>
          <w:szCs w:val="28"/>
          <w:u w:val="single"/>
          <w:lang w:bidi="ar"/>
        </w:rPr>
        <w:t>西安高新区202</w:t>
      </w:r>
      <w:r>
        <w:rPr>
          <w:rFonts w:hint="eastAsia" w:ascii="Times New Roman" w:hAnsi="Times New Roman" w:eastAsia="仿宋_GB2312" w:cs="仿宋_GB2312"/>
          <w:color w:val="000000"/>
          <w:kern w:val="0"/>
          <w:sz w:val="28"/>
          <w:szCs w:val="28"/>
          <w:u w:val="single"/>
          <w:lang w:val="en-US" w:eastAsia="zh-CN" w:bidi="ar"/>
        </w:rPr>
        <w:t>6</w:t>
      </w:r>
      <w:r>
        <w:rPr>
          <w:rFonts w:hint="eastAsia" w:ascii="Times New Roman" w:hAnsi="Times New Roman" w:eastAsia="仿宋_GB2312" w:cs="仿宋_GB2312"/>
          <w:color w:val="000000"/>
          <w:kern w:val="0"/>
          <w:sz w:val="28"/>
          <w:szCs w:val="28"/>
          <w:u w:val="single"/>
          <w:lang w:bidi="ar"/>
        </w:rPr>
        <w:t>年企业技术改造提升综合服务项目</w:t>
      </w:r>
      <w:r>
        <w:rPr>
          <w:rFonts w:hint="eastAsia" w:ascii="Times New Roman" w:hAnsi="Times New Roman" w:eastAsia="仿宋_GB2312" w:cs="仿宋_GB2312"/>
          <w:sz w:val="28"/>
          <w:szCs w:val="28"/>
        </w:rPr>
        <w:t>有序开展，杜绝项目实施过程中保密信息泄露事件的发生，经甲乙双方友好协商，签订本协议。</w:t>
      </w:r>
    </w:p>
    <w:p w14:paraId="7CE53C4F">
      <w:pPr>
        <w:spacing w:line="560" w:lineRule="exact"/>
        <w:ind w:firstLine="560" w:firstLineChars="200"/>
        <w:rPr>
          <w:rFonts w:hint="eastAsia" w:ascii="Times New Roman" w:hAnsi="Times New Roman" w:eastAsia="仿宋_GB2312" w:cs="仿宋_GB2312"/>
          <w:sz w:val="28"/>
          <w:szCs w:val="28"/>
        </w:rPr>
      </w:pPr>
      <w:r>
        <w:rPr>
          <w:rFonts w:hint="eastAsia" w:ascii="Times New Roman" w:hAnsi="Times New Roman" w:eastAsia="黑体" w:cs="黑体"/>
          <w:sz w:val="28"/>
          <w:szCs w:val="28"/>
        </w:rPr>
        <w:t>一、保密范围</w:t>
      </w:r>
    </w:p>
    <w:p w14:paraId="08D6FEE0">
      <w:pPr>
        <w:spacing w:line="560" w:lineRule="exact"/>
        <w:ind w:firstLine="560" w:firstLineChars="200"/>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保密信息是指不为公众所知悉、能为权利人带来经济利益、具有实用性并经甲方采取保密措施的相关信息，包括但不限于：</w:t>
      </w:r>
    </w:p>
    <w:p w14:paraId="5571D4EF">
      <w:pPr>
        <w:spacing w:line="560" w:lineRule="exact"/>
        <w:ind w:firstLine="560" w:firstLineChars="200"/>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1、在提供时明确标记有“保密”、“秘密”或“机密”的；</w:t>
      </w:r>
    </w:p>
    <w:p w14:paraId="18B199D6">
      <w:pPr>
        <w:spacing w:line="560" w:lineRule="exact"/>
        <w:ind w:firstLine="560" w:firstLineChars="200"/>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2、标记为“内部”或“内部信息严禁外传”等字样、未标记为“保密”但属于甲方的内部通知、领导批示、会议纪要、舆情分析及应对措施、工作计划、报告总结、实施方案、报表数据、图幅、尚未开展的公务活动等不宜公开上网的敏感内容；</w:t>
      </w:r>
    </w:p>
    <w:p w14:paraId="1FF41AE7">
      <w:pPr>
        <w:spacing w:line="560" w:lineRule="exact"/>
        <w:ind w:firstLine="560" w:firstLineChars="200"/>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3、口头传达并在传达时认定为属于保密的信息；</w:t>
      </w:r>
    </w:p>
    <w:p w14:paraId="44782D34">
      <w:pPr>
        <w:spacing w:line="560" w:lineRule="exact"/>
        <w:ind w:firstLine="560" w:firstLineChars="200"/>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4、甲方相关的业务和技术方面有保密要求的资料信息；</w:t>
      </w:r>
    </w:p>
    <w:p w14:paraId="487FAADB">
      <w:pPr>
        <w:spacing w:line="560" w:lineRule="exact"/>
        <w:ind w:firstLine="560" w:firstLineChars="200"/>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5、本项目实施中形成的双方共有技术、产权、软件成果、研究思路。</w:t>
      </w:r>
    </w:p>
    <w:p w14:paraId="02393FF1">
      <w:pPr>
        <w:spacing w:line="560" w:lineRule="exact"/>
        <w:ind w:firstLine="560" w:firstLineChars="200"/>
        <w:rPr>
          <w:rFonts w:hint="eastAsia" w:ascii="Times New Roman" w:hAnsi="Times New Roman" w:eastAsia="黑体" w:cs="黑体"/>
          <w:sz w:val="28"/>
          <w:szCs w:val="28"/>
        </w:rPr>
      </w:pPr>
      <w:r>
        <w:rPr>
          <w:rFonts w:hint="eastAsia" w:ascii="Times New Roman" w:hAnsi="Times New Roman" w:eastAsia="黑体" w:cs="黑体"/>
          <w:sz w:val="28"/>
          <w:szCs w:val="28"/>
        </w:rPr>
        <w:t>二、保密要求</w:t>
      </w:r>
    </w:p>
    <w:p w14:paraId="7303A8EA">
      <w:pPr>
        <w:spacing w:line="560" w:lineRule="exact"/>
        <w:ind w:firstLine="560" w:firstLineChars="200"/>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1、乙方应遵守《中华人民共和国保守国家秘密法》、《中华人民共和国保守国家秘密法实施条例》、《西安高新区关于信息公开及保密管理规定》等，对本项目涉及的信息进行保密。</w:t>
      </w:r>
    </w:p>
    <w:p w14:paraId="34F6107E">
      <w:pPr>
        <w:spacing w:line="560" w:lineRule="exact"/>
        <w:ind w:firstLine="560" w:firstLineChars="200"/>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2、乙方在为甲方提供服务时，应对来源于服务对象的所有信息进行涉密情况的征询，对于甲方的保密信息要做好保密管理。</w:t>
      </w:r>
    </w:p>
    <w:p w14:paraId="7648D72C">
      <w:pPr>
        <w:spacing w:line="560" w:lineRule="exact"/>
        <w:ind w:firstLine="560" w:firstLineChars="200"/>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3、乙方人员须在甲方工作人员允许和在场的情况下对甲方内部信息数据进行操作，乙方不得擅自复制、传播服务对象及甲方的项目信息，不得外泄信息。</w:t>
      </w:r>
    </w:p>
    <w:p w14:paraId="3A50BAE8">
      <w:pPr>
        <w:spacing w:line="560" w:lineRule="exact"/>
        <w:ind w:firstLine="560" w:firstLineChars="200"/>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4、乙方在使用完安全设备带离现场时，须在甲方监督下及时使用不可恢复的删除方式彻底删除设备内的甲方内部信息。未经甲方许可，不得带走甲方有关文件、资料和数据。</w:t>
      </w:r>
    </w:p>
    <w:p w14:paraId="5DF64CD2">
      <w:pPr>
        <w:spacing w:line="560" w:lineRule="exact"/>
        <w:ind w:firstLine="560" w:firstLineChars="200"/>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5、乙方不得泄露甲方应用系统及数据库的帐号和密码。</w:t>
      </w:r>
    </w:p>
    <w:p w14:paraId="343C0BCE">
      <w:pPr>
        <w:spacing w:line="560" w:lineRule="exact"/>
        <w:ind w:firstLine="560" w:firstLineChars="200"/>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6、项目完成后，乙方应将项目信息完整交付甲方，不得保留项目信息的副本，相关纸质及电子资料必须销毁。</w:t>
      </w:r>
    </w:p>
    <w:p w14:paraId="43640304">
      <w:pPr>
        <w:spacing w:line="560" w:lineRule="exact"/>
        <w:ind w:firstLine="560" w:firstLineChars="200"/>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7、乙方工作人员调离乙方公司时，乙方公司应采取相关措施防止信息泄露,否则发生的信息泄露责任，由乙方负责。</w:t>
      </w:r>
    </w:p>
    <w:p w14:paraId="78E31D24">
      <w:pPr>
        <w:spacing w:line="560" w:lineRule="exact"/>
        <w:ind w:firstLine="560" w:firstLineChars="200"/>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8、除非事先取得甲方的书面同意，否则乙方不得复制、出版或向第三方披露任何保密信息。特别强调的是，未经批准，不得擅自公开发布中央、省市级文件全文、摘要或消息稿。如需刊登上述文件，应当从人民日报、新华社和陕西日报等中央、省市新闻单位或政府网站转载。</w:t>
      </w:r>
    </w:p>
    <w:p w14:paraId="42564187">
      <w:pPr>
        <w:spacing w:line="560" w:lineRule="exact"/>
        <w:ind w:firstLine="560" w:firstLineChars="200"/>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9、乙方不得将工作中接触到的甲方内部信息传至微信、QQ、微博、公众号、美篇等互联网公开渠道，发送给不应知悉人员。</w:t>
      </w:r>
    </w:p>
    <w:p w14:paraId="2E14381E">
      <w:pPr>
        <w:spacing w:line="560" w:lineRule="exact"/>
        <w:ind w:firstLine="560" w:firstLineChars="200"/>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10、在履行上述义务时，乙方均应采取不低于保护其自身保密信息所用同样严格的措施，并责成其每一位有可能得到保密信息的董事、管理人员、雇员或代理人分别就本协议涉及的保密内容签订保密协议。</w:t>
      </w:r>
    </w:p>
    <w:p w14:paraId="0946B098">
      <w:pPr>
        <w:spacing w:line="560" w:lineRule="exact"/>
        <w:ind w:firstLine="560" w:firstLineChars="200"/>
        <w:rPr>
          <w:rFonts w:hint="eastAsia" w:ascii="Times New Roman" w:hAnsi="Times New Roman" w:eastAsia="仿宋_GB2312" w:cs="仿宋_GB2312"/>
          <w:sz w:val="28"/>
          <w:szCs w:val="28"/>
        </w:rPr>
      </w:pPr>
      <w:r>
        <w:rPr>
          <w:rFonts w:hint="eastAsia" w:ascii="Times New Roman" w:hAnsi="Times New Roman" w:eastAsia="黑体" w:cs="黑体"/>
          <w:sz w:val="28"/>
          <w:szCs w:val="28"/>
        </w:rPr>
        <w:t>三、保密期限</w:t>
      </w:r>
    </w:p>
    <w:p w14:paraId="70A99F13">
      <w:pPr>
        <w:spacing w:line="560" w:lineRule="exact"/>
        <w:ind w:firstLine="560" w:firstLineChars="200"/>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本协议所涉及的信息保密期限，依照国家有关法律、法规规定。</w:t>
      </w:r>
    </w:p>
    <w:p w14:paraId="2F1DF425">
      <w:pPr>
        <w:spacing w:line="560" w:lineRule="exact"/>
        <w:ind w:firstLine="560" w:firstLineChars="200"/>
        <w:rPr>
          <w:rFonts w:hint="eastAsia" w:ascii="Times New Roman" w:hAnsi="Times New Roman" w:eastAsia="黑体" w:cs="黑体"/>
          <w:sz w:val="28"/>
          <w:szCs w:val="28"/>
        </w:rPr>
      </w:pPr>
      <w:r>
        <w:rPr>
          <w:rFonts w:hint="eastAsia" w:ascii="Times New Roman" w:hAnsi="Times New Roman" w:eastAsia="黑体" w:cs="黑体"/>
          <w:sz w:val="28"/>
          <w:szCs w:val="28"/>
        </w:rPr>
        <w:t>四、违约责任</w:t>
      </w:r>
    </w:p>
    <w:p w14:paraId="7D5B4D8B">
      <w:pPr>
        <w:spacing w:line="560" w:lineRule="exact"/>
        <w:ind w:firstLine="560" w:firstLineChars="200"/>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乙方如违反其在本协议项下的义务，则乙方有权立即单方面终止甲乙方之间签订的任何业务合作协议；同时，乙方应赔偿甲方因上述违约导致的全部实际损失，包括但不限于律师费、调查费、公证费、诉讼或仲裁费等费用支出。</w:t>
      </w:r>
    </w:p>
    <w:p w14:paraId="57CDA10C">
      <w:pPr>
        <w:spacing w:line="560" w:lineRule="exact"/>
        <w:ind w:firstLine="560" w:firstLineChars="200"/>
        <w:rPr>
          <w:rFonts w:hint="eastAsia" w:ascii="Times New Roman" w:hAnsi="Times New Roman" w:eastAsia="黑体" w:cs="黑体"/>
          <w:sz w:val="28"/>
          <w:szCs w:val="28"/>
        </w:rPr>
      </w:pPr>
      <w:r>
        <w:rPr>
          <w:rFonts w:hint="eastAsia" w:ascii="Times New Roman" w:hAnsi="Times New Roman" w:eastAsia="黑体" w:cs="黑体"/>
          <w:sz w:val="28"/>
          <w:szCs w:val="28"/>
        </w:rPr>
        <w:t>五、其它</w:t>
      </w:r>
    </w:p>
    <w:p w14:paraId="475E993B">
      <w:pPr>
        <w:spacing w:line="560" w:lineRule="exact"/>
        <w:ind w:firstLine="560" w:firstLineChars="200"/>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本协议双方各持一份，并作为甲乙双方签订项目合同的附件，与合同具有同等法律效力，在甲乙双方合作期限内长期有效。</w:t>
      </w:r>
    </w:p>
    <w:p w14:paraId="46688D5E">
      <w:pPr>
        <w:pStyle w:val="2"/>
        <w:tabs>
          <w:tab w:val="center" w:pos="4153"/>
          <w:tab w:val="right" w:pos="8306"/>
          <w:tab w:val="clear" w:pos="4140"/>
          <w:tab w:val="clear" w:pos="8300"/>
        </w:tabs>
        <w:rPr>
          <w:rFonts w:hint="eastAsia"/>
        </w:rPr>
      </w:pPr>
    </w:p>
    <w:p w14:paraId="7EC96882">
      <w:pPr>
        <w:rPr>
          <w:rFonts w:hint="eastAsia" w:ascii="Times New Roman" w:hAnsi="Times New Roman"/>
          <w:sz w:val="28"/>
          <w:szCs w:val="28"/>
        </w:rPr>
      </w:pPr>
    </w:p>
    <w:p w14:paraId="055E8F22">
      <w:pPr>
        <w:pStyle w:val="2"/>
        <w:rPr>
          <w:rFonts w:hint="eastAsia"/>
        </w:rPr>
      </w:pPr>
    </w:p>
    <w:tbl>
      <w:tblPr>
        <w:tblStyle w:val="14"/>
        <w:tblpPr w:leftFromText="180" w:rightFromText="180" w:vertAnchor="text" w:horzAnchor="page" w:tblpX="1446" w:tblpY="345"/>
        <w:tblOverlap w:val="never"/>
        <w:tblW w:w="9260" w:type="dxa"/>
        <w:tblInd w:w="0" w:type="dxa"/>
        <w:tblLayout w:type="autofit"/>
        <w:tblCellMar>
          <w:top w:w="0" w:type="dxa"/>
          <w:left w:w="108" w:type="dxa"/>
          <w:bottom w:w="0" w:type="dxa"/>
          <w:right w:w="108" w:type="dxa"/>
        </w:tblCellMar>
      </w:tblPr>
      <w:tblGrid>
        <w:gridCol w:w="4355"/>
        <w:gridCol w:w="4905"/>
      </w:tblGrid>
      <w:tr w14:paraId="77BE25D7">
        <w:tblPrEx>
          <w:tblCellMar>
            <w:top w:w="0" w:type="dxa"/>
            <w:left w:w="108" w:type="dxa"/>
            <w:bottom w:w="0" w:type="dxa"/>
            <w:right w:w="108" w:type="dxa"/>
          </w:tblCellMar>
        </w:tblPrEx>
        <w:trPr>
          <w:trHeight w:val="1578" w:hRule="atLeast"/>
        </w:trPr>
        <w:tc>
          <w:tcPr>
            <w:tcW w:w="4355" w:type="dxa"/>
            <w:noWrap w:val="0"/>
            <w:vAlign w:val="top"/>
          </w:tcPr>
          <w:p w14:paraId="5ED720CF">
            <w:pPr>
              <w:spacing w:line="520" w:lineRule="exact"/>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甲方：</w:t>
            </w:r>
          </w:p>
        </w:tc>
        <w:tc>
          <w:tcPr>
            <w:tcW w:w="4905" w:type="dxa"/>
            <w:noWrap w:val="0"/>
            <w:vAlign w:val="top"/>
          </w:tcPr>
          <w:p w14:paraId="51BFDB64">
            <w:pPr>
              <w:spacing w:line="520" w:lineRule="exact"/>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乙方：</w:t>
            </w:r>
          </w:p>
        </w:tc>
      </w:tr>
      <w:tr w14:paraId="6F9CB043">
        <w:tblPrEx>
          <w:tblCellMar>
            <w:top w:w="0" w:type="dxa"/>
            <w:left w:w="108" w:type="dxa"/>
            <w:bottom w:w="0" w:type="dxa"/>
            <w:right w:w="108" w:type="dxa"/>
          </w:tblCellMar>
        </w:tblPrEx>
        <w:trPr>
          <w:trHeight w:val="1543" w:hRule="atLeast"/>
        </w:trPr>
        <w:tc>
          <w:tcPr>
            <w:tcW w:w="4355" w:type="dxa"/>
            <w:noWrap w:val="0"/>
            <w:vAlign w:val="top"/>
          </w:tcPr>
          <w:p w14:paraId="0F0BCD6C">
            <w:pPr>
              <w:spacing w:line="520" w:lineRule="exact"/>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单位负责人或委托代理人：</w:t>
            </w:r>
          </w:p>
        </w:tc>
        <w:tc>
          <w:tcPr>
            <w:tcW w:w="4905" w:type="dxa"/>
            <w:noWrap w:val="0"/>
            <w:vAlign w:val="top"/>
          </w:tcPr>
          <w:p w14:paraId="6A7D1A21">
            <w:pPr>
              <w:spacing w:line="520" w:lineRule="exact"/>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单位负责人或委托代理人：</w:t>
            </w:r>
          </w:p>
        </w:tc>
      </w:tr>
      <w:tr w14:paraId="3665C3A2">
        <w:tblPrEx>
          <w:tblCellMar>
            <w:top w:w="0" w:type="dxa"/>
            <w:left w:w="108" w:type="dxa"/>
            <w:bottom w:w="0" w:type="dxa"/>
            <w:right w:w="108" w:type="dxa"/>
          </w:tblCellMar>
        </w:tblPrEx>
        <w:trPr>
          <w:trHeight w:val="926" w:hRule="atLeast"/>
        </w:trPr>
        <w:tc>
          <w:tcPr>
            <w:tcW w:w="4355" w:type="dxa"/>
            <w:noWrap w:val="0"/>
            <w:vAlign w:val="top"/>
          </w:tcPr>
          <w:p w14:paraId="7EA3ECD3">
            <w:pPr>
              <w:spacing w:line="520" w:lineRule="exact"/>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日期：</w:t>
            </w:r>
          </w:p>
        </w:tc>
        <w:tc>
          <w:tcPr>
            <w:tcW w:w="4905" w:type="dxa"/>
            <w:noWrap w:val="0"/>
            <w:vAlign w:val="top"/>
          </w:tcPr>
          <w:p w14:paraId="285B4DB3">
            <w:pPr>
              <w:spacing w:line="520" w:lineRule="exact"/>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日期：</w:t>
            </w:r>
          </w:p>
        </w:tc>
      </w:tr>
    </w:tbl>
    <w:p w14:paraId="4E171599"/>
    <w:sectPr>
      <w:headerReference r:id="rId3" w:type="default"/>
      <w:footerReference r:id="rId4" w:type="default"/>
      <w:pgSz w:w="11909" w:h="16841"/>
      <w:pgMar w:top="1417" w:right="1417" w:bottom="1417" w:left="1417"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855238C-F373-44A5-B28C-6E06F51E9D28}"/>
  </w:font>
  <w:font w:name="黑体">
    <w:panose1 w:val="02010609060101010101"/>
    <w:charset w:val="86"/>
    <w:family w:val="auto"/>
    <w:pitch w:val="default"/>
    <w:sig w:usb0="800002BF" w:usb1="38CF7CFA" w:usb2="00000016" w:usb3="00000000" w:csb0="00040001" w:csb1="00000000"/>
    <w:embedRegular r:id="rId2" w:fontKey="{C9A6A83B-8DD9-4CFE-B2DE-2648F837FEF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71853A68-CEEE-4070-931E-8D5A8C85CC38}"/>
  </w:font>
  <w:font w:name="仿宋_GB2312">
    <w:panose1 w:val="02010609030101010101"/>
    <w:charset w:val="86"/>
    <w:family w:val="modern"/>
    <w:pitch w:val="default"/>
    <w:sig w:usb0="00000001" w:usb1="080E0000" w:usb2="00000000" w:usb3="00000000" w:csb0="00040000" w:csb1="00000000"/>
    <w:embedRegular r:id="rId4" w:fontKey="{0531335F-0CD6-43EC-9F73-25634D826B01}"/>
  </w:font>
  <w:font w:name="方正小标宋简体">
    <w:altName w:val="Arial Unicode MS"/>
    <w:panose1 w:val="02010601030101010101"/>
    <w:charset w:val="86"/>
    <w:family w:val="auto"/>
    <w:pitch w:val="default"/>
    <w:sig w:usb0="00000000" w:usb1="00000000" w:usb2="00000012" w:usb3="00000000" w:csb0="00040001" w:csb1="00000000"/>
    <w:embedRegular r:id="rId5" w:fontKey="{FC71A65B-45C1-44F1-A459-7BA41F226C3A}"/>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embedRegular r:id="rId6" w:fontKey="{63A57317-1C8A-41B5-B7C5-BE1E73830825}"/>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posOffset>2623820</wp:posOffset>
              </wp:positionH>
              <wp:positionV relativeFrom="paragraph">
                <wp:posOffset>-174625</wp:posOffset>
              </wp:positionV>
              <wp:extent cx="467360" cy="172720"/>
              <wp:effectExtent l="0" t="0" r="2540" b="11430"/>
              <wp:wrapNone/>
              <wp:docPr id="7" name="文本框 7"/>
              <wp:cNvGraphicFramePr/>
              <a:graphic xmlns:a="http://schemas.openxmlformats.org/drawingml/2006/main">
                <a:graphicData uri="http://schemas.microsoft.com/office/word/2010/wordprocessingShape">
                  <wps:wsp>
                    <wps:cNvSpPr txBox="1"/>
                    <wps:spPr>
                      <a:xfrm>
                        <a:off x="0" y="0"/>
                        <a:ext cx="467360" cy="172720"/>
                      </a:xfrm>
                      <a:prstGeom prst="rect">
                        <a:avLst/>
                      </a:prstGeom>
                      <a:noFill/>
                      <a:ln w="6350">
                        <a:noFill/>
                      </a:ln>
                    </wps:spPr>
                    <wps:txbx>
                      <w:txbxContent>
                        <w:p w14:paraId="0EFA8E70">
                          <w:pPr>
                            <w:pStyle w:val="2"/>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6.6pt;margin-top:-13.75pt;height:13.6pt;width:36.8pt;mso-position-horizontal-relative:margin;mso-wrap-style:none;z-index:251659264;mso-width-relative:page;mso-height-relative:page;" filled="f" stroked="f" coordsize="21600,21600" o:gfxdata="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svhy41gAAAAkBAAAPAAAAAAAAAAEAIAAAACIAAABkcnMvZG93bnJldi54bWxQSwEC&#10;FAAUAAAACACHTuJALEJu2i8CAABTBAAADgAAAAAAAAABACAAAAAlAQAAZHJzL2Uyb0RvYy54bWxQ&#10;SwUGAAAAAAYABgBZAQAAxgUAAAAA&#10;">
              <v:fill on="f" focussize="0,0"/>
              <v:stroke on="f" weight="0.5pt"/>
              <v:imagedata o:title=""/>
              <o:lock v:ext="edit" aspectratio="f"/>
              <v:textbox inset="0mm,0mm,0mm,0mm" style="mso-fit-shape-to-text:t;">
                <w:txbxContent>
                  <w:p w14:paraId="0EFA8E70">
                    <w:pPr>
                      <w:pStyle w:val="2"/>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680F55"/>
    <w:rsid w:val="006B2966"/>
    <w:rsid w:val="006E04B8"/>
    <w:rsid w:val="007377F8"/>
    <w:rsid w:val="007646EA"/>
    <w:rsid w:val="008B1E38"/>
    <w:rsid w:val="009015B2"/>
    <w:rsid w:val="009F1E94"/>
    <w:rsid w:val="00AD6F4F"/>
    <w:rsid w:val="00B35765"/>
    <w:rsid w:val="00C65FC8"/>
    <w:rsid w:val="00CC3A78"/>
    <w:rsid w:val="00CE21B5"/>
    <w:rsid w:val="00CF6641"/>
    <w:rsid w:val="00E8712A"/>
    <w:rsid w:val="00EF3803"/>
    <w:rsid w:val="00F47186"/>
    <w:rsid w:val="00FA5ACA"/>
    <w:rsid w:val="00FC1B97"/>
    <w:rsid w:val="01981D96"/>
    <w:rsid w:val="02680F16"/>
    <w:rsid w:val="06044D8E"/>
    <w:rsid w:val="063C3527"/>
    <w:rsid w:val="071938B9"/>
    <w:rsid w:val="0B186D4E"/>
    <w:rsid w:val="0CF24C32"/>
    <w:rsid w:val="0DA008CC"/>
    <w:rsid w:val="0EBB3568"/>
    <w:rsid w:val="0EC60B07"/>
    <w:rsid w:val="10332904"/>
    <w:rsid w:val="10423D1C"/>
    <w:rsid w:val="10CF4970"/>
    <w:rsid w:val="10F63A27"/>
    <w:rsid w:val="14561BE7"/>
    <w:rsid w:val="172B4FA4"/>
    <w:rsid w:val="18940266"/>
    <w:rsid w:val="192A37C4"/>
    <w:rsid w:val="198577DD"/>
    <w:rsid w:val="19966094"/>
    <w:rsid w:val="1CA80820"/>
    <w:rsid w:val="1D6E70FD"/>
    <w:rsid w:val="1E6D5F03"/>
    <w:rsid w:val="21665943"/>
    <w:rsid w:val="244871F4"/>
    <w:rsid w:val="25295AB7"/>
    <w:rsid w:val="274E2D73"/>
    <w:rsid w:val="27EF733B"/>
    <w:rsid w:val="292902AA"/>
    <w:rsid w:val="29BB6BC2"/>
    <w:rsid w:val="2C0F4050"/>
    <w:rsid w:val="2EEA293E"/>
    <w:rsid w:val="2F1025C8"/>
    <w:rsid w:val="30104537"/>
    <w:rsid w:val="313868D1"/>
    <w:rsid w:val="325B49C3"/>
    <w:rsid w:val="326A7D77"/>
    <w:rsid w:val="33EF3E56"/>
    <w:rsid w:val="39094D4C"/>
    <w:rsid w:val="3CCE5611"/>
    <w:rsid w:val="3CE71A85"/>
    <w:rsid w:val="40D542D2"/>
    <w:rsid w:val="412A6A1E"/>
    <w:rsid w:val="414032D5"/>
    <w:rsid w:val="45FB0DB9"/>
    <w:rsid w:val="467E02E4"/>
    <w:rsid w:val="4A0D61B9"/>
    <w:rsid w:val="4E165FFD"/>
    <w:rsid w:val="4EC118A7"/>
    <w:rsid w:val="4F1C52C5"/>
    <w:rsid w:val="4FDA2485"/>
    <w:rsid w:val="528C1FD1"/>
    <w:rsid w:val="54F63A8A"/>
    <w:rsid w:val="57DF2953"/>
    <w:rsid w:val="5ABC66E5"/>
    <w:rsid w:val="5C7E1FD1"/>
    <w:rsid w:val="5D3B49BA"/>
    <w:rsid w:val="60E414E6"/>
    <w:rsid w:val="61E5759F"/>
    <w:rsid w:val="64A137DB"/>
    <w:rsid w:val="67493010"/>
    <w:rsid w:val="696F3399"/>
    <w:rsid w:val="734E36BE"/>
    <w:rsid w:val="741C09D0"/>
    <w:rsid w:val="74343D24"/>
    <w:rsid w:val="764F97C9"/>
    <w:rsid w:val="78C53AE4"/>
    <w:rsid w:val="7EB51055"/>
    <w:rsid w:val="7ECA3212"/>
    <w:rsid w:val="7F3F399C"/>
    <w:rsid w:val="7FB46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40"/>
        <w:tab w:val="right" w:pos="8300"/>
      </w:tabs>
      <w:snapToGrid w:val="0"/>
      <w:jc w:val="left"/>
    </w:pPr>
    <w:rPr>
      <w:sz w:val="18"/>
      <w:szCs w:val="18"/>
    </w:rPr>
  </w:style>
  <w:style w:type="paragraph" w:styleId="4">
    <w:name w:val="Normal Indent"/>
    <w:basedOn w:val="1"/>
    <w:autoRedefine/>
    <w:qFormat/>
    <w:uiPriority w:val="0"/>
    <w:pPr>
      <w:ind w:firstLine="420"/>
    </w:pPr>
    <w:rPr>
      <w:szCs w:val="21"/>
    </w:rPr>
  </w:style>
  <w:style w:type="paragraph" w:styleId="5">
    <w:name w:val="annotation text"/>
    <w:basedOn w:val="1"/>
    <w:autoRedefine/>
    <w:qFormat/>
    <w:uiPriority w:val="0"/>
    <w:pPr>
      <w:jc w:val="left"/>
    </w:pPr>
  </w:style>
  <w:style w:type="paragraph" w:styleId="6">
    <w:name w:val="Body Text 3"/>
    <w:basedOn w:val="1"/>
    <w:qFormat/>
    <w:uiPriority w:val="99"/>
    <w:pPr>
      <w:jc w:val="center"/>
    </w:pPr>
    <w:rPr>
      <w:kern w:val="0"/>
      <w:sz w:val="16"/>
      <w:szCs w:val="16"/>
    </w:rPr>
  </w:style>
  <w:style w:type="paragraph" w:styleId="7">
    <w:name w:val="Body Text"/>
    <w:basedOn w:val="1"/>
    <w:next w:val="1"/>
    <w:autoRedefine/>
    <w:qFormat/>
    <w:uiPriority w:val="99"/>
    <w:pPr>
      <w:jc w:val="left"/>
    </w:pPr>
    <w:rPr>
      <w:kern w:val="0"/>
    </w:rPr>
  </w:style>
  <w:style w:type="paragraph" w:styleId="8">
    <w:name w:val="Plain Text"/>
    <w:basedOn w:val="1"/>
    <w:autoRedefine/>
    <w:qFormat/>
    <w:uiPriority w:val="0"/>
    <w:rPr>
      <w:rFonts w:ascii="宋体" w:hAnsi="Courier New"/>
      <w:kern w:val="0"/>
      <w:sz w:val="20"/>
    </w:rPr>
  </w:style>
  <w:style w:type="paragraph" w:styleId="9">
    <w:name w:val="Balloon Text"/>
    <w:basedOn w:val="1"/>
    <w:link w:val="19"/>
    <w:autoRedefine/>
    <w:qFormat/>
    <w:uiPriority w:val="0"/>
    <w:rPr>
      <w:sz w:val="18"/>
      <w:szCs w:val="18"/>
    </w:rPr>
  </w:style>
  <w:style w:type="paragraph" w:styleId="10">
    <w:name w:val="header"/>
    <w:basedOn w:val="1"/>
    <w:link w:val="18"/>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2">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3">
    <w:name w:val="Body Text First Indent"/>
    <w:basedOn w:val="7"/>
    <w:autoRedefine/>
    <w:qFormat/>
    <w:uiPriority w:val="0"/>
    <w:pPr>
      <w:spacing w:line="360" w:lineRule="auto"/>
      <w:ind w:firstLine="420"/>
    </w:pPr>
    <w:rPr>
      <w:rFonts w:ascii="宋体" w:hAnsi="宋体"/>
      <w:sz w:val="24"/>
    </w:rPr>
  </w:style>
  <w:style w:type="table" w:styleId="15">
    <w:name w:val="Table Grid"/>
    <w:basedOn w:val="1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annotation reference"/>
    <w:basedOn w:val="16"/>
    <w:autoRedefine/>
    <w:qFormat/>
    <w:uiPriority w:val="0"/>
    <w:rPr>
      <w:sz w:val="21"/>
      <w:szCs w:val="21"/>
    </w:rPr>
  </w:style>
  <w:style w:type="character" w:customStyle="1" w:styleId="18">
    <w:name w:val="页眉 Char"/>
    <w:basedOn w:val="16"/>
    <w:link w:val="10"/>
    <w:autoRedefine/>
    <w:qFormat/>
    <w:uiPriority w:val="0"/>
    <w:rPr>
      <w:kern w:val="2"/>
      <w:sz w:val="18"/>
      <w:szCs w:val="18"/>
    </w:rPr>
  </w:style>
  <w:style w:type="character" w:customStyle="1" w:styleId="19">
    <w:name w:val="批注框文本 Char"/>
    <w:basedOn w:val="16"/>
    <w:link w:val="9"/>
    <w:autoRedefine/>
    <w:qFormat/>
    <w:uiPriority w:val="0"/>
    <w:rPr>
      <w:kern w:val="2"/>
      <w:sz w:val="18"/>
      <w:szCs w:val="18"/>
    </w:rPr>
  </w:style>
  <w:style w:type="paragraph" w:customStyle="1" w:styleId="20">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2">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3">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10</Pages>
  <Words>4435</Words>
  <Characters>4476</Characters>
  <Lines>12</Lines>
  <Paragraphs>3</Paragraphs>
  <TotalTime>0</TotalTime>
  <ScaleCrop>false</ScaleCrop>
  <LinksUpToDate>false</LinksUpToDate>
  <CharactersWithSpaces>4587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陕西华采招标有限公司</cp:lastModifiedBy>
  <cp:lastPrinted>2022-09-28T14:56:00Z</cp:lastPrinted>
  <dcterms:modified xsi:type="dcterms:W3CDTF">2026-08-31T09:10:05Z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E79E879024B94D3FB100E7468F0D228F</vt:lpwstr>
  </property>
  <property fmtid="{D5CDD505-2E9C-101B-9397-08002B2CF9AE}" pid="4" name="KSOTemplateDocerSaveRecord">
    <vt:lpwstr>eyJoZGlkIjoiYjZjMDgwYWJjZmNiM2YzZmU4MTk1ZjZmYmY1NWU1OTEiLCJ1c2VySWQiOiI5MzY1NjA0ODAifQ==</vt:lpwstr>
  </property>
</Properties>
</file>