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83D16">
      <w:pPr>
        <w:pStyle w:val="2"/>
        <w:spacing w:line="540" w:lineRule="exact"/>
        <w:jc w:val="center"/>
        <w:rPr>
          <w:rFonts w:hint="eastAsia" w:ascii="宋体" w:hAnsi="宋体" w:cs="宋体"/>
          <w:b/>
          <w:bCs/>
          <w:color w:val="000000"/>
          <w:sz w:val="52"/>
          <w:szCs w:val="52"/>
          <w:highlight w:val="none"/>
          <w:lang w:eastAsia="zh-CN"/>
        </w:rPr>
      </w:pPr>
    </w:p>
    <w:p w14:paraId="2A263D6A">
      <w:pPr>
        <w:pStyle w:val="2"/>
        <w:spacing w:line="540" w:lineRule="exact"/>
        <w:jc w:val="center"/>
        <w:rPr>
          <w:rFonts w:hint="eastAsia" w:ascii="宋体" w:hAnsi="宋体" w:cs="宋体"/>
          <w:b/>
          <w:bCs/>
          <w:color w:val="000000"/>
          <w:sz w:val="52"/>
          <w:szCs w:val="52"/>
          <w:highlight w:val="none"/>
          <w:lang w:eastAsia="zh-CN"/>
        </w:rPr>
      </w:pPr>
    </w:p>
    <w:p w14:paraId="4075FE9F">
      <w:pPr>
        <w:pStyle w:val="2"/>
        <w:rPr>
          <w:rFonts w:hint="eastAsia"/>
          <w:lang w:eastAsia="zh-CN"/>
        </w:rPr>
      </w:pPr>
    </w:p>
    <w:p w14:paraId="003D491E">
      <w:pPr>
        <w:rPr>
          <w:rFonts w:hint="eastAsia" w:ascii="宋体" w:hAnsi="宋体" w:cs="宋体"/>
          <w:b/>
          <w:bCs/>
          <w:color w:val="000000"/>
          <w:sz w:val="52"/>
          <w:szCs w:val="52"/>
          <w:highlight w:val="none"/>
          <w:lang w:eastAsia="zh-CN"/>
        </w:rPr>
      </w:pPr>
    </w:p>
    <w:p w14:paraId="42EF7AE6">
      <w:pPr>
        <w:pStyle w:val="2"/>
        <w:rPr>
          <w:rFonts w:hint="eastAsia"/>
          <w:lang w:eastAsia="zh-CN"/>
        </w:rPr>
      </w:pPr>
    </w:p>
    <w:p w14:paraId="59C10CDB">
      <w:pPr>
        <w:pStyle w:val="2"/>
        <w:spacing w:line="540" w:lineRule="exact"/>
        <w:jc w:val="center"/>
        <w:rPr>
          <w:rFonts w:hint="eastAsia" w:ascii="宋体" w:hAnsi="宋体" w:cs="宋体"/>
          <w:b/>
          <w:bCs/>
          <w:color w:val="000000"/>
          <w:sz w:val="52"/>
          <w:szCs w:val="52"/>
          <w:highlight w:val="none"/>
          <w:lang w:eastAsia="zh-CN"/>
        </w:rPr>
      </w:pPr>
      <w:r>
        <w:rPr>
          <w:rFonts w:hint="eastAsia" w:ascii="宋体" w:hAnsi="宋体" w:cs="宋体"/>
          <w:b/>
          <w:bCs/>
          <w:color w:val="000000"/>
          <w:sz w:val="52"/>
          <w:szCs w:val="52"/>
          <w:highlight w:val="none"/>
          <w:lang w:eastAsia="zh-CN"/>
        </w:rPr>
        <w:t>室内玩教具及室外大型玩具等的采购</w:t>
      </w:r>
    </w:p>
    <w:p w14:paraId="1920110C">
      <w:pPr>
        <w:pStyle w:val="2"/>
        <w:spacing w:line="540" w:lineRule="exact"/>
        <w:jc w:val="center"/>
        <w:rPr>
          <w:rFonts w:hint="eastAsia" w:ascii="宋体" w:hAnsi="宋体" w:cs="宋体"/>
          <w:b/>
          <w:bCs/>
          <w:color w:val="000000"/>
          <w:sz w:val="52"/>
          <w:szCs w:val="52"/>
          <w:highlight w:val="none"/>
          <w:lang w:eastAsia="zh-CN"/>
        </w:rPr>
      </w:pPr>
    </w:p>
    <w:p w14:paraId="07D3B490">
      <w:pPr>
        <w:pStyle w:val="2"/>
        <w:spacing w:line="540" w:lineRule="exact"/>
        <w:jc w:val="center"/>
        <w:rPr>
          <w:rFonts w:hint="eastAsia" w:ascii="宋体" w:hAnsi="宋体" w:cs="宋体"/>
          <w:b/>
          <w:bCs/>
          <w:color w:val="000000"/>
          <w:sz w:val="52"/>
          <w:szCs w:val="52"/>
          <w:highlight w:val="none"/>
          <w:lang w:eastAsia="zh-CN"/>
        </w:rPr>
      </w:pPr>
    </w:p>
    <w:p w14:paraId="3AFD1FAB">
      <w:pPr>
        <w:rPr>
          <w:rFonts w:hint="eastAsia" w:ascii="宋体" w:hAnsi="宋体" w:cs="宋体"/>
          <w:b/>
          <w:bCs/>
          <w:color w:val="000000"/>
          <w:sz w:val="52"/>
          <w:szCs w:val="52"/>
          <w:highlight w:val="none"/>
          <w:lang w:eastAsia="zh-CN"/>
        </w:rPr>
      </w:pPr>
    </w:p>
    <w:p w14:paraId="05446374">
      <w:pPr>
        <w:pStyle w:val="2"/>
        <w:rPr>
          <w:rFonts w:hint="eastAsia"/>
          <w:lang w:eastAsia="zh-CN"/>
        </w:rPr>
      </w:pPr>
    </w:p>
    <w:p w14:paraId="0EC7F9CB">
      <w:pPr>
        <w:pStyle w:val="2"/>
        <w:rPr>
          <w:rFonts w:hint="eastAsia"/>
          <w:lang w:eastAsia="zh-CN"/>
        </w:rPr>
      </w:pPr>
    </w:p>
    <w:p w14:paraId="1DE0FF50">
      <w:pPr>
        <w:pStyle w:val="2"/>
        <w:spacing w:line="540" w:lineRule="exact"/>
        <w:jc w:val="center"/>
        <w:rPr>
          <w:rFonts w:hint="eastAsia" w:ascii="宋体" w:hAnsi="宋体" w:eastAsia="宋体" w:cs="宋体"/>
          <w:b/>
          <w:bCs/>
          <w:color w:val="000000"/>
          <w:sz w:val="52"/>
          <w:szCs w:val="52"/>
          <w:highlight w:val="none"/>
          <w:lang w:eastAsia="zh-CN"/>
        </w:rPr>
      </w:pPr>
      <w:r>
        <w:rPr>
          <w:rFonts w:hint="eastAsia" w:ascii="宋体" w:hAnsi="宋体" w:cs="宋体"/>
          <w:b/>
          <w:bCs/>
          <w:color w:val="000000"/>
          <w:sz w:val="52"/>
          <w:szCs w:val="52"/>
          <w:highlight w:val="none"/>
          <w:lang w:eastAsia="zh-CN"/>
        </w:rPr>
        <w:t>供货合同（</w:t>
      </w:r>
      <w:r>
        <w:rPr>
          <w:rFonts w:hint="eastAsia" w:ascii="宋体" w:hAnsi="宋体" w:cs="宋体"/>
          <w:b/>
          <w:bCs/>
          <w:color w:val="000000"/>
          <w:sz w:val="52"/>
          <w:szCs w:val="52"/>
          <w:highlight w:val="none"/>
          <w:lang w:val="en-US" w:eastAsia="zh-CN"/>
        </w:rPr>
        <w:t>仅供参考</w:t>
      </w:r>
      <w:r>
        <w:rPr>
          <w:rFonts w:hint="eastAsia" w:ascii="宋体" w:hAnsi="宋体" w:cs="宋体"/>
          <w:b/>
          <w:bCs/>
          <w:color w:val="000000"/>
          <w:sz w:val="52"/>
          <w:szCs w:val="52"/>
          <w:highlight w:val="none"/>
          <w:lang w:eastAsia="zh-CN"/>
        </w:rPr>
        <w:t>）</w:t>
      </w:r>
    </w:p>
    <w:p w14:paraId="6C33F4C7">
      <w:pPr>
        <w:pStyle w:val="2"/>
        <w:spacing w:line="540" w:lineRule="exact"/>
        <w:rPr>
          <w:rFonts w:hint="eastAsia" w:ascii="宋体" w:hAnsi="宋体" w:eastAsia="宋体" w:cs="宋体"/>
          <w:color w:val="000000"/>
          <w:highlight w:val="none"/>
          <w:lang w:eastAsia="zh-CN"/>
        </w:rPr>
      </w:pPr>
    </w:p>
    <w:p w14:paraId="57F27A97">
      <w:pPr>
        <w:pStyle w:val="2"/>
        <w:spacing w:line="540" w:lineRule="exact"/>
        <w:rPr>
          <w:rFonts w:hint="eastAsia" w:ascii="宋体" w:hAnsi="宋体" w:eastAsia="宋体" w:cs="宋体"/>
          <w:color w:val="000000"/>
          <w:highlight w:val="none"/>
          <w:lang w:eastAsia="zh-CN"/>
        </w:rPr>
      </w:pPr>
    </w:p>
    <w:p w14:paraId="3F48B857">
      <w:pPr>
        <w:pStyle w:val="2"/>
        <w:spacing w:line="540" w:lineRule="exact"/>
        <w:rPr>
          <w:rFonts w:hint="eastAsia" w:ascii="宋体" w:hAnsi="宋体" w:eastAsia="宋体" w:cs="宋体"/>
          <w:color w:val="000000"/>
          <w:highlight w:val="none"/>
          <w:lang w:eastAsia="zh-CN"/>
        </w:rPr>
      </w:pPr>
    </w:p>
    <w:p w14:paraId="2E2488A9">
      <w:pPr>
        <w:rPr>
          <w:rFonts w:hint="eastAsia" w:ascii="宋体" w:hAnsi="宋体" w:eastAsia="宋体" w:cs="宋体"/>
          <w:color w:val="000000"/>
          <w:highlight w:val="none"/>
          <w:lang w:eastAsia="zh-CN"/>
        </w:rPr>
      </w:pPr>
    </w:p>
    <w:p w14:paraId="25381240">
      <w:pPr>
        <w:pStyle w:val="2"/>
        <w:rPr>
          <w:rFonts w:hint="eastAsia"/>
          <w:lang w:eastAsia="zh-CN"/>
        </w:rPr>
      </w:pPr>
    </w:p>
    <w:p w14:paraId="27EF0CF9">
      <w:pPr>
        <w:pStyle w:val="2"/>
        <w:rPr>
          <w:rFonts w:hint="eastAsia"/>
          <w:highlight w:val="none"/>
          <w:lang w:eastAsia="zh-CN"/>
        </w:rPr>
      </w:pPr>
    </w:p>
    <w:p w14:paraId="6718B455">
      <w:pPr>
        <w:rPr>
          <w:rFonts w:hint="eastAsia"/>
          <w:highlight w:val="none"/>
          <w:lang w:eastAsia="zh-CN"/>
        </w:rPr>
      </w:pPr>
    </w:p>
    <w:p w14:paraId="3319D656">
      <w:pPr>
        <w:rPr>
          <w:rFonts w:hint="eastAsia"/>
          <w:highlight w:val="none"/>
          <w:lang w:eastAsia="zh-CN"/>
        </w:rPr>
      </w:pPr>
    </w:p>
    <w:p w14:paraId="02834ADA">
      <w:pPr>
        <w:pStyle w:val="2"/>
        <w:spacing w:line="540" w:lineRule="exact"/>
        <w:rPr>
          <w:rFonts w:hint="eastAsia" w:ascii="宋体" w:hAnsi="宋体" w:eastAsia="宋体" w:cs="宋体"/>
          <w:b/>
          <w:bCs/>
          <w:color w:val="000000"/>
          <w:sz w:val="32"/>
          <w:szCs w:val="32"/>
          <w:highlight w:val="none"/>
          <w:lang w:eastAsia="zh-CN"/>
        </w:rPr>
      </w:pPr>
    </w:p>
    <w:p w14:paraId="12BDEE7E">
      <w:pPr>
        <w:rPr>
          <w:rFonts w:hint="eastAsia"/>
          <w:lang w:eastAsia="zh-CN"/>
        </w:rPr>
      </w:pPr>
    </w:p>
    <w:p w14:paraId="7C2C0A31">
      <w:pPr>
        <w:pStyle w:val="2"/>
        <w:spacing w:line="540" w:lineRule="exact"/>
        <w:ind w:firstLine="2249" w:firstLineChars="700"/>
        <w:rPr>
          <w:rFonts w:hint="eastAsia" w:ascii="宋体" w:hAnsi="宋体" w:eastAsia="宋体" w:cs="宋体"/>
          <w:b/>
          <w:bCs/>
          <w:color w:val="000000"/>
          <w:sz w:val="32"/>
          <w:szCs w:val="32"/>
          <w:highlight w:val="none"/>
          <w:lang w:eastAsia="zh-CN"/>
        </w:rPr>
      </w:pPr>
      <w:r>
        <w:rPr>
          <w:rFonts w:hint="eastAsia" w:ascii="宋体" w:hAnsi="宋体" w:eastAsia="宋体" w:cs="宋体"/>
          <w:b/>
          <w:bCs/>
          <w:color w:val="000000"/>
          <w:sz w:val="32"/>
          <w:szCs w:val="32"/>
          <w:highlight w:val="none"/>
          <w:lang w:eastAsia="zh-CN"/>
        </w:rPr>
        <w:t>甲方（采购人）：</w:t>
      </w:r>
    </w:p>
    <w:p w14:paraId="3B5FFC7C">
      <w:pPr>
        <w:pStyle w:val="2"/>
        <w:spacing w:line="540" w:lineRule="exact"/>
        <w:ind w:firstLine="2249" w:firstLineChars="700"/>
        <w:rPr>
          <w:rFonts w:hint="eastAsia" w:ascii="宋体" w:hAnsi="宋体" w:eastAsia="宋体" w:cs="宋体"/>
          <w:b/>
          <w:bCs/>
          <w:color w:val="000000"/>
          <w:sz w:val="32"/>
          <w:szCs w:val="32"/>
          <w:highlight w:val="none"/>
          <w:lang w:eastAsia="zh-CN"/>
        </w:rPr>
      </w:pPr>
      <w:r>
        <w:rPr>
          <w:rFonts w:hint="eastAsia" w:ascii="宋体" w:hAnsi="宋体" w:eastAsia="宋体" w:cs="宋体"/>
          <w:b/>
          <w:bCs/>
          <w:color w:val="000000"/>
          <w:sz w:val="32"/>
          <w:szCs w:val="32"/>
          <w:highlight w:val="none"/>
          <w:lang w:eastAsia="zh-CN"/>
        </w:rPr>
        <w:t>乙方（</w:t>
      </w:r>
      <w:r>
        <w:rPr>
          <w:rFonts w:hint="eastAsia" w:ascii="宋体" w:hAnsi="宋体" w:cs="宋体"/>
          <w:b/>
          <w:bCs/>
          <w:color w:val="000000"/>
          <w:sz w:val="32"/>
          <w:szCs w:val="32"/>
          <w:highlight w:val="none"/>
          <w:lang w:val="en-US" w:eastAsia="zh-CN"/>
        </w:rPr>
        <w:t>供应商</w:t>
      </w:r>
      <w:r>
        <w:rPr>
          <w:rFonts w:hint="eastAsia" w:ascii="宋体" w:hAnsi="宋体" w:eastAsia="宋体" w:cs="宋体"/>
          <w:b/>
          <w:bCs/>
          <w:color w:val="000000"/>
          <w:sz w:val="32"/>
          <w:szCs w:val="32"/>
          <w:highlight w:val="none"/>
          <w:lang w:eastAsia="zh-CN"/>
        </w:rPr>
        <w:t xml:space="preserve">）： </w:t>
      </w:r>
    </w:p>
    <w:p w14:paraId="4B38CB8B">
      <w:pPr>
        <w:keepNext w:val="0"/>
        <w:keepLines w:val="0"/>
        <w:pageBreakBefore w:val="0"/>
        <w:widowControl/>
        <w:kinsoku/>
        <w:wordWrap/>
        <w:overflowPunct/>
        <w:topLinePunct w:val="0"/>
        <w:autoSpaceDE/>
        <w:autoSpaceDN/>
        <w:bidi w:val="0"/>
        <w:adjustRightInd/>
        <w:snapToGrid/>
        <w:spacing w:before="164" w:beforeLines="50" w:after="164" w:afterLines="50" w:line="500" w:lineRule="exact"/>
        <w:ind w:left="0" w:leftChars="0" w:right="0" w:rightChars="0" w:firstLine="2249" w:firstLineChars="700"/>
        <w:jc w:val="both"/>
        <w:textAlignment w:val="auto"/>
        <w:outlineLvl w:val="9"/>
        <w:rPr>
          <w:rFonts w:hint="default" w:ascii="Times New Roman" w:hAnsi="Times New Roman" w:eastAsia="宋体" w:cs="Times New Roman"/>
          <w:color w:val="000000"/>
          <w:sz w:val="21"/>
          <w:szCs w:val="21"/>
          <w:highlight w:val="none"/>
        </w:rPr>
      </w:pPr>
      <w:r>
        <w:rPr>
          <w:rFonts w:hint="eastAsia" w:ascii="宋体" w:hAnsi="宋体" w:eastAsia="宋体" w:cs="宋体"/>
          <w:b/>
          <w:bCs/>
          <w:color w:val="000000"/>
          <w:sz w:val="32"/>
          <w:szCs w:val="32"/>
          <w:highlight w:val="none"/>
          <w:lang w:eastAsia="zh-CN"/>
        </w:rPr>
        <w:t xml:space="preserve">签订日期： </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lang w:eastAsia="zh-CN"/>
        </w:rPr>
        <w:t xml:space="preserve"> 年 </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lang w:eastAsia="zh-CN"/>
        </w:rPr>
        <w:t xml:space="preserve">月 </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lang w:eastAsia="zh-CN"/>
        </w:rPr>
        <w:t xml:space="preserve"> 日</w:t>
      </w:r>
    </w:p>
    <w:p w14:paraId="03FA12F1">
      <w:pPr>
        <w:pStyle w:val="6"/>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br w:type="page"/>
      </w:r>
      <w:r>
        <w:rPr>
          <w:rFonts w:hint="default" w:ascii="Times New Roman" w:hAnsi="Times New Roman" w:eastAsia="宋体" w:cs="Times New Roman"/>
          <w:color w:val="000000"/>
          <w:sz w:val="21"/>
          <w:szCs w:val="21"/>
          <w:highlight w:val="none"/>
        </w:rPr>
        <w:t xml:space="preserve">合同编号： </w:t>
      </w:r>
    </w:p>
    <w:p w14:paraId="255722E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签订地点：</w:t>
      </w:r>
    </w:p>
    <w:p w14:paraId="08CA958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签订时间：    年   月   日</w:t>
      </w:r>
    </w:p>
    <w:p w14:paraId="2F6A1D9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采购人（甲方）：</w:t>
      </w:r>
    </w:p>
    <w:p w14:paraId="1711D73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eastAsia" w:cs="Times New Roman"/>
          <w:color w:val="000000"/>
          <w:sz w:val="21"/>
          <w:szCs w:val="21"/>
          <w:highlight w:val="none"/>
          <w:lang w:val="en-US" w:eastAsia="zh-CN"/>
        </w:rPr>
        <w:t>供应商</w:t>
      </w:r>
      <w:r>
        <w:rPr>
          <w:rFonts w:hint="default" w:ascii="Times New Roman" w:hAnsi="Times New Roman" w:eastAsia="宋体" w:cs="Times New Roman"/>
          <w:color w:val="000000"/>
          <w:sz w:val="21"/>
          <w:szCs w:val="21"/>
          <w:highlight w:val="none"/>
        </w:rPr>
        <w:t>（乙方）：</w:t>
      </w:r>
    </w:p>
    <w:p w14:paraId="3DCD415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根据《中华人民共和国</w:t>
      </w:r>
      <w:r>
        <w:rPr>
          <w:rFonts w:hint="eastAsia" w:cs="Times New Roman"/>
          <w:color w:val="000000"/>
          <w:sz w:val="21"/>
          <w:szCs w:val="21"/>
          <w:highlight w:val="none"/>
          <w:lang w:eastAsia="zh-CN"/>
        </w:rPr>
        <w:t>民法典</w:t>
      </w:r>
      <w:r>
        <w:rPr>
          <w:rFonts w:hint="default" w:ascii="Times New Roman" w:hAnsi="Times New Roman" w:eastAsia="宋体" w:cs="Times New Roman"/>
          <w:color w:val="000000"/>
          <w:sz w:val="21"/>
          <w:szCs w:val="21"/>
          <w:highlight w:val="none"/>
        </w:rPr>
        <w:t>》和甲方</w:t>
      </w:r>
      <w:r>
        <w:rPr>
          <w:rFonts w:hint="default" w:ascii="Times New Roman" w:hAnsi="Times New Roman" w:eastAsia="宋体" w:cs="Times New Roman"/>
          <w:color w:val="000000"/>
          <w:sz w:val="21"/>
          <w:szCs w:val="21"/>
          <w:highlight w:val="none"/>
          <w:u w:val="single"/>
        </w:rPr>
        <w:t xml:space="preserve">   </w:t>
      </w:r>
      <w:r>
        <w:rPr>
          <w:rFonts w:hint="eastAsia" w:ascii="Times New Roman" w:hAnsi="Times New Roman" w:eastAsia="宋体" w:cs="Times New Roman"/>
          <w:color w:val="000000"/>
          <w:sz w:val="21"/>
          <w:szCs w:val="21"/>
          <w:highlight w:val="none"/>
          <w:u w:val="single"/>
          <w:lang w:val="en-US" w:eastAsia="zh-CN"/>
        </w:rPr>
        <w:t xml:space="preserve">        </w:t>
      </w:r>
      <w:r>
        <w:rPr>
          <w:rFonts w:hint="default" w:ascii="Times New Roman" w:hAnsi="Times New Roman" w:eastAsia="宋体" w:cs="Times New Roman"/>
          <w:color w:val="000000"/>
          <w:sz w:val="21"/>
          <w:szCs w:val="21"/>
          <w:highlight w:val="none"/>
          <w:u w:val="single"/>
        </w:rPr>
        <w:t xml:space="preserve"> </w:t>
      </w:r>
      <w:r>
        <w:rPr>
          <w:rFonts w:hint="default" w:ascii="Times New Roman" w:hAnsi="Times New Roman" w:eastAsia="宋体" w:cs="Times New Roman"/>
          <w:color w:val="000000"/>
          <w:sz w:val="21"/>
          <w:szCs w:val="21"/>
          <w:highlight w:val="none"/>
        </w:rPr>
        <w:t>采购项目（采购项目编号：</w:t>
      </w:r>
      <w:r>
        <w:rPr>
          <w:rFonts w:hint="default" w:ascii="Times New Roman" w:hAnsi="Times New Roman" w:eastAsia="宋体" w:cs="Times New Roman"/>
          <w:color w:val="000000"/>
          <w:sz w:val="21"/>
          <w:szCs w:val="21"/>
          <w:highlight w:val="none"/>
          <w:u w:val="single"/>
        </w:rPr>
        <w:t xml:space="preserve">        </w:t>
      </w:r>
      <w:r>
        <w:rPr>
          <w:rFonts w:hint="default" w:ascii="Times New Roman" w:hAnsi="Times New Roman" w:eastAsia="宋体" w:cs="Times New Roman"/>
          <w:color w:val="000000"/>
          <w:sz w:val="21"/>
          <w:szCs w:val="21"/>
          <w:highlight w:val="none"/>
        </w:rPr>
        <w:t>）的</w:t>
      </w:r>
      <w:r>
        <w:rPr>
          <w:rFonts w:hint="eastAsia" w:cs="Times New Roman"/>
          <w:color w:val="000000"/>
          <w:sz w:val="21"/>
          <w:szCs w:val="21"/>
          <w:highlight w:val="none"/>
          <w:lang w:eastAsia="zh-CN"/>
        </w:rPr>
        <w:t>谈判文件</w:t>
      </w:r>
      <w:r>
        <w:rPr>
          <w:rFonts w:hint="default" w:ascii="Times New Roman" w:hAnsi="Times New Roman" w:eastAsia="宋体" w:cs="Times New Roman"/>
          <w:color w:val="000000"/>
          <w:sz w:val="21"/>
          <w:szCs w:val="21"/>
          <w:highlight w:val="none"/>
        </w:rPr>
        <w:t>、</w:t>
      </w:r>
      <w:r>
        <w:rPr>
          <w:rFonts w:hint="eastAsia" w:cs="Times New Roman"/>
          <w:color w:val="000000"/>
          <w:sz w:val="21"/>
          <w:szCs w:val="21"/>
          <w:highlight w:val="none"/>
          <w:lang w:eastAsia="zh-CN"/>
        </w:rPr>
        <w:t>询价响应</w:t>
      </w:r>
      <w:r>
        <w:rPr>
          <w:rFonts w:hint="default" w:ascii="Times New Roman" w:hAnsi="Times New Roman" w:eastAsia="宋体" w:cs="Times New Roman"/>
          <w:color w:val="000000"/>
          <w:sz w:val="21"/>
          <w:szCs w:val="21"/>
          <w:highlight w:val="none"/>
        </w:rPr>
        <w:t>文件等有关规定，为确保甲方采购项目的顺利实施，甲、乙双方在平等自愿原则下签订本合同，并共同遵守如下条款：</w:t>
      </w:r>
    </w:p>
    <w:p w14:paraId="6399E78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b/>
          <w:bCs/>
          <w:color w:val="000000"/>
          <w:sz w:val="21"/>
          <w:szCs w:val="21"/>
          <w:highlight w:val="none"/>
        </w:rPr>
        <w:t>第一条 合同标的及数量</w:t>
      </w:r>
    </w:p>
    <w:p w14:paraId="78B3E42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乙方向甲方提供下列货物（产品）：</w:t>
      </w:r>
    </w:p>
    <w:p w14:paraId="680BB1C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b/>
          <w:bCs/>
          <w:color w:val="000000"/>
          <w:sz w:val="21"/>
          <w:szCs w:val="21"/>
          <w:highlight w:val="none"/>
        </w:rPr>
        <w:t>供货一览表</w:t>
      </w:r>
    </w:p>
    <w:tbl>
      <w:tblPr>
        <w:tblStyle w:val="4"/>
        <w:tblpPr w:leftFromText="180" w:rightFromText="180" w:vertAnchor="text" w:horzAnchor="margin" w:tblpXSpec="center" w:tblpY="309"/>
        <w:tblW w:w="51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181"/>
        <w:gridCol w:w="1255"/>
        <w:gridCol w:w="1196"/>
        <w:gridCol w:w="990"/>
        <w:gridCol w:w="990"/>
        <w:gridCol w:w="1004"/>
        <w:gridCol w:w="1540"/>
        <w:gridCol w:w="1462"/>
      </w:tblGrid>
      <w:tr w14:paraId="4335F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19" w:type="pct"/>
            <w:tcBorders>
              <w:top w:val="single" w:color="auto" w:sz="12" w:space="0"/>
              <w:left w:val="single" w:color="auto" w:sz="12" w:space="0"/>
              <w:bottom w:val="single" w:color="auto" w:sz="4" w:space="0"/>
              <w:right w:val="single" w:color="auto" w:sz="4" w:space="0"/>
            </w:tcBorders>
            <w:noWrap/>
            <w:vAlign w:val="center"/>
          </w:tcPr>
          <w:p w14:paraId="07F707AE">
            <w:pPr>
              <w:bidi w:val="0"/>
              <w:jc w:val="center"/>
              <w:rPr>
                <w:rFonts w:hint="eastAsia"/>
                <w:b/>
                <w:bCs/>
                <w:highlight w:val="none"/>
              </w:rPr>
            </w:pPr>
            <w:r>
              <w:rPr>
                <w:rFonts w:hint="eastAsia"/>
                <w:b/>
                <w:bCs/>
                <w:highlight w:val="none"/>
              </w:rPr>
              <w:t>序号</w:t>
            </w:r>
          </w:p>
        </w:tc>
        <w:tc>
          <w:tcPr>
            <w:tcW w:w="562" w:type="pct"/>
            <w:tcBorders>
              <w:top w:val="single" w:color="auto" w:sz="12" w:space="0"/>
              <w:left w:val="single" w:color="auto" w:sz="4" w:space="0"/>
              <w:bottom w:val="single" w:color="auto" w:sz="4" w:space="0"/>
              <w:right w:val="single" w:color="auto" w:sz="4" w:space="0"/>
            </w:tcBorders>
            <w:noWrap/>
            <w:vAlign w:val="center"/>
          </w:tcPr>
          <w:p w14:paraId="7965B39B">
            <w:pPr>
              <w:bidi w:val="0"/>
              <w:jc w:val="center"/>
              <w:rPr>
                <w:rFonts w:hint="eastAsia"/>
                <w:b/>
                <w:bCs/>
                <w:highlight w:val="none"/>
              </w:rPr>
            </w:pPr>
            <w:r>
              <w:rPr>
                <w:rFonts w:hint="eastAsia"/>
                <w:b/>
                <w:bCs/>
                <w:highlight w:val="none"/>
              </w:rPr>
              <w:t>名称</w:t>
            </w:r>
          </w:p>
        </w:tc>
        <w:tc>
          <w:tcPr>
            <w:tcW w:w="597" w:type="pct"/>
            <w:tcBorders>
              <w:top w:val="single" w:color="auto" w:sz="12" w:space="0"/>
              <w:left w:val="single" w:color="auto" w:sz="4" w:space="0"/>
              <w:bottom w:val="single" w:color="auto" w:sz="4" w:space="0"/>
              <w:right w:val="single" w:color="auto" w:sz="4" w:space="0"/>
            </w:tcBorders>
            <w:noWrap/>
            <w:vAlign w:val="center"/>
          </w:tcPr>
          <w:p w14:paraId="12C5483F">
            <w:pPr>
              <w:bidi w:val="0"/>
              <w:jc w:val="center"/>
              <w:rPr>
                <w:rFonts w:hint="eastAsia"/>
                <w:b/>
                <w:bCs/>
                <w:highlight w:val="none"/>
              </w:rPr>
            </w:pPr>
            <w:r>
              <w:rPr>
                <w:rFonts w:hint="eastAsia"/>
                <w:b/>
                <w:bCs/>
                <w:highlight w:val="none"/>
              </w:rPr>
              <w:t>品牌/型号</w:t>
            </w:r>
          </w:p>
        </w:tc>
        <w:tc>
          <w:tcPr>
            <w:tcW w:w="569" w:type="pct"/>
            <w:tcBorders>
              <w:top w:val="single" w:color="auto" w:sz="12" w:space="0"/>
              <w:left w:val="single" w:color="auto" w:sz="4" w:space="0"/>
              <w:bottom w:val="single" w:color="auto" w:sz="4" w:space="0"/>
              <w:right w:val="single" w:color="auto" w:sz="4" w:space="0"/>
            </w:tcBorders>
            <w:noWrap/>
            <w:vAlign w:val="center"/>
          </w:tcPr>
          <w:p w14:paraId="4F501C62">
            <w:pPr>
              <w:bidi w:val="0"/>
              <w:jc w:val="center"/>
              <w:rPr>
                <w:rFonts w:hint="eastAsia" w:eastAsia="宋体"/>
                <w:b/>
                <w:bCs/>
                <w:highlight w:val="none"/>
                <w:lang w:val="en-US" w:eastAsia="zh-CN"/>
              </w:rPr>
            </w:pPr>
            <w:r>
              <w:rPr>
                <w:rFonts w:hint="eastAsia"/>
                <w:b/>
                <w:bCs/>
                <w:highlight w:val="none"/>
                <w:lang w:val="en-US" w:eastAsia="zh-CN"/>
              </w:rPr>
              <w:t>制造厂商</w:t>
            </w:r>
          </w:p>
        </w:tc>
        <w:tc>
          <w:tcPr>
            <w:tcW w:w="471" w:type="pct"/>
            <w:tcBorders>
              <w:top w:val="single" w:color="auto" w:sz="12" w:space="0"/>
              <w:left w:val="single" w:color="auto" w:sz="4" w:space="0"/>
              <w:bottom w:val="single" w:color="auto" w:sz="4" w:space="0"/>
              <w:right w:val="single" w:color="auto" w:sz="4" w:space="0"/>
            </w:tcBorders>
            <w:noWrap/>
            <w:vAlign w:val="center"/>
          </w:tcPr>
          <w:p w14:paraId="6026C878">
            <w:pPr>
              <w:bidi w:val="0"/>
              <w:jc w:val="center"/>
              <w:rPr>
                <w:rFonts w:hint="eastAsia"/>
                <w:b/>
                <w:bCs/>
                <w:highlight w:val="none"/>
              </w:rPr>
            </w:pPr>
            <w:r>
              <w:rPr>
                <w:rFonts w:hint="eastAsia"/>
                <w:b/>
                <w:bCs/>
                <w:highlight w:val="none"/>
              </w:rPr>
              <w:t>规格</w:t>
            </w:r>
          </w:p>
        </w:tc>
        <w:tc>
          <w:tcPr>
            <w:tcW w:w="471" w:type="pct"/>
            <w:tcBorders>
              <w:top w:val="single" w:color="auto" w:sz="12" w:space="0"/>
              <w:left w:val="single" w:color="auto" w:sz="4" w:space="0"/>
              <w:bottom w:val="single" w:color="auto" w:sz="4" w:space="0"/>
              <w:right w:val="single" w:color="auto" w:sz="4" w:space="0"/>
            </w:tcBorders>
            <w:noWrap/>
            <w:vAlign w:val="center"/>
          </w:tcPr>
          <w:p w14:paraId="56543FA0">
            <w:pPr>
              <w:bidi w:val="0"/>
              <w:jc w:val="center"/>
              <w:rPr>
                <w:rFonts w:hint="eastAsia"/>
                <w:b/>
                <w:bCs/>
                <w:highlight w:val="none"/>
                <w:lang w:eastAsia="zh-CN"/>
              </w:rPr>
            </w:pPr>
            <w:r>
              <w:rPr>
                <w:rFonts w:hint="eastAsia"/>
                <w:b/>
                <w:bCs/>
                <w:highlight w:val="none"/>
                <w:lang w:eastAsia="zh-CN"/>
              </w:rPr>
              <w:t>材质</w:t>
            </w:r>
          </w:p>
        </w:tc>
        <w:tc>
          <w:tcPr>
            <w:tcW w:w="478" w:type="pct"/>
            <w:tcBorders>
              <w:top w:val="single" w:color="auto" w:sz="12" w:space="0"/>
              <w:left w:val="single" w:color="auto" w:sz="4" w:space="0"/>
              <w:bottom w:val="single" w:color="auto" w:sz="4" w:space="0"/>
              <w:right w:val="single" w:color="auto" w:sz="4" w:space="0"/>
            </w:tcBorders>
            <w:noWrap/>
            <w:vAlign w:val="center"/>
          </w:tcPr>
          <w:p w14:paraId="5AA21C74">
            <w:pPr>
              <w:bidi w:val="0"/>
              <w:jc w:val="center"/>
              <w:rPr>
                <w:rFonts w:hint="eastAsia"/>
                <w:b/>
                <w:bCs/>
                <w:highlight w:val="none"/>
              </w:rPr>
            </w:pPr>
            <w:r>
              <w:rPr>
                <w:rFonts w:hint="eastAsia"/>
                <w:b/>
                <w:bCs/>
                <w:highlight w:val="none"/>
              </w:rPr>
              <w:t>数量</w:t>
            </w:r>
          </w:p>
        </w:tc>
        <w:tc>
          <w:tcPr>
            <w:tcW w:w="733" w:type="pct"/>
            <w:tcBorders>
              <w:top w:val="single" w:color="auto" w:sz="12" w:space="0"/>
              <w:left w:val="single" w:color="auto" w:sz="4" w:space="0"/>
              <w:bottom w:val="single" w:color="auto" w:sz="4" w:space="0"/>
              <w:right w:val="single" w:color="auto" w:sz="4" w:space="0"/>
            </w:tcBorders>
            <w:noWrap/>
            <w:vAlign w:val="center"/>
          </w:tcPr>
          <w:p w14:paraId="39B67247">
            <w:pPr>
              <w:bidi w:val="0"/>
              <w:jc w:val="center"/>
              <w:rPr>
                <w:rFonts w:hint="eastAsia"/>
                <w:b/>
                <w:bCs/>
                <w:highlight w:val="none"/>
              </w:rPr>
            </w:pPr>
            <w:r>
              <w:rPr>
                <w:rFonts w:hint="eastAsia"/>
                <w:b/>
                <w:bCs/>
                <w:highlight w:val="none"/>
              </w:rPr>
              <w:t>单价（元）</w:t>
            </w:r>
          </w:p>
        </w:tc>
        <w:tc>
          <w:tcPr>
            <w:tcW w:w="696" w:type="pct"/>
            <w:tcBorders>
              <w:top w:val="single" w:color="auto" w:sz="12" w:space="0"/>
              <w:left w:val="single" w:color="auto" w:sz="4" w:space="0"/>
              <w:bottom w:val="single" w:color="auto" w:sz="4" w:space="0"/>
              <w:right w:val="single" w:color="auto" w:sz="12" w:space="0"/>
            </w:tcBorders>
            <w:noWrap/>
            <w:vAlign w:val="center"/>
          </w:tcPr>
          <w:p w14:paraId="429353CE">
            <w:pPr>
              <w:bidi w:val="0"/>
              <w:jc w:val="center"/>
              <w:rPr>
                <w:rFonts w:hint="eastAsia"/>
                <w:b/>
                <w:bCs/>
                <w:highlight w:val="none"/>
              </w:rPr>
            </w:pPr>
            <w:r>
              <w:rPr>
                <w:rFonts w:hint="eastAsia"/>
                <w:b/>
                <w:bCs/>
                <w:highlight w:val="none"/>
                <w:lang w:val="en-US" w:eastAsia="zh-CN"/>
              </w:rPr>
              <w:t>总价</w:t>
            </w:r>
            <w:r>
              <w:rPr>
                <w:rFonts w:hint="eastAsia"/>
                <w:b/>
                <w:bCs/>
                <w:highlight w:val="none"/>
              </w:rPr>
              <w:t xml:space="preserve"> (元)</w:t>
            </w:r>
          </w:p>
        </w:tc>
      </w:tr>
      <w:tr w14:paraId="6F37B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4F85BA3E">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2846DC23">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3C5C6EE1">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4E6626A4">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1FDEFF3B">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4F81166D">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22BDC677">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5FE45B72">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0FAA970C">
            <w:pPr>
              <w:bidi w:val="0"/>
              <w:rPr>
                <w:rFonts w:hint="eastAsia"/>
                <w:highlight w:val="none"/>
              </w:rPr>
            </w:pPr>
          </w:p>
        </w:tc>
      </w:tr>
      <w:tr w14:paraId="7562F2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49597A02">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7325FA08">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07EDCD81">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1F4E42C8">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01CCEEE7">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79D19E17">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06BFB0FD">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3F3D5138">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3FD04784">
            <w:pPr>
              <w:bidi w:val="0"/>
              <w:rPr>
                <w:rFonts w:hint="eastAsia"/>
                <w:highlight w:val="none"/>
              </w:rPr>
            </w:pPr>
          </w:p>
        </w:tc>
      </w:tr>
      <w:tr w14:paraId="64699F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57C3BC3F">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74332D7B">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55052B0C">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53742283">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51417EA2">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3F47F5C5">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064F0E71">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113B8687">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3953A20D">
            <w:pPr>
              <w:bidi w:val="0"/>
              <w:rPr>
                <w:rFonts w:hint="eastAsia"/>
                <w:highlight w:val="none"/>
              </w:rPr>
            </w:pPr>
          </w:p>
        </w:tc>
      </w:tr>
      <w:tr w14:paraId="277D44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20704D39">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0550F357">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05502C05">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54EB2928">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3B8E75C0">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1FFBF102">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1F6024CC">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04DD7E5A">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6D2D1476">
            <w:pPr>
              <w:bidi w:val="0"/>
              <w:rPr>
                <w:rFonts w:hint="eastAsia"/>
                <w:highlight w:val="none"/>
              </w:rPr>
            </w:pPr>
          </w:p>
        </w:tc>
      </w:tr>
      <w:tr w14:paraId="00F748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75BA6DCE">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1B50A319">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33BF0A6C">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3BF5D90D">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745F27CD">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41376AED">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491D1A2D">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319C4F1D">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3A300B39">
            <w:pPr>
              <w:bidi w:val="0"/>
              <w:rPr>
                <w:rFonts w:hint="eastAsia"/>
                <w:highlight w:val="none"/>
              </w:rPr>
            </w:pPr>
          </w:p>
        </w:tc>
      </w:tr>
      <w:tr w14:paraId="37A9A6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419" w:type="pct"/>
            <w:tcBorders>
              <w:top w:val="single" w:color="auto" w:sz="4" w:space="0"/>
              <w:left w:val="single" w:color="auto" w:sz="12" w:space="0"/>
              <w:bottom w:val="single" w:color="auto" w:sz="4" w:space="0"/>
              <w:right w:val="single" w:color="auto" w:sz="4" w:space="0"/>
            </w:tcBorders>
            <w:noWrap/>
            <w:vAlign w:val="top"/>
          </w:tcPr>
          <w:p w14:paraId="7D585C7D">
            <w:pPr>
              <w:bidi w:val="0"/>
              <w:rPr>
                <w:rFonts w:hint="eastAsia"/>
                <w:highlight w:val="none"/>
              </w:rPr>
            </w:pPr>
          </w:p>
        </w:tc>
        <w:tc>
          <w:tcPr>
            <w:tcW w:w="562" w:type="pct"/>
            <w:tcBorders>
              <w:top w:val="single" w:color="auto" w:sz="4" w:space="0"/>
              <w:left w:val="single" w:color="auto" w:sz="4" w:space="0"/>
              <w:bottom w:val="single" w:color="auto" w:sz="4" w:space="0"/>
              <w:right w:val="single" w:color="auto" w:sz="4" w:space="0"/>
            </w:tcBorders>
            <w:noWrap/>
            <w:vAlign w:val="top"/>
          </w:tcPr>
          <w:p w14:paraId="3F919CE2">
            <w:pPr>
              <w:bidi w:val="0"/>
              <w:rPr>
                <w:rFonts w:hint="eastAsia"/>
                <w:highlight w:val="none"/>
              </w:rPr>
            </w:pPr>
          </w:p>
        </w:tc>
        <w:tc>
          <w:tcPr>
            <w:tcW w:w="597" w:type="pct"/>
            <w:tcBorders>
              <w:top w:val="single" w:color="auto" w:sz="4" w:space="0"/>
              <w:left w:val="single" w:color="auto" w:sz="4" w:space="0"/>
              <w:bottom w:val="single" w:color="auto" w:sz="4" w:space="0"/>
              <w:right w:val="single" w:color="auto" w:sz="4" w:space="0"/>
            </w:tcBorders>
            <w:noWrap/>
            <w:vAlign w:val="top"/>
          </w:tcPr>
          <w:p w14:paraId="517D4554">
            <w:pPr>
              <w:bidi w:val="0"/>
              <w:rPr>
                <w:rFonts w:hint="eastAsia"/>
                <w:highlight w:val="none"/>
              </w:rPr>
            </w:pPr>
          </w:p>
        </w:tc>
        <w:tc>
          <w:tcPr>
            <w:tcW w:w="569" w:type="pct"/>
            <w:tcBorders>
              <w:top w:val="single" w:color="auto" w:sz="4" w:space="0"/>
              <w:left w:val="single" w:color="auto" w:sz="4" w:space="0"/>
              <w:bottom w:val="single" w:color="auto" w:sz="4" w:space="0"/>
              <w:right w:val="single" w:color="auto" w:sz="4" w:space="0"/>
            </w:tcBorders>
            <w:noWrap/>
            <w:vAlign w:val="top"/>
          </w:tcPr>
          <w:p w14:paraId="3E60E644">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206044AE">
            <w:pPr>
              <w:bidi w:val="0"/>
              <w:rPr>
                <w:rFonts w:hint="eastAsia"/>
                <w:highlight w:val="none"/>
              </w:rPr>
            </w:pPr>
          </w:p>
        </w:tc>
        <w:tc>
          <w:tcPr>
            <w:tcW w:w="471" w:type="pct"/>
            <w:tcBorders>
              <w:top w:val="single" w:color="auto" w:sz="4" w:space="0"/>
              <w:left w:val="single" w:color="auto" w:sz="4" w:space="0"/>
              <w:bottom w:val="single" w:color="auto" w:sz="4" w:space="0"/>
              <w:right w:val="single" w:color="auto" w:sz="4" w:space="0"/>
            </w:tcBorders>
            <w:noWrap/>
            <w:vAlign w:val="top"/>
          </w:tcPr>
          <w:p w14:paraId="3EEF5BF1">
            <w:pPr>
              <w:bidi w:val="0"/>
              <w:rPr>
                <w:rFonts w:hint="eastAsia"/>
                <w:highlight w:val="none"/>
              </w:rPr>
            </w:pPr>
          </w:p>
        </w:tc>
        <w:tc>
          <w:tcPr>
            <w:tcW w:w="478" w:type="pct"/>
            <w:tcBorders>
              <w:top w:val="single" w:color="auto" w:sz="4" w:space="0"/>
              <w:left w:val="single" w:color="auto" w:sz="4" w:space="0"/>
              <w:bottom w:val="single" w:color="auto" w:sz="4" w:space="0"/>
              <w:right w:val="single" w:color="auto" w:sz="4" w:space="0"/>
            </w:tcBorders>
            <w:noWrap/>
            <w:vAlign w:val="top"/>
          </w:tcPr>
          <w:p w14:paraId="00565B8B">
            <w:pPr>
              <w:bidi w:val="0"/>
              <w:rPr>
                <w:rFonts w:hint="eastAsia"/>
                <w:highlight w:val="none"/>
              </w:rPr>
            </w:pPr>
          </w:p>
        </w:tc>
        <w:tc>
          <w:tcPr>
            <w:tcW w:w="733" w:type="pct"/>
            <w:tcBorders>
              <w:top w:val="single" w:color="auto" w:sz="4" w:space="0"/>
              <w:left w:val="single" w:color="auto" w:sz="4" w:space="0"/>
              <w:bottom w:val="single" w:color="auto" w:sz="4" w:space="0"/>
              <w:right w:val="single" w:color="auto" w:sz="4" w:space="0"/>
            </w:tcBorders>
            <w:noWrap/>
            <w:vAlign w:val="top"/>
          </w:tcPr>
          <w:p w14:paraId="70710EB0">
            <w:pPr>
              <w:bidi w:val="0"/>
              <w:rPr>
                <w:rFonts w:hint="eastAsia"/>
                <w:highlight w:val="none"/>
              </w:rPr>
            </w:pPr>
          </w:p>
        </w:tc>
        <w:tc>
          <w:tcPr>
            <w:tcW w:w="696" w:type="pct"/>
            <w:tcBorders>
              <w:top w:val="single" w:color="auto" w:sz="4" w:space="0"/>
              <w:left w:val="single" w:color="auto" w:sz="4" w:space="0"/>
              <w:bottom w:val="single" w:color="auto" w:sz="4" w:space="0"/>
              <w:right w:val="single" w:color="auto" w:sz="12" w:space="0"/>
            </w:tcBorders>
            <w:noWrap/>
            <w:vAlign w:val="top"/>
          </w:tcPr>
          <w:p w14:paraId="47E0805B">
            <w:pPr>
              <w:bidi w:val="0"/>
              <w:rPr>
                <w:rFonts w:hint="eastAsia"/>
                <w:highlight w:val="none"/>
              </w:rPr>
            </w:pPr>
          </w:p>
        </w:tc>
      </w:tr>
      <w:tr w14:paraId="610CF2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419" w:type="pct"/>
            <w:tcBorders>
              <w:top w:val="single" w:color="auto" w:sz="4" w:space="0"/>
              <w:left w:val="single" w:color="auto" w:sz="12" w:space="0"/>
              <w:bottom w:val="single" w:color="auto" w:sz="12" w:space="0"/>
              <w:right w:val="single" w:color="auto" w:sz="4" w:space="0"/>
            </w:tcBorders>
            <w:noWrap/>
            <w:vAlign w:val="top"/>
          </w:tcPr>
          <w:p w14:paraId="31E45858">
            <w:pPr>
              <w:bidi w:val="0"/>
              <w:rPr>
                <w:rFonts w:hint="eastAsia"/>
                <w:highlight w:val="none"/>
              </w:rPr>
            </w:pPr>
          </w:p>
        </w:tc>
        <w:tc>
          <w:tcPr>
            <w:tcW w:w="562" w:type="pct"/>
            <w:tcBorders>
              <w:top w:val="single" w:color="auto" w:sz="4" w:space="0"/>
              <w:left w:val="single" w:color="auto" w:sz="4" w:space="0"/>
              <w:bottom w:val="single" w:color="auto" w:sz="12" w:space="0"/>
              <w:right w:val="single" w:color="auto" w:sz="4" w:space="0"/>
            </w:tcBorders>
            <w:noWrap/>
            <w:vAlign w:val="center"/>
          </w:tcPr>
          <w:p w14:paraId="6C8F7B4C">
            <w:pPr>
              <w:bidi w:val="0"/>
              <w:rPr>
                <w:rFonts w:hint="eastAsia"/>
                <w:highlight w:val="none"/>
              </w:rPr>
            </w:pPr>
            <w:r>
              <w:rPr>
                <w:rFonts w:hint="eastAsia"/>
                <w:highlight w:val="none"/>
              </w:rPr>
              <w:t>合计</w:t>
            </w:r>
          </w:p>
        </w:tc>
        <w:tc>
          <w:tcPr>
            <w:tcW w:w="2110" w:type="pct"/>
            <w:gridSpan w:val="4"/>
            <w:tcBorders>
              <w:top w:val="single" w:color="auto" w:sz="4" w:space="0"/>
              <w:left w:val="single" w:color="auto" w:sz="4" w:space="0"/>
              <w:bottom w:val="single" w:color="auto" w:sz="12" w:space="0"/>
              <w:right w:val="single" w:color="auto" w:sz="4" w:space="0"/>
            </w:tcBorders>
            <w:noWrap/>
            <w:vAlign w:val="center"/>
          </w:tcPr>
          <w:p w14:paraId="225FFB06">
            <w:pPr>
              <w:bidi w:val="0"/>
              <w:rPr>
                <w:rFonts w:hint="eastAsia"/>
                <w:highlight w:val="none"/>
              </w:rPr>
            </w:pPr>
            <w:r>
              <w:rPr>
                <w:rFonts w:hint="eastAsia"/>
                <w:highlight w:val="none"/>
              </w:rPr>
              <w:t>大写</w:t>
            </w:r>
          </w:p>
        </w:tc>
        <w:tc>
          <w:tcPr>
            <w:tcW w:w="478" w:type="pct"/>
            <w:tcBorders>
              <w:top w:val="single" w:color="auto" w:sz="4" w:space="0"/>
              <w:left w:val="single" w:color="auto" w:sz="4" w:space="0"/>
              <w:bottom w:val="single" w:color="auto" w:sz="12" w:space="0"/>
              <w:right w:val="single" w:color="auto" w:sz="12" w:space="0"/>
            </w:tcBorders>
            <w:noWrap/>
            <w:vAlign w:val="center"/>
          </w:tcPr>
          <w:p w14:paraId="35F99CDE">
            <w:pPr>
              <w:bidi w:val="0"/>
              <w:rPr>
                <w:rFonts w:hint="eastAsia" w:eastAsia="宋体"/>
                <w:highlight w:val="none"/>
                <w:lang w:val="en-US" w:eastAsia="zh-CN"/>
              </w:rPr>
            </w:pPr>
            <w:r>
              <w:rPr>
                <w:rFonts w:hint="eastAsia"/>
                <w:highlight w:val="none"/>
                <w:lang w:val="en-US" w:eastAsia="zh-CN"/>
              </w:rPr>
              <w:t>小写</w:t>
            </w:r>
          </w:p>
        </w:tc>
        <w:tc>
          <w:tcPr>
            <w:tcW w:w="1429" w:type="pct"/>
            <w:gridSpan w:val="2"/>
            <w:tcBorders>
              <w:top w:val="single" w:color="auto" w:sz="4" w:space="0"/>
              <w:left w:val="single" w:color="auto" w:sz="4" w:space="0"/>
              <w:bottom w:val="single" w:color="auto" w:sz="12" w:space="0"/>
              <w:right w:val="single" w:color="auto" w:sz="12" w:space="0"/>
            </w:tcBorders>
            <w:noWrap/>
            <w:vAlign w:val="center"/>
          </w:tcPr>
          <w:p w14:paraId="3F873746">
            <w:pPr>
              <w:bidi w:val="0"/>
              <w:rPr>
                <w:rFonts w:hint="eastAsia"/>
                <w:highlight w:val="none"/>
              </w:rPr>
            </w:pPr>
            <w:r>
              <w:rPr>
                <w:rFonts w:hint="default"/>
                <w:highlight w:val="none"/>
              </w:rPr>
              <w:t>¥</w:t>
            </w:r>
          </w:p>
        </w:tc>
      </w:tr>
    </w:tbl>
    <w:p w14:paraId="66A4BBF9">
      <w:pPr>
        <w:pStyle w:val="6"/>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第二条 合同价款</w:t>
      </w:r>
    </w:p>
    <w:p w14:paraId="4F5DB94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1、合同总价为人民币大写：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RMB￥</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5E12726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2、本合同总价是货物（产品）设计、材料、制造、包装、运输、安装、调试、验收合格交付使用之前及保修期内保修服务与备用物件等其他有关各项的含税费用。</w:t>
      </w:r>
    </w:p>
    <w:p w14:paraId="1B53137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3、本合同总价还包含乙方应当提供的伴随服务和售后服务费用。</w:t>
      </w:r>
    </w:p>
    <w:p w14:paraId="0CBD0A2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4、本合同执行期间合同总价不变，甲方无须另向乙方支付本合同规定之外的其他任何费用。</w:t>
      </w:r>
    </w:p>
    <w:p w14:paraId="2F53A4D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第三条</w:t>
      </w:r>
      <w:r>
        <w:rPr>
          <w:rFonts w:hint="eastAsia" w:ascii="宋体" w:hAnsi="宋体" w:eastAsia="宋体" w:cs="宋体"/>
          <w:b/>
          <w:bCs/>
          <w:color w:val="000000"/>
          <w:sz w:val="21"/>
          <w:szCs w:val="21"/>
          <w:highlight w:val="none"/>
          <w:lang w:eastAsia="zh-CN"/>
        </w:rPr>
        <w:t>、</w:t>
      </w:r>
      <w:r>
        <w:rPr>
          <w:rFonts w:hint="eastAsia" w:ascii="宋体" w:hAnsi="宋体" w:eastAsia="宋体" w:cs="宋体"/>
          <w:b/>
          <w:bCs/>
          <w:color w:val="000000"/>
          <w:sz w:val="21"/>
          <w:szCs w:val="21"/>
          <w:highlight w:val="none"/>
        </w:rPr>
        <w:t>款项结算</w:t>
      </w:r>
    </w:p>
    <w:p w14:paraId="08AAE58D">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1、货物（产品）按下列比例支付价款：</w:t>
      </w:r>
    </w:p>
    <w:p w14:paraId="02F944A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所有货物到达甲方指定地点安装完成并验收合格后，乙方须向甲方出具合法有效的完税发票，甲方进行支付结算，达到付款条件起</w:t>
      </w:r>
      <w:r>
        <w:rPr>
          <w:rFonts w:hint="eastAsia" w:ascii="宋体" w:hAnsi="宋体" w:cs="宋体"/>
          <w:color w:val="000000"/>
          <w:sz w:val="21"/>
          <w:szCs w:val="21"/>
          <w:highlight w:val="none"/>
          <w:lang w:val="en-US" w:eastAsia="zh-CN"/>
        </w:rPr>
        <w:t>360</w:t>
      </w:r>
      <w:bookmarkStart w:id="0" w:name="_GoBack"/>
      <w:bookmarkEnd w:id="0"/>
      <w:r>
        <w:rPr>
          <w:rFonts w:hint="eastAsia" w:ascii="宋体" w:hAnsi="宋体" w:eastAsia="宋体" w:cs="宋体"/>
          <w:color w:val="000000"/>
          <w:sz w:val="21"/>
          <w:szCs w:val="21"/>
          <w:highlight w:val="none"/>
        </w:rPr>
        <w:t>个工作日内，支付合同总金额</w:t>
      </w:r>
      <w:r>
        <w:rPr>
          <w:rFonts w:hint="eastAsia" w:ascii="宋体" w:hAnsi="宋体" w:eastAsia="宋体" w:cs="宋体"/>
          <w:color w:val="000000"/>
          <w:sz w:val="21"/>
          <w:szCs w:val="21"/>
          <w:highlight w:val="none"/>
          <w:lang w:val="en-US" w:eastAsia="zh-CN"/>
        </w:rPr>
        <w:t>的100%。</w:t>
      </w:r>
    </w:p>
    <w:p w14:paraId="305D3CD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rPr>
        <w:t>、结算方式：银行转账。</w:t>
      </w:r>
    </w:p>
    <w:p w14:paraId="7AA5FDA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交货时间与地点</w:t>
      </w:r>
    </w:p>
    <w:p w14:paraId="1C72DE5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乙方在合同签订生效之日起，按甲方指定时间、地点交货。</w:t>
      </w:r>
    </w:p>
    <w:p w14:paraId="5DB1BCA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1、交货</w:t>
      </w:r>
      <w:r>
        <w:rPr>
          <w:rFonts w:hint="eastAsia" w:ascii="宋体" w:hAnsi="宋体" w:eastAsia="宋体" w:cs="宋体"/>
          <w:color w:val="auto"/>
          <w:sz w:val="21"/>
          <w:szCs w:val="21"/>
          <w:highlight w:val="none"/>
          <w:lang w:val="en-US" w:eastAsia="zh-CN"/>
        </w:rPr>
        <w:t>安装</w:t>
      </w:r>
      <w:r>
        <w:rPr>
          <w:rFonts w:hint="eastAsia" w:ascii="宋体" w:hAnsi="宋体" w:eastAsia="宋体" w:cs="宋体"/>
          <w:color w:val="auto"/>
          <w:sz w:val="21"/>
          <w:szCs w:val="21"/>
          <w:highlight w:val="none"/>
        </w:rPr>
        <w:t>时间（期限）：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15279E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b/>
          <w:bCs/>
          <w:color w:val="000000"/>
          <w:sz w:val="21"/>
          <w:szCs w:val="21"/>
          <w:highlight w:val="none"/>
        </w:rPr>
      </w:pPr>
      <w:r>
        <w:rPr>
          <w:rFonts w:hint="eastAsia" w:ascii="宋体" w:hAnsi="宋体" w:eastAsia="宋体" w:cs="宋体"/>
          <w:color w:val="auto"/>
          <w:sz w:val="21"/>
          <w:szCs w:val="21"/>
          <w:highlight w:val="none"/>
        </w:rPr>
        <w:t>2、交货地点：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0A675D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质量保证</w:t>
      </w:r>
    </w:p>
    <w:p w14:paraId="7B9D2A1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1、设备的质保期为终验合格后</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人承诺的质保时间超过</w:t>
      </w:r>
      <w:r>
        <w:rPr>
          <w:rFonts w:hint="eastAsia" w:ascii="宋体" w:hAnsi="宋体" w:cs="宋体"/>
          <w:color w:val="auto"/>
          <w:sz w:val="21"/>
          <w:szCs w:val="21"/>
          <w:highlight w:val="none"/>
          <w:lang w:eastAsia="zh-CN"/>
        </w:rPr>
        <w:t>谈判</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要求的，按其承诺时间质保。</w:t>
      </w:r>
    </w:p>
    <w:p w14:paraId="3CE1CB4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2、乙方须提供全新的、未使用过的合格正品货物，完全符合合同规定的质量、规格和性能的要求。</w:t>
      </w:r>
    </w:p>
    <w:p w14:paraId="6E6AD0C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、质量标准按照最新颁布的国家标准、行业标准或制造厂家企业标准确定，上述标准不一致的，以严格标准为准。</w:t>
      </w:r>
    </w:p>
    <w:p w14:paraId="460A30C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、货物制造质量出现问题，乙方应负责三包（包修、包换、包退），费用由乙方负担，甲方有权到乙方生产场地检查货物质量和生产进度。</w:t>
      </w:r>
    </w:p>
    <w:p w14:paraId="32E051DE">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b/>
          <w:bCs/>
          <w:color w:val="000000"/>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、质保期内</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单位如无法达到上述要求，</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有权委托其它维修商完成此项工作，由此产生的一切费用均由</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人负责。</w:t>
      </w:r>
    </w:p>
    <w:p w14:paraId="485462C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w:t>
      </w:r>
      <w:r>
        <w:rPr>
          <w:rFonts w:hint="eastAsia" w:ascii="宋体" w:hAnsi="宋体" w:eastAsia="宋体" w:cs="宋体"/>
          <w:b/>
          <w:bCs/>
          <w:color w:val="000000"/>
          <w:sz w:val="21"/>
          <w:szCs w:val="21"/>
          <w:highlight w:val="none"/>
          <w:lang w:eastAsia="zh-CN"/>
        </w:rPr>
        <w:t>六</w:t>
      </w:r>
      <w:r>
        <w:rPr>
          <w:rFonts w:hint="eastAsia" w:ascii="宋体" w:hAnsi="宋体" w:eastAsia="宋体" w:cs="宋体"/>
          <w:b/>
          <w:bCs/>
          <w:color w:val="000000"/>
          <w:sz w:val="21"/>
          <w:szCs w:val="21"/>
          <w:highlight w:val="none"/>
        </w:rPr>
        <w:t>条权利保证</w:t>
      </w:r>
    </w:p>
    <w:p w14:paraId="2CB6F6B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1、乙方保证对其出售的货物享有合法的权利。</w:t>
      </w:r>
    </w:p>
    <w:p w14:paraId="5C30EB6D">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2、乙方保证对其出售的货物上不存在任何未曾向甲方透露的担保物权，如抵押权、质押权、留置权。</w:t>
      </w:r>
    </w:p>
    <w:p w14:paraId="40E9E23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3、乙方保证对其出售的货物或其任何一部分没有侵犯第三方的专利权、版权、商标权或其他权利。</w:t>
      </w:r>
    </w:p>
    <w:p w14:paraId="2427309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4、如甲方在使用该货物构成上述侵权的，则由乙方承担全部责任。</w:t>
      </w:r>
    </w:p>
    <w:p w14:paraId="10FDE3B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w:t>
      </w:r>
      <w:r>
        <w:rPr>
          <w:rFonts w:hint="eastAsia" w:ascii="宋体" w:hAnsi="宋体" w:eastAsia="宋体" w:cs="宋体"/>
          <w:b/>
          <w:bCs/>
          <w:color w:val="000000"/>
          <w:sz w:val="21"/>
          <w:szCs w:val="21"/>
          <w:highlight w:val="none"/>
          <w:lang w:eastAsia="zh-CN"/>
        </w:rPr>
        <w:t>七</w:t>
      </w:r>
      <w:r>
        <w:rPr>
          <w:rFonts w:hint="eastAsia" w:ascii="宋体" w:hAnsi="宋体" w:eastAsia="宋体" w:cs="宋体"/>
          <w:b/>
          <w:bCs/>
          <w:color w:val="000000"/>
          <w:sz w:val="21"/>
          <w:szCs w:val="21"/>
          <w:highlight w:val="none"/>
        </w:rPr>
        <w:t>条 包装要求与运输方式</w:t>
      </w:r>
      <w:r>
        <w:rPr>
          <w:rFonts w:hint="eastAsia" w:ascii="宋体" w:hAnsi="宋体" w:eastAsia="宋体" w:cs="宋体"/>
          <w:color w:val="000000"/>
          <w:sz w:val="21"/>
          <w:szCs w:val="21"/>
          <w:highlight w:val="none"/>
        </w:rPr>
        <w:t xml:space="preserve">  </w:t>
      </w:r>
    </w:p>
    <w:p w14:paraId="6A3D008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1、除合同另有规定外，乙方提供的全部货物均应按标准保护措施进行包装，该包装应适应于远距离运输、防潮、防震、防锈和防野蛮装卸，以确保货物安全运抵指定地点。</w:t>
      </w:r>
    </w:p>
    <w:p w14:paraId="1296FC1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2、每一包装单元应附详细的装箱单和质量合格证。</w:t>
      </w:r>
    </w:p>
    <w:p w14:paraId="33E6274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3、货物（产品）运输方式：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9C4646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4、乙方负责货物（产品）运输，货物运输的合理损耗及计算方法。</w:t>
      </w:r>
    </w:p>
    <w:p w14:paraId="0607BC3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第八条 货物验收</w:t>
      </w:r>
    </w:p>
    <w:p w14:paraId="0F68F48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1、货物验收由甲方组织，乙方配合，并按下列程序进行：</w:t>
      </w:r>
    </w:p>
    <w:p w14:paraId="58719389">
      <w:pPr>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highlight w:val="none"/>
        </w:rPr>
        <w:t>（1）交货验收时，乙方须提供质检部门产品抽样检查合格的检测报告（或制造商自检报告）及所提供货物（产品）的合格证、装箱清单、配件、随机工具、用户使用手册（产品使用说明书）、保修卡等资料交付给甲方；</w:t>
      </w:r>
    </w:p>
    <w:p w14:paraId="69804C0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（2）到货验收 ：货物到达后，按合同第一条款的货物清单和装箱单经行逐一核对，同时检查货物外观，是否有划痕或破损的，并做好相应记录；</w:t>
      </w:r>
    </w:p>
    <w:p w14:paraId="58F9000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2、货物验收依据：</w:t>
      </w:r>
    </w:p>
    <w:p w14:paraId="2DAAE48E">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cs="宋体"/>
          <w:color w:val="000000"/>
          <w:sz w:val="21"/>
          <w:szCs w:val="21"/>
          <w:highlight w:val="none"/>
          <w:lang w:eastAsia="zh-CN"/>
        </w:rPr>
        <w:t>谈判</w:t>
      </w:r>
      <w:r>
        <w:rPr>
          <w:rFonts w:hint="eastAsia" w:ascii="宋体" w:hAnsi="宋体" w:eastAsia="宋体" w:cs="宋体"/>
          <w:color w:val="000000"/>
          <w:sz w:val="21"/>
          <w:szCs w:val="21"/>
          <w:highlight w:val="none"/>
          <w:lang w:eastAsia="zh-CN"/>
        </w:rPr>
        <w:t>文件</w:t>
      </w:r>
      <w:r>
        <w:rPr>
          <w:rFonts w:hint="eastAsia" w:ascii="宋体" w:hAnsi="宋体" w:eastAsia="宋体" w:cs="宋体"/>
          <w:color w:val="000000"/>
          <w:sz w:val="21"/>
          <w:szCs w:val="21"/>
          <w:highlight w:val="none"/>
        </w:rPr>
        <w:t>；</w:t>
      </w:r>
    </w:p>
    <w:p w14:paraId="54BB7B0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cs="宋体"/>
          <w:color w:val="000000"/>
          <w:sz w:val="21"/>
          <w:szCs w:val="21"/>
          <w:highlight w:val="none"/>
          <w:lang w:val="en-US" w:eastAsia="zh-CN"/>
        </w:rPr>
        <w:t>谈判</w:t>
      </w:r>
      <w:r>
        <w:rPr>
          <w:rFonts w:hint="eastAsia" w:ascii="宋体" w:hAnsi="宋体" w:eastAsia="宋体" w:cs="宋体"/>
          <w:color w:val="000000"/>
          <w:sz w:val="21"/>
          <w:szCs w:val="21"/>
          <w:highlight w:val="none"/>
        </w:rPr>
        <w:t>响应文件；</w:t>
      </w:r>
    </w:p>
    <w:p w14:paraId="4166BBC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（3）采购合同及补充协议；</w:t>
      </w:r>
    </w:p>
    <w:p w14:paraId="183A7C1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（4）质检部门抽样检查货物（产品）合格的检测报告。</w:t>
      </w:r>
    </w:p>
    <w:p w14:paraId="7EEA496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3、货物验收时发现问题的处理办法：</w:t>
      </w:r>
    </w:p>
    <w:p w14:paraId="5AE00FF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（1）乙方提供不符合</w:t>
      </w:r>
      <w:r>
        <w:rPr>
          <w:rFonts w:hint="eastAsia" w:ascii="宋体" w:hAnsi="宋体" w:eastAsia="宋体" w:cs="宋体"/>
          <w:color w:val="000000"/>
          <w:sz w:val="21"/>
          <w:szCs w:val="21"/>
          <w:highlight w:val="none"/>
          <w:lang w:eastAsia="zh-CN"/>
        </w:rPr>
        <w:t>询价通知书</w:t>
      </w:r>
      <w:r>
        <w:rPr>
          <w:rFonts w:hint="eastAsia" w:ascii="宋体" w:hAnsi="宋体" w:eastAsia="宋体" w:cs="宋体"/>
          <w:color w:val="000000"/>
          <w:sz w:val="21"/>
          <w:szCs w:val="21"/>
          <w:highlight w:val="none"/>
        </w:rPr>
        <w:t>和本合同规定的货物（产品），甲方有权拒绝接受；</w:t>
      </w:r>
    </w:p>
    <w:p w14:paraId="0B6B9B7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607EA3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（3）如货物经乙方次维修仍不能达到合同约定的质量标准，甲方有权退货，并视作乙方不能交付货物而须支付违约赔偿金给甲方，甲方还可依法追究乙方的违约责任；</w:t>
      </w:r>
    </w:p>
    <w:p w14:paraId="7E1C7916">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（4）货物安装完成后</w:t>
      </w:r>
      <w:r>
        <w:rPr>
          <w:rFonts w:hint="eastAsia" w:ascii="宋体" w:hAnsi="宋体" w:eastAsia="宋体" w:cs="宋体"/>
          <w:color w:val="000000"/>
          <w:sz w:val="21"/>
          <w:szCs w:val="21"/>
          <w:highlight w:val="none"/>
          <w:lang w:val="en-US" w:eastAsia="zh-CN"/>
        </w:rPr>
        <w:t>180</w:t>
      </w:r>
      <w:r>
        <w:rPr>
          <w:rFonts w:hint="eastAsia" w:ascii="宋体" w:hAnsi="宋体" w:eastAsia="宋体" w:cs="宋体"/>
          <w:color w:val="000000"/>
          <w:sz w:val="21"/>
          <w:szCs w:val="21"/>
          <w:highlight w:val="none"/>
        </w:rPr>
        <w:t>日内，甲方无故不进行验收工作并已使用货物的，视同已安装调试完成并验收合格；</w:t>
      </w:r>
    </w:p>
    <w:p w14:paraId="0A37CEC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（5）乙方不能完整交付货物及本条第一款规定的单证和工具的，必须负责补齐，否则视为未按合同约定交货；</w:t>
      </w:r>
    </w:p>
    <w:p w14:paraId="0E4F5E7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第九条 售后服务</w:t>
      </w:r>
    </w:p>
    <w:p w14:paraId="1526C2D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乙方所供货物提供以下售后服务：</w:t>
      </w:r>
    </w:p>
    <w:p w14:paraId="1168DFF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（一）质保期内：</w:t>
      </w:r>
    </w:p>
    <w:p w14:paraId="42171204">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1、发生质量问题，接到甲方通知后，应于当日派出专业的</w:t>
      </w:r>
      <w:r>
        <w:rPr>
          <w:rFonts w:hint="eastAsia" w:ascii="宋体" w:hAnsi="宋体" w:eastAsia="宋体" w:cs="宋体"/>
          <w:color w:val="000000"/>
          <w:sz w:val="21"/>
          <w:szCs w:val="21"/>
          <w:highlight w:val="none"/>
          <w:lang w:eastAsia="zh-CN"/>
        </w:rPr>
        <w:t>安装</w:t>
      </w:r>
      <w:r>
        <w:rPr>
          <w:rFonts w:hint="eastAsia" w:ascii="宋体" w:hAnsi="宋体" w:eastAsia="宋体" w:cs="宋体"/>
          <w:color w:val="000000"/>
          <w:sz w:val="21"/>
          <w:szCs w:val="21"/>
          <w:highlight w:val="none"/>
        </w:rPr>
        <w:t>人员到现场进行</w:t>
      </w:r>
      <w:r>
        <w:rPr>
          <w:rFonts w:hint="eastAsia" w:ascii="宋体" w:hAnsi="宋体" w:eastAsia="宋体" w:cs="宋体"/>
          <w:color w:val="000000"/>
          <w:sz w:val="21"/>
          <w:szCs w:val="21"/>
          <w:highlight w:val="none"/>
          <w:lang w:eastAsia="zh-CN"/>
        </w:rPr>
        <w:t>安装</w:t>
      </w:r>
      <w:r>
        <w:rPr>
          <w:rFonts w:hint="eastAsia" w:ascii="宋体" w:hAnsi="宋体" w:eastAsia="宋体" w:cs="宋体"/>
          <w:color w:val="000000"/>
          <w:sz w:val="21"/>
          <w:szCs w:val="21"/>
          <w:highlight w:val="none"/>
        </w:rPr>
        <w:t>维修，发生的全部费用由乙方承担，若需送回生产厂，乙方承担往返费用。</w:t>
      </w:r>
    </w:p>
    <w:p w14:paraId="51641CA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2、定期派技术人员到现场走访，给予检查维护 。</w:t>
      </w:r>
    </w:p>
    <w:p w14:paraId="7B3410A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3、排除故障的期限不得超过24小时（工作日）。否则甲方有权指定第三方维修，维修费用由乙方承担。</w:t>
      </w:r>
    </w:p>
    <w:p w14:paraId="713649B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（二）质保期结束前，进行系统测试，全面保养维护，确保正常运行。</w:t>
      </w:r>
    </w:p>
    <w:p w14:paraId="5833799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第十条违约责任</w:t>
      </w:r>
    </w:p>
    <w:p w14:paraId="6507492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1、乙方未征得甲方同意和谅解而单方面延迟完工，将按违约终止合同。</w:t>
      </w:r>
    </w:p>
    <w:p w14:paraId="6257429C">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乙方遇到可能妨碍按时完工和提供服务的情况，应当及时以书面形式通知甲方，说明原由、拖延的期限等；甲方在收到通知后，尽快进行情况评估并确定是否通过修改合同，酌情延长完工时间或者通过协商加收误期赔偿金。</w:t>
      </w:r>
    </w:p>
    <w:p w14:paraId="5AE7DFB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3、因货物的质量问题发生争议，由质量技术监督部门或其指定的质量鉴定机构进行质量鉴定。鉴定费由乙方承担。</w:t>
      </w:r>
    </w:p>
    <w:p w14:paraId="69B04DF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4、合同履行期间,若双方发生争议，可协商或由有关部门调解解决，协商或调解不成的，由当事人依法维护其合法权益。</w:t>
      </w:r>
    </w:p>
    <w:p w14:paraId="065DD34E">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第十一条 合同的变更和终止</w:t>
      </w:r>
    </w:p>
    <w:p w14:paraId="17B480D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除《中华人民共和国招标投标法》第48条、《中华人民共和国招标投标法实施条例》第59条规定的情形外</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本合同一经签订，甲乙双方不得擅自变更、中止或终止合同。</w:t>
      </w:r>
    </w:p>
    <w:p w14:paraId="0D741BF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第十二条 争议的解决</w:t>
      </w:r>
    </w:p>
    <w:p w14:paraId="4091B87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6D9B4D22">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2、因履行本合同引起的或与本合同有关的争议，甲、乙双方应首先通过友好协商解决，如果协商不成，则采取以下第</w:t>
      </w:r>
      <w:r>
        <w:rPr>
          <w:rFonts w:hint="eastAsia" w:ascii="宋体" w:hAnsi="宋体" w:eastAsia="宋体" w:cs="宋体"/>
          <w:color w:val="000000"/>
          <w:sz w:val="21"/>
          <w:szCs w:val="21"/>
          <w:highlight w:val="none"/>
          <w:u w:val="single"/>
        </w:rPr>
        <w:t xml:space="preserve"> 2</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种方式解决争议：</w:t>
      </w:r>
    </w:p>
    <w:p w14:paraId="13849EA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（1）向甲方所在地有管辖权的人民法院提起诉讼；</w:t>
      </w:r>
    </w:p>
    <w:p w14:paraId="45FD9955">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仲裁委员会按其仲裁规则申请仲裁。</w:t>
      </w:r>
    </w:p>
    <w:p w14:paraId="344F234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3．在仲裁期间，本合同应继续履行。</w:t>
      </w:r>
    </w:p>
    <w:p w14:paraId="64AF6083">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2"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第十三条 合同生效及其他</w:t>
      </w:r>
    </w:p>
    <w:p w14:paraId="7F3EBA0F">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1、如有未尽事宜，由双方依法订立补充合同。</w:t>
      </w:r>
    </w:p>
    <w:p w14:paraId="3014002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2、本合同自签订之日起生效。</w:t>
      </w:r>
    </w:p>
    <w:p w14:paraId="63C36F4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3、本合同一式</w:t>
      </w:r>
      <w:r>
        <w:rPr>
          <w:rFonts w:hint="eastAsia" w:ascii="宋体" w:hAnsi="宋体" w:eastAsia="宋体" w:cs="宋体"/>
          <w:color w:val="000000"/>
          <w:sz w:val="21"/>
          <w:szCs w:val="21"/>
          <w:highlight w:val="none"/>
          <w:lang w:eastAsia="zh-CN"/>
        </w:rPr>
        <w:t>肆</w:t>
      </w:r>
      <w:r>
        <w:rPr>
          <w:rFonts w:hint="eastAsia" w:ascii="宋体" w:hAnsi="宋体" w:eastAsia="宋体" w:cs="宋体"/>
          <w:color w:val="000000"/>
          <w:sz w:val="21"/>
          <w:szCs w:val="21"/>
          <w:highlight w:val="none"/>
        </w:rPr>
        <w:t>份，具有同等法律效力，甲乙双方各执</w:t>
      </w:r>
      <w:r>
        <w:rPr>
          <w:rFonts w:hint="eastAsia" w:ascii="宋体" w:hAnsi="宋体" w:eastAsia="宋体" w:cs="宋体"/>
          <w:color w:val="000000"/>
          <w:sz w:val="21"/>
          <w:szCs w:val="21"/>
          <w:highlight w:val="none"/>
          <w:lang w:eastAsia="zh-CN"/>
        </w:rPr>
        <w:t>贰</w:t>
      </w:r>
      <w:r>
        <w:rPr>
          <w:rFonts w:hint="eastAsia" w:ascii="宋体" w:hAnsi="宋体" w:eastAsia="宋体" w:cs="宋体"/>
          <w:color w:val="000000"/>
          <w:sz w:val="21"/>
          <w:szCs w:val="21"/>
          <w:highlight w:val="none"/>
        </w:rPr>
        <w:t>份。</w:t>
      </w:r>
    </w:p>
    <w:p w14:paraId="3EAA98D7">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p>
    <w:p w14:paraId="20FCF67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p>
    <w:p w14:paraId="48BFB76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p>
    <w:p w14:paraId="2DB732B9">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甲方：   （盖章）   </w:t>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乙方：   （盖章）</w:t>
      </w:r>
    </w:p>
    <w:p w14:paraId="3942AFEB">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法定代表人/授权代表：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法定代表人/授权代表：</w:t>
      </w:r>
    </w:p>
    <w:p w14:paraId="0620C080">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地    址：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地    址：</w:t>
      </w:r>
    </w:p>
    <w:p w14:paraId="54D777FA">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开户银行：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p>
    <w:p w14:paraId="2A2F138D">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账    号：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账    号：</w:t>
      </w:r>
    </w:p>
    <w:p w14:paraId="5C472B28">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电    话：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电    话：</w:t>
      </w:r>
    </w:p>
    <w:p w14:paraId="2A717F91">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传    真：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传    真：</w:t>
      </w:r>
    </w:p>
    <w:p w14:paraId="643E2EB6">
      <w:pPr>
        <w:pStyle w:val="6"/>
        <w:keepNext w:val="0"/>
        <w:keepLines w:val="0"/>
        <w:pageBreakBefore w:val="0"/>
        <w:widowControl w:val="0"/>
        <w:kinsoku/>
        <w:wordWrap/>
        <w:overflowPunct/>
        <w:topLinePunct w:val="0"/>
        <w:autoSpaceDE/>
        <w:autoSpaceDN/>
        <w:bidi w:val="0"/>
        <w:adjustRightInd/>
        <w:snapToGrid/>
        <w:spacing w:line="360" w:lineRule="auto"/>
        <w:ind w:left="0" w:right="0" w:rightChars="0"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w:t>
      </w:r>
      <w:r>
        <w:rPr>
          <w:rFonts w:hint="eastAsia" w:ascii="宋体" w:hAnsi="宋体" w:eastAsia="宋体" w:cs="宋体"/>
          <w:color w:val="000000"/>
          <w:sz w:val="21"/>
          <w:szCs w:val="21"/>
          <w:highlight w:val="none"/>
          <w:lang w:eastAsia="zh-CN"/>
        </w:rPr>
        <w:t>订</w:t>
      </w:r>
      <w:r>
        <w:rPr>
          <w:rFonts w:hint="eastAsia" w:ascii="宋体" w:hAnsi="宋体" w:eastAsia="宋体" w:cs="宋体"/>
          <w:color w:val="000000"/>
          <w:sz w:val="21"/>
          <w:szCs w:val="21"/>
          <w:highlight w:val="none"/>
        </w:rPr>
        <w:t xml:space="preserve">日期：    年  月  日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签</w:t>
      </w:r>
      <w:r>
        <w:rPr>
          <w:rFonts w:hint="eastAsia" w:ascii="宋体" w:hAnsi="宋体" w:eastAsia="宋体" w:cs="宋体"/>
          <w:color w:val="000000"/>
          <w:sz w:val="21"/>
          <w:szCs w:val="21"/>
          <w:highlight w:val="none"/>
          <w:lang w:eastAsia="zh-CN"/>
        </w:rPr>
        <w:t>订</w:t>
      </w:r>
      <w:r>
        <w:rPr>
          <w:rFonts w:hint="eastAsia" w:ascii="宋体" w:hAnsi="宋体" w:eastAsia="宋体" w:cs="宋体"/>
          <w:color w:val="000000"/>
          <w:sz w:val="21"/>
          <w:szCs w:val="21"/>
          <w:highlight w:val="none"/>
        </w:rPr>
        <w:t>日期：    年  月  日</w:t>
      </w:r>
    </w:p>
    <w:p w14:paraId="3C5403B1"/>
    <w:sectPr>
      <w:footnotePr>
        <w:numFmt w:val="decimalEnclosedCircleChinese"/>
        <w:numRestart w:val="eachPage"/>
      </w:footnotePr>
      <w:pgSz w:w="12240" w:h="15840"/>
      <w:pgMar w:top="1134" w:right="1134" w:bottom="1134" w:left="1134" w:header="850" w:footer="850" w:gutter="0"/>
      <w:pgBorders>
        <w:top w:val="none" w:sz="0" w:space="0"/>
        <w:left w:val="none" w:sz="0" w:space="0"/>
        <w:bottom w:val="none" w:sz="0" w:space="0"/>
        <w:right w:val="none" w:sz="0" w:space="0"/>
      </w:pgBorders>
      <w:pgNumType w:fmt="decimal" w:start="1"/>
      <w:cols w:space="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B0B39"/>
    <w:rsid w:val="01FF7ADB"/>
    <w:rsid w:val="04690D8F"/>
    <w:rsid w:val="0B330AB4"/>
    <w:rsid w:val="14A13669"/>
    <w:rsid w:val="17C474B3"/>
    <w:rsid w:val="1EA53A9A"/>
    <w:rsid w:val="3A0B68A2"/>
    <w:rsid w:val="41474664"/>
    <w:rsid w:val="474B0B39"/>
    <w:rsid w:val="4AE72A13"/>
    <w:rsid w:val="5BE66044"/>
    <w:rsid w:val="66742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样式 首行缩进:  2 字符"/>
    <w:basedOn w:val="1"/>
    <w:qFormat/>
    <w:uiPriority w:val="0"/>
    <w:pPr>
      <w:spacing w:line="400" w:lineRule="exact"/>
      <w:ind w:firstLine="200" w:firstLineChars="200"/>
    </w:pPr>
    <w:rPr>
      <w:rFonts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2679</Words>
  <Characters>2690</Characters>
  <Lines>0</Lines>
  <Paragraphs>0</Paragraphs>
  <TotalTime>8</TotalTime>
  <ScaleCrop>false</ScaleCrop>
  <LinksUpToDate>false</LinksUpToDate>
  <CharactersWithSpaces>3129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2026-07-02T03:53:00Z</dcterms:created>
  <dc:creator>该用户已成仙</dc:creator>
  <cp:lastModifiedBy>该用户已成仙</cp:lastModifiedBy>
  <dcterms:modified xsi:type="dcterms:W3CDTF">2026-07-20T09:15:21Z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A283E74F08C246E4B30D98E2351056AB_11</vt:lpwstr>
  </property>
  <property fmtid="{D5CDD505-2E9C-101B-9397-08002B2CF9AE}" pid="4" name="KSOTemplateDocerSaveRecord">
    <vt:lpwstr>eyJoZGlkIjoiNmIyYzg0MTFmNWMzYmVlNjc0YjlhYWJlN2RjYTUzMDAiLCJ1c2VySWQiOiI4MDA0NjE0OTkifQ==</vt:lpwstr>
  </property>
</Properties>
</file>