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BED0">
      <w:pPr>
        <w:pStyle w:val="8"/>
        <w:spacing w:after="0"/>
        <w:ind w:firstLine="402"/>
        <w:rPr>
          <w:rFonts w:ascii="仿宋" w:hAnsi="仿宋" w:eastAsia="仿宋" w:cs="仿宋"/>
          <w:b/>
          <w:color w:val="auto"/>
          <w:sz w:val="20"/>
          <w:highlight w:val="none"/>
        </w:rPr>
      </w:pPr>
    </w:p>
    <w:p w14:paraId="430D24DB">
      <w:pPr>
        <w:pStyle w:val="3"/>
        <w:rPr>
          <w:color w:val="auto"/>
          <w:highlight w:val="none"/>
        </w:rPr>
      </w:pPr>
    </w:p>
    <w:p w14:paraId="06FCBC10">
      <w:pPr>
        <w:ind w:firstLine="1040"/>
        <w:jc w:val="center"/>
        <w:rPr>
          <w:rFonts w:ascii="仿宋" w:hAnsi="仿宋" w:eastAsia="仿宋" w:cs="仿宋"/>
          <w:color w:val="auto"/>
          <w:sz w:val="52"/>
          <w:szCs w:val="52"/>
          <w:highlight w:val="none"/>
        </w:rPr>
      </w:pPr>
      <w:bookmarkStart w:id="0" w:name="_Toc324521825"/>
      <w:bookmarkStart w:id="1" w:name="_Toc290389732"/>
      <w:bookmarkStart w:id="2" w:name="_Toc490849904"/>
      <w:bookmarkStart w:id="3" w:name="_Toc321812028"/>
    </w:p>
    <w:p w14:paraId="4FD1530B">
      <w:pPr>
        <w:ind w:firstLine="1040"/>
        <w:jc w:val="center"/>
        <w:rPr>
          <w:rFonts w:ascii="仿宋" w:hAnsi="仿宋" w:eastAsia="仿宋" w:cs="仿宋"/>
          <w:color w:val="auto"/>
          <w:sz w:val="52"/>
          <w:szCs w:val="52"/>
          <w:highlight w:val="none"/>
        </w:rPr>
      </w:pPr>
    </w:p>
    <w:p w14:paraId="1746D915">
      <w:pPr>
        <w:ind w:left="0" w:leftChars="0" w:firstLine="0" w:firstLineChars="0"/>
        <w:jc w:val="center"/>
        <w:rPr>
          <w:rFonts w:asciiTheme="majorEastAsia" w:hAnsiTheme="majorEastAsia" w:eastAsiaTheme="majorEastAsia" w:cstheme="majorEastAsia"/>
          <w:b/>
          <w:bCs/>
          <w:color w:val="auto"/>
          <w:sz w:val="52"/>
          <w:szCs w:val="52"/>
          <w:highlight w:val="none"/>
        </w:rPr>
      </w:pPr>
      <w:r>
        <w:rPr>
          <w:rFonts w:hint="eastAsia" w:asciiTheme="majorEastAsia" w:hAnsiTheme="majorEastAsia" w:eastAsiaTheme="majorEastAsia" w:cstheme="majorEastAsia"/>
          <w:b/>
          <w:bCs/>
          <w:color w:val="auto"/>
          <w:sz w:val="52"/>
          <w:szCs w:val="52"/>
          <w:highlight w:val="none"/>
        </w:rPr>
        <w:t>建设工程设计合同</w:t>
      </w:r>
    </w:p>
    <w:p w14:paraId="432DD434">
      <w:pPr>
        <w:ind w:firstLine="640"/>
        <w:jc w:val="center"/>
        <w:rPr>
          <w:rFonts w:ascii="仿宋" w:hAnsi="仿宋" w:eastAsia="仿宋" w:cs="仿宋"/>
          <w:color w:val="auto"/>
          <w:sz w:val="32"/>
          <w:highlight w:val="none"/>
        </w:rPr>
      </w:pPr>
    </w:p>
    <w:p w14:paraId="78EE4C4D">
      <w:pPr>
        <w:ind w:firstLine="640"/>
        <w:jc w:val="center"/>
        <w:rPr>
          <w:rFonts w:ascii="仿宋" w:hAnsi="仿宋" w:eastAsia="仿宋" w:cs="仿宋"/>
          <w:color w:val="auto"/>
          <w:sz w:val="32"/>
          <w:highlight w:val="none"/>
        </w:rPr>
      </w:pPr>
    </w:p>
    <w:p w14:paraId="0F897F9F">
      <w:pPr>
        <w:ind w:firstLine="640"/>
        <w:jc w:val="center"/>
        <w:rPr>
          <w:rFonts w:ascii="仿宋" w:hAnsi="仿宋" w:eastAsia="仿宋" w:cs="仿宋"/>
          <w:color w:val="auto"/>
          <w:sz w:val="32"/>
          <w:highlight w:val="none"/>
        </w:rPr>
      </w:pPr>
    </w:p>
    <w:p w14:paraId="13ED1AD4">
      <w:pPr>
        <w:ind w:firstLine="0" w:firstLineChars="0"/>
        <w:rPr>
          <w:rFonts w:ascii="仿宋" w:hAnsi="仿宋" w:eastAsia="仿宋" w:cs="仿宋"/>
          <w:color w:val="auto"/>
          <w:spacing w:val="20"/>
          <w:sz w:val="32"/>
          <w:szCs w:val="32"/>
          <w:highlight w:val="none"/>
        </w:rPr>
      </w:pPr>
    </w:p>
    <w:p w14:paraId="75A3BCD8">
      <w:pPr>
        <w:ind w:firstLine="720"/>
        <w:rPr>
          <w:rFonts w:ascii="仿宋" w:hAnsi="仿宋" w:eastAsia="仿宋" w:cs="仿宋"/>
          <w:color w:val="auto"/>
          <w:spacing w:val="20"/>
          <w:sz w:val="32"/>
          <w:szCs w:val="32"/>
          <w:highlight w:val="none"/>
        </w:rPr>
      </w:pPr>
    </w:p>
    <w:p w14:paraId="411333A7">
      <w:pPr>
        <w:pStyle w:val="8"/>
        <w:spacing w:after="0"/>
        <w:ind w:firstLine="720"/>
        <w:rPr>
          <w:rFonts w:ascii="仿宋" w:hAnsi="仿宋" w:eastAsia="仿宋" w:cs="仿宋"/>
          <w:color w:val="auto"/>
          <w:spacing w:val="20"/>
          <w:sz w:val="32"/>
          <w:szCs w:val="32"/>
          <w:highlight w:val="none"/>
        </w:rPr>
      </w:pPr>
    </w:p>
    <w:p w14:paraId="1B162ACB">
      <w:pPr>
        <w:ind w:firstLine="420"/>
        <w:rPr>
          <w:color w:val="auto"/>
          <w:highlight w:val="none"/>
        </w:rPr>
      </w:pPr>
    </w:p>
    <w:p w14:paraId="5594E11F">
      <w:pPr>
        <w:spacing w:line="360" w:lineRule="exact"/>
        <w:ind w:firstLine="2880"/>
        <w:rPr>
          <w:rFonts w:hint="eastAsia" w:ascii="宋体" w:hAnsi="宋体"/>
          <w:sz w:val="32"/>
        </w:rPr>
      </w:pPr>
      <w:bookmarkStart w:id="4" w:name="_Toc503605320"/>
      <w:bookmarkStart w:id="5" w:name="_Toc13928"/>
      <w:bookmarkStart w:id="6" w:name="_Toc13191"/>
      <w:bookmarkStart w:id="7" w:name="_Hlk503536012"/>
      <w:bookmarkStart w:id="8" w:name="_Hlk503543022"/>
    </w:p>
    <w:p w14:paraId="37EA751A">
      <w:pPr>
        <w:spacing w:line="360" w:lineRule="exact"/>
        <w:ind w:firstLine="2880"/>
        <w:rPr>
          <w:rFonts w:hint="eastAsia" w:ascii="宋体" w:hAnsi="宋体"/>
          <w:sz w:val="32"/>
        </w:rPr>
      </w:pPr>
    </w:p>
    <w:p w14:paraId="66065C37">
      <w:pPr>
        <w:spacing w:line="360" w:lineRule="exact"/>
        <w:ind w:firstLine="2880"/>
        <w:rPr>
          <w:rFonts w:hint="eastAsia" w:ascii="宋体" w:hAnsi="宋体"/>
          <w:sz w:val="32"/>
        </w:rPr>
      </w:pPr>
    </w:p>
    <w:p w14:paraId="445385BA">
      <w:pPr>
        <w:spacing w:line="360" w:lineRule="exact"/>
        <w:ind w:firstLine="2880"/>
        <w:rPr>
          <w:rFonts w:hint="eastAsia" w:ascii="宋体" w:hAnsi="宋体"/>
          <w:sz w:val="32"/>
        </w:rPr>
      </w:pPr>
    </w:p>
    <w:p w14:paraId="41D92381">
      <w:pPr>
        <w:spacing w:line="360" w:lineRule="exact"/>
        <w:ind w:firstLine="2880"/>
        <w:rPr>
          <w:rFonts w:hint="eastAsia" w:ascii="宋体" w:hAnsi="宋体"/>
          <w:sz w:val="32"/>
        </w:rPr>
      </w:pPr>
    </w:p>
    <w:p w14:paraId="6201A7AC">
      <w:pPr>
        <w:spacing w:line="360" w:lineRule="exact"/>
        <w:ind w:firstLine="2880"/>
        <w:rPr>
          <w:rFonts w:hint="eastAsia" w:ascii="宋体" w:hAnsi="宋体"/>
          <w:sz w:val="32"/>
        </w:rPr>
      </w:pPr>
    </w:p>
    <w:p w14:paraId="35297EC6">
      <w:pPr>
        <w:spacing w:line="360" w:lineRule="exact"/>
        <w:ind w:firstLine="2880"/>
        <w:rPr>
          <w:rFonts w:hint="eastAsia" w:ascii="宋体" w:hAnsi="宋体"/>
          <w:sz w:val="32"/>
        </w:rPr>
      </w:pPr>
    </w:p>
    <w:p w14:paraId="1E93B875">
      <w:pPr>
        <w:spacing w:line="360" w:lineRule="exact"/>
        <w:ind w:firstLine="2249" w:firstLineChars="700"/>
        <w:rPr>
          <w:rFonts w:hint="eastAsia" w:ascii="宋体" w:hAnsi="宋体"/>
          <w:b/>
          <w:bCs/>
          <w:sz w:val="32"/>
        </w:rPr>
      </w:pPr>
      <w:r>
        <w:rPr>
          <w:rFonts w:hint="eastAsia" w:ascii="宋体" w:hAnsi="宋体"/>
          <w:b/>
          <w:bCs/>
          <w:sz w:val="32"/>
        </w:rPr>
        <w:t>中华人民共和国建设部</w:t>
      </w:r>
    </w:p>
    <w:p w14:paraId="328243A8">
      <w:pPr>
        <w:spacing w:line="360" w:lineRule="exact"/>
        <w:ind w:firstLine="5783" w:firstLineChars="1800"/>
        <w:rPr>
          <w:rFonts w:hint="eastAsia" w:ascii="宋体" w:hAnsi="宋体"/>
          <w:b/>
          <w:bCs/>
          <w:sz w:val="32"/>
        </w:rPr>
      </w:pPr>
      <w:r>
        <w:rPr>
          <w:rFonts w:hint="eastAsia" w:ascii="宋体" w:hAnsi="宋体"/>
          <w:b/>
          <w:bCs/>
          <w:sz w:val="32"/>
        </w:rPr>
        <w:t>制定</w:t>
      </w:r>
    </w:p>
    <w:p w14:paraId="39F23E2D">
      <w:pPr>
        <w:spacing w:line="360" w:lineRule="exact"/>
        <w:ind w:firstLine="2249" w:firstLineChars="700"/>
        <w:rPr>
          <w:rFonts w:hint="eastAsia" w:ascii="宋体" w:hAnsi="宋体"/>
          <w:b/>
          <w:bCs/>
          <w:sz w:val="32"/>
        </w:rPr>
      </w:pPr>
      <w:r>
        <w:rPr>
          <w:rFonts w:hint="eastAsia" w:ascii="宋体" w:hAnsi="宋体"/>
          <w:b/>
          <w:bCs/>
          <w:sz w:val="32"/>
        </w:rPr>
        <w:t xml:space="preserve">国家工商行政管理总局  </w:t>
      </w:r>
    </w:p>
    <w:p w14:paraId="53C76B6D">
      <w:pPr>
        <w:tabs>
          <w:tab w:val="left" w:pos="880"/>
        </w:tabs>
        <w:ind w:firstLine="281" w:firstLineChars="100"/>
        <w:rPr>
          <w:rFonts w:asciiTheme="majorEastAsia" w:hAnsiTheme="majorEastAsia" w:eastAsiaTheme="majorEastAsia" w:cstheme="majorEastAsia"/>
          <w:b/>
          <w:bCs/>
          <w:color w:val="auto"/>
          <w:spacing w:val="20"/>
          <w:sz w:val="24"/>
          <w:szCs w:val="24"/>
          <w:highlight w:val="none"/>
        </w:rPr>
        <w:sectPr>
          <w:headerReference r:id="rId6" w:type="first"/>
          <w:footerReference r:id="rId8" w:type="first"/>
          <w:headerReference r:id="rId5" w:type="default"/>
          <w:footerReference r:id="rId7" w:type="default"/>
          <w:pgSz w:w="11906" w:h="16838"/>
          <w:pgMar w:top="1440" w:right="1803" w:bottom="1440" w:left="1803" w:header="737" w:footer="737" w:gutter="0"/>
          <w:pgNumType w:start="1"/>
          <w:cols w:space="720" w:num="1"/>
          <w:titlePg/>
          <w:docGrid w:type="lines" w:linePitch="312" w:charSpace="0"/>
        </w:sectPr>
      </w:pPr>
    </w:p>
    <w:p w14:paraId="436838D7">
      <w:pPr>
        <w:pStyle w:val="4"/>
        <w:jc w:val="center"/>
        <w:rPr>
          <w:rFonts w:asciiTheme="minorEastAsia" w:hAnsiTheme="minorEastAsia" w:eastAsiaTheme="minorEastAsia" w:cstheme="minorEastAsia"/>
          <w:color w:val="auto"/>
          <w:sz w:val="28"/>
          <w:szCs w:val="21"/>
          <w:highlight w:val="none"/>
        </w:rPr>
      </w:pPr>
      <w:r>
        <w:rPr>
          <w:rFonts w:hint="eastAsia" w:asciiTheme="minorEastAsia" w:hAnsiTheme="minorEastAsia" w:eastAsiaTheme="minorEastAsia" w:cstheme="minorEastAsia"/>
          <w:color w:val="auto"/>
          <w:sz w:val="28"/>
          <w:szCs w:val="21"/>
          <w:highlight w:val="none"/>
        </w:rPr>
        <w:t>第一节 合同协议书</w:t>
      </w:r>
    </w:p>
    <w:p w14:paraId="6FE2BAB2">
      <w:pPr>
        <w:widowControl/>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eastAsia="zh-CN"/>
        </w:rPr>
        <w:t>三原县住房和城乡建设局</w:t>
      </w:r>
    </w:p>
    <w:p w14:paraId="4F7408DD">
      <w:pPr>
        <w:widowControl/>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设计人（全称）：</w:t>
      </w:r>
      <w:r>
        <w:rPr>
          <w:rFonts w:hint="eastAsia" w:asciiTheme="minorEastAsia" w:hAnsiTheme="minorEastAsia" w:eastAsiaTheme="minorEastAsia" w:cstheme="minorEastAsia"/>
          <w:color w:val="auto"/>
          <w:kern w:val="0"/>
          <w:sz w:val="24"/>
          <w:szCs w:val="24"/>
          <w:highlight w:val="none"/>
          <w:u w:val="single"/>
        </w:rPr>
        <w:t xml:space="preserve">                          </w:t>
      </w:r>
    </w:p>
    <w:p w14:paraId="2F33E8BB">
      <w:pPr>
        <w:tabs>
          <w:tab w:val="left" w:pos="8360"/>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eastAsia="zh-CN"/>
        </w:rPr>
        <w:t>三原县住房和城乡建设局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（以下简称“发包人”）为实施</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三原县五号信箱1区等6个老旧小区改造(小区内配套基础设施)项目-设计</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已接受</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（以下简称“设计人”）为该项目</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人，发包人和设计人共同达成如下协议：</w:t>
      </w:r>
    </w:p>
    <w:p w14:paraId="01B28791">
      <w:pPr>
        <w:tabs>
          <w:tab w:val="left" w:pos="8360"/>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1.项目概况：</w:t>
      </w:r>
      <w:r>
        <w:rPr>
          <w:rFonts w:hint="eastAsia" w:ascii="宋体" w:hAnsi="宋体" w:eastAsia="宋体" w:cs="宋体"/>
          <w:color w:val="auto"/>
          <w:sz w:val="24"/>
          <w:szCs w:val="24"/>
          <w:highlight w:val="none"/>
          <w:u w:val="single"/>
          <w:lang w:val="en-US" w:eastAsia="zh-CN"/>
        </w:rPr>
        <w:t>三原县五号信箱1区等6个老旧小区改造(小区内配套基础设施)项目，项目选址位于三原县城区明林新村43站、劳动服务小区、徐木家属楼、土地局家属楼、农机总站小区、五号信箱1区;本次改造小区共6个；涉及改造户数989户。主要对小区内配套基础设施改造。主要改造道路及场地改造、给水管道更新改造，排水管道更新改造，小区绿化改造，体育健身设，安防燃气改造</w:t>
      </w:r>
      <w:r>
        <w:rPr>
          <w:rFonts w:hint="eastAsia" w:asciiTheme="minorEastAsia" w:hAnsiTheme="minorEastAsia" w:eastAsiaTheme="minorEastAsia" w:cstheme="minorEastAsia"/>
          <w:color w:val="auto"/>
          <w:sz w:val="24"/>
          <w:szCs w:val="24"/>
          <w:highlight w:val="none"/>
          <w:u w:val="single"/>
        </w:rPr>
        <w:t>。</w:t>
      </w:r>
    </w:p>
    <w:p w14:paraId="6B361953">
      <w:pPr>
        <w:tabs>
          <w:tab w:val="left" w:pos="8360"/>
        </w:tabs>
        <w:ind w:firstLine="480"/>
        <w:rPr>
          <w:rFonts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2.设计内容：</w:t>
      </w:r>
      <w:r>
        <w:rPr>
          <w:rFonts w:hint="eastAsia" w:asciiTheme="minorEastAsia" w:hAnsiTheme="minorEastAsia" w:eastAsiaTheme="minorEastAsia" w:cstheme="minorEastAsia"/>
          <w:color w:val="auto"/>
          <w:sz w:val="24"/>
          <w:szCs w:val="24"/>
          <w:highlight w:val="none"/>
          <w:u w:val="single"/>
        </w:rPr>
        <w:t>主要工作内容：完成</w:t>
      </w:r>
      <w:r>
        <w:rPr>
          <w:rFonts w:hint="eastAsia" w:asciiTheme="minorEastAsia" w:hAnsiTheme="minorEastAsia" w:eastAsiaTheme="minorEastAsia" w:cstheme="minorEastAsia"/>
          <w:color w:val="auto"/>
          <w:sz w:val="24"/>
          <w:szCs w:val="24"/>
          <w:highlight w:val="none"/>
          <w:u w:val="single"/>
          <w:lang w:eastAsia="zh-CN"/>
        </w:rPr>
        <w:t>三原县五号信箱1区等6个老旧小区改造(小区内配套基础设施)项目</w:t>
      </w:r>
      <w:r>
        <w:rPr>
          <w:rFonts w:hint="eastAsia" w:asciiTheme="minorEastAsia" w:hAnsiTheme="minorEastAsia" w:eastAsiaTheme="minorEastAsia" w:cstheme="minorEastAsia"/>
          <w:color w:val="auto"/>
          <w:sz w:val="24"/>
          <w:szCs w:val="24"/>
          <w:highlight w:val="none"/>
          <w:u w:val="single"/>
        </w:rPr>
        <w:t xml:space="preserve">的初步设计和施工图设计工作。 </w:t>
      </w:r>
    </w:p>
    <w:p w14:paraId="5B56CD7D">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.下列文件一起构成合同文件：</w:t>
      </w:r>
    </w:p>
    <w:p w14:paraId="057BAAE7">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（1）本合同协议书；</w:t>
      </w:r>
    </w:p>
    <w:p w14:paraId="68EAB5DB">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通知书；</w:t>
      </w:r>
    </w:p>
    <w:p w14:paraId="4AB0E9F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（3）投标函及投标函附录；</w:t>
      </w:r>
    </w:p>
    <w:p w14:paraId="6A04E14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（4）发包人要求；</w:t>
      </w:r>
    </w:p>
    <w:p w14:paraId="248294E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（5）专用合同条款；</w:t>
      </w:r>
    </w:p>
    <w:p w14:paraId="4561D15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（6）设计费用清单；</w:t>
      </w:r>
    </w:p>
    <w:p w14:paraId="11C55FD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（7）通用合同条款；</w:t>
      </w:r>
    </w:p>
    <w:p w14:paraId="6E3DA20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（8）设计方案；</w:t>
      </w:r>
    </w:p>
    <w:p w14:paraId="45FE00B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（9）其他合同文件。</w:t>
      </w:r>
    </w:p>
    <w:p w14:paraId="1A798544">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.上述合同文件互相补充和解释。如果合同文件之间存在矛盾或不一致之处，以上述文件的排列顺序在先者为准。</w:t>
      </w:r>
    </w:p>
    <w:p w14:paraId="0B261A91">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.签约合同价：人民币（大写）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元）</w:t>
      </w:r>
      <w:r>
        <w:rPr>
          <w:rFonts w:hint="eastAsia" w:asciiTheme="minorEastAsia" w:hAnsiTheme="minorEastAsia" w:eastAsiaTheme="minorEastAsia" w:cstheme="minorEastAsia"/>
          <w:color w:val="auto"/>
          <w:sz w:val="24"/>
          <w:szCs w:val="24"/>
          <w:highlight w:val="none"/>
        </w:rPr>
        <w:t>。</w:t>
      </w:r>
    </w:p>
    <w:p w14:paraId="7F26311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.设计方项目负责人：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5CCBCED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.设计工作质量符合的标准和要求：国家及地方行业现行相关技术规范、法规及标准，详见专用条款。</w:t>
      </w:r>
    </w:p>
    <w:p w14:paraId="474920D3">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.设计人承诺按合同约定承担工程的设计工作。</w:t>
      </w:r>
    </w:p>
    <w:p w14:paraId="36BB8F8B">
      <w:pPr>
        <w:tabs>
          <w:tab w:val="left" w:pos="1044"/>
        </w:tabs>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.发包人承诺按合同约定的条件、时间和方式向设计人支付合同价款。</w:t>
      </w:r>
    </w:p>
    <w:p w14:paraId="1EF25BC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rPr>
        <w:t>.设计人开始设计日期：</w:t>
      </w:r>
      <w:r>
        <w:rPr>
          <w:rFonts w:hint="eastAsia" w:asciiTheme="minorEastAsia" w:hAnsiTheme="minorEastAsia" w:eastAsiaTheme="minorEastAsia" w:cstheme="minorEastAsia"/>
          <w:color w:val="auto"/>
          <w:sz w:val="24"/>
          <w:szCs w:val="24"/>
          <w:highlight w:val="none"/>
          <w:u w:val="single"/>
        </w:rPr>
        <w:t>202</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 xml:space="preserve">年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月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日 </w:t>
      </w:r>
      <w:r>
        <w:rPr>
          <w:rFonts w:hint="eastAsia" w:asciiTheme="minorEastAsia" w:hAnsiTheme="minorEastAsia" w:eastAsiaTheme="minorEastAsia" w:cstheme="minorEastAsia"/>
          <w:color w:val="auto"/>
          <w:sz w:val="24"/>
          <w:szCs w:val="24"/>
          <w:highlight w:val="none"/>
        </w:rPr>
        <w:t>，设计服务期限为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90</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日历</w:t>
      </w:r>
      <w:r>
        <w:rPr>
          <w:rFonts w:hint="eastAsia" w:asciiTheme="minorEastAsia" w:hAnsiTheme="minorEastAsia" w:eastAsiaTheme="minorEastAsia" w:cstheme="minorEastAsia"/>
          <w:color w:val="auto"/>
          <w:sz w:val="24"/>
          <w:szCs w:val="24"/>
          <w:highlight w:val="none"/>
        </w:rPr>
        <w:t>天。</w:t>
      </w:r>
    </w:p>
    <w:p w14:paraId="6A86890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.本合同协议书一式</w:t>
      </w:r>
      <w:r>
        <w:rPr>
          <w:rFonts w:hint="eastAsia" w:asciiTheme="minorEastAsia" w:hAnsiTheme="minorEastAsia" w:eastAsiaTheme="minorEastAsia" w:cstheme="minorEastAsia"/>
          <w:color w:val="auto"/>
          <w:sz w:val="24"/>
          <w:szCs w:val="24"/>
          <w:highlight w:val="none"/>
          <w:u w:val="single"/>
        </w:rPr>
        <w:t xml:space="preserve"> 捌 </w:t>
      </w:r>
      <w:r>
        <w:rPr>
          <w:rFonts w:hint="eastAsia" w:asciiTheme="minorEastAsia" w:hAnsiTheme="minorEastAsia" w:eastAsiaTheme="minorEastAsia" w:cstheme="minorEastAsia"/>
          <w:color w:val="auto"/>
          <w:sz w:val="24"/>
          <w:szCs w:val="24"/>
          <w:highlight w:val="none"/>
        </w:rPr>
        <w:t>份，合同双方各执</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份，经双方加盖公章或合同章，双方代表签字或盖章后生效。</w:t>
      </w:r>
    </w:p>
    <w:p w14:paraId="778C56D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.合同未尽事宜，双方另行签订补充协议。补充协议是合同的组成部分，与本合同具有同等法律效力。</w:t>
      </w:r>
    </w:p>
    <w:tbl>
      <w:tblPr>
        <w:tblStyle w:val="14"/>
        <w:tblW w:w="8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78"/>
        <w:gridCol w:w="2550"/>
        <w:gridCol w:w="1924"/>
        <w:gridCol w:w="2506"/>
      </w:tblGrid>
      <w:tr w14:paraId="40B74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39C4D81F">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发包人(甲方)：</w:t>
            </w:r>
          </w:p>
        </w:tc>
        <w:tc>
          <w:tcPr>
            <w:tcW w:w="2550" w:type="dxa"/>
          </w:tcPr>
          <w:p w14:paraId="537A132F">
            <w:pPr>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（盖章）</w:t>
            </w:r>
          </w:p>
        </w:tc>
        <w:tc>
          <w:tcPr>
            <w:tcW w:w="1924" w:type="dxa"/>
          </w:tcPr>
          <w:p w14:paraId="38135ADC">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设计人（乙方）：</w:t>
            </w:r>
          </w:p>
        </w:tc>
        <w:tc>
          <w:tcPr>
            <w:tcW w:w="2506" w:type="dxa"/>
          </w:tcPr>
          <w:p w14:paraId="1FCC5877">
            <w:pPr>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（盖章）</w:t>
            </w:r>
          </w:p>
        </w:tc>
      </w:tr>
      <w:tr w14:paraId="1F35C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2AD511B0">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法定代表人：</w:t>
            </w:r>
          </w:p>
        </w:tc>
        <w:tc>
          <w:tcPr>
            <w:tcW w:w="2550" w:type="dxa"/>
          </w:tcPr>
          <w:p w14:paraId="09726659">
            <w:pPr>
              <w:ind w:firstLine="480"/>
              <w:rPr>
                <w:rFonts w:asciiTheme="minorEastAsia" w:hAnsiTheme="minorEastAsia" w:eastAsiaTheme="minorEastAsia" w:cstheme="minorEastAsia"/>
                <w:color w:val="auto"/>
                <w:sz w:val="24"/>
                <w:szCs w:val="24"/>
                <w:highlight w:val="none"/>
              </w:rPr>
            </w:pPr>
          </w:p>
        </w:tc>
        <w:tc>
          <w:tcPr>
            <w:tcW w:w="1924" w:type="dxa"/>
          </w:tcPr>
          <w:p w14:paraId="2DFF14EF">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法定代表人：</w:t>
            </w:r>
          </w:p>
        </w:tc>
        <w:tc>
          <w:tcPr>
            <w:tcW w:w="2506" w:type="dxa"/>
          </w:tcPr>
          <w:p w14:paraId="28D505FB">
            <w:pPr>
              <w:ind w:firstLine="480"/>
              <w:rPr>
                <w:rFonts w:asciiTheme="minorEastAsia" w:hAnsiTheme="minorEastAsia" w:eastAsiaTheme="minorEastAsia" w:cstheme="minorEastAsia"/>
                <w:color w:val="auto"/>
                <w:sz w:val="24"/>
                <w:szCs w:val="24"/>
                <w:highlight w:val="none"/>
              </w:rPr>
            </w:pPr>
          </w:p>
        </w:tc>
      </w:tr>
      <w:tr w14:paraId="511D4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42AD076C">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开户银行：</w:t>
            </w:r>
          </w:p>
        </w:tc>
        <w:tc>
          <w:tcPr>
            <w:tcW w:w="2550" w:type="dxa"/>
          </w:tcPr>
          <w:p w14:paraId="7261B7A0">
            <w:pPr>
              <w:ind w:firstLine="480"/>
              <w:rPr>
                <w:rFonts w:asciiTheme="minorEastAsia" w:hAnsiTheme="minorEastAsia" w:eastAsiaTheme="minorEastAsia" w:cstheme="minorEastAsia"/>
                <w:color w:val="auto"/>
                <w:sz w:val="24"/>
                <w:szCs w:val="24"/>
                <w:highlight w:val="none"/>
              </w:rPr>
            </w:pPr>
          </w:p>
        </w:tc>
        <w:tc>
          <w:tcPr>
            <w:tcW w:w="1924" w:type="dxa"/>
          </w:tcPr>
          <w:p w14:paraId="0C2FD9CD">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开户银行：</w:t>
            </w:r>
          </w:p>
        </w:tc>
        <w:tc>
          <w:tcPr>
            <w:tcW w:w="2506" w:type="dxa"/>
          </w:tcPr>
          <w:p w14:paraId="0620C75D">
            <w:pPr>
              <w:ind w:firstLine="480"/>
              <w:rPr>
                <w:rFonts w:asciiTheme="minorEastAsia" w:hAnsiTheme="minorEastAsia" w:eastAsiaTheme="minorEastAsia" w:cstheme="minorEastAsia"/>
                <w:color w:val="auto"/>
                <w:sz w:val="24"/>
                <w:szCs w:val="24"/>
                <w:highlight w:val="none"/>
              </w:rPr>
            </w:pPr>
          </w:p>
        </w:tc>
      </w:tr>
      <w:tr w14:paraId="7FA10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648E94E4">
            <w:pPr>
              <w:ind w:firstLine="0" w:firstLineChars="0"/>
              <w:jc w:val="distribute"/>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银行账号：</w:t>
            </w:r>
          </w:p>
        </w:tc>
        <w:tc>
          <w:tcPr>
            <w:tcW w:w="2550" w:type="dxa"/>
          </w:tcPr>
          <w:p w14:paraId="6FE97956">
            <w:pPr>
              <w:ind w:firstLine="480"/>
              <w:rPr>
                <w:rFonts w:asciiTheme="minorEastAsia" w:hAnsiTheme="minorEastAsia" w:eastAsiaTheme="minorEastAsia" w:cstheme="minorEastAsia"/>
                <w:color w:val="auto"/>
                <w:sz w:val="24"/>
                <w:szCs w:val="24"/>
                <w:highlight w:val="none"/>
              </w:rPr>
            </w:pPr>
          </w:p>
        </w:tc>
        <w:tc>
          <w:tcPr>
            <w:tcW w:w="1924" w:type="dxa"/>
          </w:tcPr>
          <w:p w14:paraId="62504C63">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银行账号：</w:t>
            </w:r>
          </w:p>
        </w:tc>
        <w:tc>
          <w:tcPr>
            <w:tcW w:w="2506" w:type="dxa"/>
          </w:tcPr>
          <w:p w14:paraId="7A11CCDC">
            <w:pPr>
              <w:ind w:firstLine="480"/>
              <w:rPr>
                <w:rFonts w:asciiTheme="minorEastAsia" w:hAnsiTheme="minorEastAsia" w:eastAsiaTheme="minorEastAsia" w:cstheme="minorEastAsia"/>
                <w:color w:val="auto"/>
                <w:sz w:val="24"/>
                <w:szCs w:val="24"/>
                <w:highlight w:val="none"/>
              </w:rPr>
            </w:pPr>
          </w:p>
        </w:tc>
      </w:tr>
      <w:tr w14:paraId="00BF0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1878" w:type="dxa"/>
          </w:tcPr>
          <w:p w14:paraId="1C9FD102">
            <w:pPr>
              <w:ind w:firstLine="0" w:firstLineChars="0"/>
              <w:jc w:val="distribute"/>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签订日期：</w:t>
            </w:r>
          </w:p>
        </w:tc>
        <w:tc>
          <w:tcPr>
            <w:tcW w:w="2550" w:type="dxa"/>
          </w:tcPr>
          <w:p w14:paraId="4694708C">
            <w:pPr>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202</w:t>
            </w:r>
            <w:r>
              <w:rPr>
                <w:rFonts w:hint="eastAsia" w:asciiTheme="minorEastAsia" w:hAnsiTheme="minorEastAsia" w:eastAsiaTheme="minorEastAsia" w:cstheme="minorEastAsia"/>
                <w:color w:val="auto"/>
                <w:sz w:val="24"/>
                <w:szCs w:val="28"/>
                <w:highlight w:val="none"/>
                <w:lang w:val="en-US" w:eastAsia="zh-CN"/>
              </w:rPr>
              <w:t>6</w:t>
            </w:r>
            <w:r>
              <w:rPr>
                <w:rFonts w:hint="eastAsia" w:asciiTheme="minorEastAsia" w:hAnsiTheme="minorEastAsia" w:eastAsiaTheme="minorEastAsia" w:cstheme="minorEastAsia"/>
                <w:color w:val="auto"/>
                <w:sz w:val="24"/>
                <w:szCs w:val="28"/>
                <w:highlight w:val="none"/>
              </w:rPr>
              <w:t>年  月  日</w:t>
            </w:r>
          </w:p>
        </w:tc>
        <w:tc>
          <w:tcPr>
            <w:tcW w:w="1924" w:type="dxa"/>
          </w:tcPr>
          <w:p w14:paraId="2B54CC68">
            <w:pPr>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签订日期：</w:t>
            </w:r>
          </w:p>
        </w:tc>
        <w:tc>
          <w:tcPr>
            <w:tcW w:w="2506" w:type="dxa"/>
          </w:tcPr>
          <w:p w14:paraId="7B7AC9D4">
            <w:pPr>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8"/>
                <w:highlight w:val="none"/>
              </w:rPr>
              <w:t>202</w:t>
            </w:r>
            <w:r>
              <w:rPr>
                <w:rFonts w:hint="eastAsia" w:asciiTheme="minorEastAsia" w:hAnsiTheme="minorEastAsia" w:eastAsiaTheme="minorEastAsia" w:cstheme="minorEastAsia"/>
                <w:color w:val="auto"/>
                <w:sz w:val="24"/>
                <w:szCs w:val="28"/>
                <w:highlight w:val="none"/>
                <w:lang w:val="en-US" w:eastAsia="zh-CN"/>
              </w:rPr>
              <w:t>6</w:t>
            </w:r>
            <w:r>
              <w:rPr>
                <w:rFonts w:hint="eastAsia" w:asciiTheme="minorEastAsia" w:hAnsiTheme="minorEastAsia" w:eastAsiaTheme="minorEastAsia" w:cstheme="minorEastAsia"/>
                <w:color w:val="auto"/>
                <w:sz w:val="24"/>
                <w:szCs w:val="28"/>
                <w:highlight w:val="none"/>
              </w:rPr>
              <w:t>年  月  日</w:t>
            </w:r>
          </w:p>
        </w:tc>
      </w:tr>
    </w:tbl>
    <w:p w14:paraId="7925CC35">
      <w:pPr>
        <w:ind w:firstLine="480"/>
        <w:rPr>
          <w:rFonts w:asciiTheme="minorEastAsia" w:hAnsiTheme="minorEastAsia" w:eastAsiaTheme="minorEastAsia" w:cstheme="minorEastAsia"/>
          <w:color w:val="auto"/>
          <w:sz w:val="24"/>
          <w:szCs w:val="24"/>
          <w:highlight w:val="none"/>
        </w:rPr>
      </w:pPr>
    </w:p>
    <w:p w14:paraId="04496270">
      <w:pPr>
        <w:ind w:firstLine="480"/>
        <w:rPr>
          <w:rFonts w:asciiTheme="minorEastAsia" w:hAnsiTheme="minorEastAsia" w:eastAsiaTheme="minorEastAsia" w:cstheme="minorEastAsia"/>
          <w:color w:val="auto"/>
          <w:sz w:val="24"/>
          <w:szCs w:val="24"/>
          <w:highlight w:val="none"/>
        </w:rPr>
      </w:pPr>
    </w:p>
    <w:p w14:paraId="63FF0D42">
      <w:pPr>
        <w:tabs>
          <w:tab w:val="left" w:pos="440"/>
          <w:tab w:val="left" w:pos="5060"/>
        </w:tabs>
        <w:ind w:firstLine="480"/>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p>
    <w:p w14:paraId="6632AD48">
      <w:pPr>
        <w:widowControl/>
        <w:tabs>
          <w:tab w:val="left" w:pos="440"/>
          <w:tab w:val="left" w:pos="5060"/>
        </w:tabs>
        <w:wordWrap w:val="0"/>
        <w:ind w:firstLine="480"/>
        <w:rPr>
          <w:rFonts w:asciiTheme="minorEastAsia" w:hAnsiTheme="minorEastAsia" w:eastAsiaTheme="minorEastAsia" w:cstheme="minorEastAsia"/>
          <w:color w:val="auto"/>
          <w:sz w:val="24"/>
          <w:szCs w:val="28"/>
          <w:highlight w:val="none"/>
        </w:rPr>
      </w:pPr>
    </w:p>
    <w:p w14:paraId="2B8021F2">
      <w:pPr>
        <w:widowControl/>
        <w:tabs>
          <w:tab w:val="left" w:pos="440"/>
          <w:tab w:val="left" w:pos="5060"/>
        </w:tabs>
        <w:wordWrap w:val="0"/>
        <w:ind w:firstLine="480"/>
        <w:rPr>
          <w:rFonts w:asciiTheme="minorEastAsia" w:hAnsiTheme="minorEastAsia" w:eastAsiaTheme="minorEastAsia" w:cstheme="minorEastAsia"/>
          <w:color w:val="auto"/>
          <w:sz w:val="24"/>
          <w:szCs w:val="28"/>
          <w:highlight w:val="none"/>
        </w:rPr>
      </w:pP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r>
        <w:rPr>
          <w:rFonts w:hint="eastAsia" w:asciiTheme="minorEastAsia" w:hAnsiTheme="minorEastAsia" w:eastAsiaTheme="minorEastAsia" w:cstheme="minorEastAsia"/>
          <w:color w:val="auto"/>
          <w:sz w:val="24"/>
          <w:szCs w:val="28"/>
          <w:highlight w:val="none"/>
        </w:rPr>
        <w:tab/>
      </w:r>
    </w:p>
    <w:p w14:paraId="00B55834">
      <w:pPr>
        <w:tabs>
          <w:tab w:val="left" w:pos="440"/>
          <w:tab w:val="left" w:pos="5060"/>
        </w:tabs>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8"/>
          <w:highlight w:val="none"/>
        </w:rPr>
        <w:tab/>
      </w:r>
    </w:p>
    <w:p w14:paraId="66D8A94E">
      <w:pPr>
        <w:ind w:firstLine="562"/>
        <w:rPr>
          <w:rFonts w:asciiTheme="minorEastAsia" w:hAnsiTheme="minorEastAsia" w:eastAsiaTheme="minorEastAsia" w:cstheme="minorEastAsia"/>
          <w:b/>
          <w:color w:val="auto"/>
          <w:sz w:val="28"/>
          <w:szCs w:val="21"/>
          <w:highlight w:val="none"/>
        </w:rPr>
      </w:pPr>
      <w:r>
        <w:rPr>
          <w:rFonts w:hint="eastAsia" w:asciiTheme="minorEastAsia" w:hAnsiTheme="minorEastAsia" w:eastAsiaTheme="minorEastAsia" w:cstheme="minorEastAsia"/>
          <w:b/>
          <w:color w:val="auto"/>
          <w:sz w:val="28"/>
          <w:szCs w:val="21"/>
          <w:highlight w:val="none"/>
        </w:rPr>
        <w:br w:type="page"/>
      </w:r>
    </w:p>
    <w:p w14:paraId="046B970D">
      <w:pPr>
        <w:pStyle w:val="4"/>
        <w:numPr>
          <w:ilvl w:val="1"/>
          <w:numId w:val="0"/>
        </w:numPr>
        <w:jc w:val="center"/>
        <w:rPr>
          <w:rFonts w:asciiTheme="minorEastAsia" w:hAnsiTheme="minorEastAsia" w:eastAsiaTheme="minorEastAsia" w:cstheme="minorEastAsia"/>
          <w:color w:val="auto"/>
          <w:sz w:val="28"/>
          <w:szCs w:val="21"/>
          <w:highlight w:val="none"/>
        </w:rPr>
      </w:pPr>
      <w:r>
        <w:rPr>
          <w:rFonts w:hint="eastAsia" w:asciiTheme="minorEastAsia" w:hAnsiTheme="minorEastAsia" w:eastAsiaTheme="minorEastAsia" w:cstheme="minorEastAsia"/>
          <w:color w:val="auto"/>
          <w:sz w:val="28"/>
          <w:szCs w:val="21"/>
          <w:highlight w:val="none"/>
        </w:rPr>
        <w:t>第二节  通用合同条款</w:t>
      </w:r>
      <w:bookmarkEnd w:id="4"/>
      <w:bookmarkEnd w:id="5"/>
      <w:bookmarkEnd w:id="6"/>
      <w:bookmarkEnd w:id="7"/>
    </w:p>
    <w:bookmarkEnd w:id="8"/>
    <w:p w14:paraId="1039FEAA">
      <w:pPr>
        <w:ind w:firstLine="480"/>
        <w:rPr>
          <w:rFonts w:hint="eastAsia" w:asciiTheme="minorEastAsia" w:hAnsiTheme="minorEastAsia" w:eastAsiaTheme="minorEastAsia" w:cstheme="minorEastAsia"/>
          <w:color w:val="auto"/>
          <w:sz w:val="24"/>
          <w:szCs w:val="24"/>
          <w:highlight w:val="none"/>
          <w:lang w:eastAsia="zh-CN"/>
        </w:rPr>
      </w:pPr>
      <w:bookmarkStart w:id="9" w:name="page69"/>
      <w:bookmarkEnd w:id="9"/>
      <w:r>
        <w:rPr>
          <w:rFonts w:hint="eastAsia" w:asciiTheme="minorEastAsia" w:hAnsiTheme="minorEastAsia" w:eastAsiaTheme="minorEastAsia" w:cstheme="minorEastAsia"/>
          <w:b/>
          <w:bCs/>
          <w:color w:val="auto"/>
          <w:sz w:val="24"/>
          <w:szCs w:val="24"/>
          <w:highlight w:val="none"/>
          <w:lang w:eastAsia="zh-CN"/>
        </w:rPr>
        <w:t>略，详见</w:t>
      </w:r>
      <w:r>
        <w:rPr>
          <w:rFonts w:hint="eastAsia" w:asciiTheme="minorEastAsia" w:hAnsiTheme="minorEastAsia" w:eastAsiaTheme="minorEastAsia" w:cstheme="minorEastAsia"/>
          <w:b/>
          <w:bCs/>
          <w:color w:val="auto"/>
          <w:sz w:val="24"/>
          <w:szCs w:val="24"/>
          <w:highlight w:val="none"/>
          <w:lang w:val="en-US" w:eastAsia="zh-CN"/>
        </w:rPr>
        <w:t>GF-2015-0209《</w:t>
      </w:r>
      <w:r>
        <w:rPr>
          <w:rFonts w:hint="eastAsia" w:asciiTheme="minorEastAsia" w:hAnsiTheme="minorEastAsia" w:eastAsiaTheme="minorEastAsia" w:cstheme="minorEastAsia"/>
          <w:b/>
          <w:bCs/>
          <w:color w:val="auto"/>
          <w:sz w:val="24"/>
          <w:szCs w:val="24"/>
          <w:highlight w:val="none"/>
          <w:lang w:eastAsia="zh-CN"/>
        </w:rPr>
        <w:t>建设工程设计合同示范文本（房屋建筑工程）》</w:t>
      </w:r>
    </w:p>
    <w:p w14:paraId="195C3F1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42237500">
      <w:pPr>
        <w:pStyle w:val="4"/>
        <w:ind w:firstLine="643"/>
        <w:jc w:val="center"/>
        <w:rPr>
          <w:rFonts w:asciiTheme="minorEastAsia" w:hAnsiTheme="minorEastAsia" w:eastAsiaTheme="minorEastAsia" w:cstheme="minorEastAsia"/>
          <w:color w:val="auto"/>
          <w:sz w:val="28"/>
          <w:szCs w:val="21"/>
          <w:highlight w:val="none"/>
        </w:rPr>
      </w:pPr>
      <w:bookmarkStart w:id="10" w:name="_Toc503605321"/>
      <w:bookmarkStart w:id="11" w:name="_Toc31582"/>
      <w:bookmarkStart w:id="12" w:name="_Toc3773"/>
      <w:r>
        <w:rPr>
          <w:rFonts w:hint="eastAsia" w:asciiTheme="minorEastAsia" w:hAnsiTheme="minorEastAsia" w:eastAsiaTheme="minorEastAsia" w:cstheme="minorEastAsia"/>
          <w:color w:val="auto"/>
          <w:sz w:val="28"/>
          <w:szCs w:val="21"/>
          <w:highlight w:val="none"/>
        </w:rPr>
        <w:t>第三节  专用合同条款</w:t>
      </w:r>
      <w:bookmarkEnd w:id="10"/>
      <w:bookmarkEnd w:id="11"/>
      <w:bookmarkEnd w:id="12"/>
    </w:p>
    <w:p w14:paraId="07CB0F07">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1.适用法律</w:t>
      </w:r>
    </w:p>
    <w:p w14:paraId="2F9FA85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（1）《中华人民共和国建筑法》《中华人民共和国民法典》。</w:t>
      </w:r>
    </w:p>
    <w:p w14:paraId="29F2AE5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（2）国家及地方有关建设工程勘察设计管理法规和规章。</w:t>
      </w:r>
    </w:p>
    <w:p w14:paraId="19E41A7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（3）建设工程批准文件。</w:t>
      </w:r>
    </w:p>
    <w:p w14:paraId="3F94D2BD">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 xml:space="preserve"> 合同文件的优先顺序</w:t>
      </w:r>
    </w:p>
    <w:p w14:paraId="5AB3D8D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构成本合同的文件可视为是能互相说明的,如果合同文件存在歧义或不一致,则根据如下优先次序来判断：</w:t>
      </w:r>
    </w:p>
    <w:p w14:paraId="4ED7AC3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（1）合同书；</w:t>
      </w:r>
    </w:p>
    <w:p w14:paraId="7E8CCFA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成交</w:t>
      </w:r>
      <w:r>
        <w:rPr>
          <w:rFonts w:hint="eastAsia" w:asciiTheme="minorEastAsia" w:hAnsiTheme="minorEastAsia" w:eastAsiaTheme="minorEastAsia" w:cstheme="minorEastAsia"/>
          <w:color w:val="auto"/>
          <w:sz w:val="24"/>
          <w:szCs w:val="24"/>
          <w:highlight w:val="none"/>
        </w:rPr>
        <w:t>通知书；</w:t>
      </w:r>
    </w:p>
    <w:p w14:paraId="1CBBB850">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响应文件</w:t>
      </w:r>
      <w:r>
        <w:rPr>
          <w:rFonts w:hint="eastAsia" w:asciiTheme="minorEastAsia" w:hAnsiTheme="minorEastAsia" w:eastAsiaTheme="minorEastAsia" w:cstheme="minorEastAsia"/>
          <w:color w:val="auto"/>
          <w:sz w:val="24"/>
          <w:szCs w:val="24"/>
          <w:highlight w:val="none"/>
        </w:rPr>
        <w:t>；</w:t>
      </w:r>
    </w:p>
    <w:p w14:paraId="5CF660A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（4）委托人要求及委托书。</w:t>
      </w:r>
    </w:p>
    <w:p w14:paraId="673ADBF2">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文件的提供和照管</w:t>
      </w:r>
    </w:p>
    <w:p w14:paraId="630890D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3.1</w:t>
      </w:r>
      <w:r>
        <w:rPr>
          <w:rFonts w:hint="eastAsia" w:asciiTheme="minorEastAsia" w:hAnsiTheme="minorEastAsia" w:eastAsiaTheme="minorEastAsia" w:cstheme="minorEastAsia"/>
          <w:bCs/>
          <w:color w:val="auto"/>
          <w:sz w:val="24"/>
          <w:szCs w:val="24"/>
          <w:highlight w:val="none"/>
        </w:rPr>
        <w:t xml:space="preserve"> 设计文件的提供</w:t>
      </w:r>
    </w:p>
    <w:p w14:paraId="0CC0F21F">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（1）提交初步设计文件及概算送审稿3份；根据发包人和上级主管部门审查意见，对初步设计文件进行修改完善，并提交初步设计文件修编稿6份；</w:t>
      </w:r>
    </w:p>
    <w:p w14:paraId="6CF3C5BD">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（2）初步设计最终成果要求：设计阶段包含初步设计，按阶段提供初设说明和初设图纸、概算6份，电子版文件（U 盘内）3 份。</w:t>
      </w:r>
    </w:p>
    <w:p w14:paraId="4E7E1003">
      <w:pPr>
        <w:pStyle w:val="8"/>
        <w:spacing w:after="0"/>
        <w:ind w:firstLine="48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（3）施工图设计最终成果要求：提交折叠蓝图8份，电子版文件（U 盘内）3 份。</w:t>
      </w:r>
    </w:p>
    <w:p w14:paraId="54B24410">
      <w:pPr>
        <w:pStyle w:val="8"/>
        <w:spacing w:after="0"/>
        <w:ind w:firstLine="480"/>
        <w:rPr>
          <w:rFonts w:asciiTheme="minorEastAsia" w:hAnsiTheme="minorEastAsia" w:eastAsiaTheme="minorEastAsia" w:cstheme="minorEastAsia"/>
          <w:color w:val="auto"/>
          <w:highlight w:val="none"/>
        </w:rPr>
      </w:pPr>
      <w:bookmarkStart w:id="20" w:name="_GoBack"/>
      <w:bookmarkEnd w:id="20"/>
      <w:r>
        <w:rPr>
          <w:rFonts w:hint="eastAsia" w:asciiTheme="minorEastAsia" w:hAnsiTheme="minorEastAsia" w:eastAsiaTheme="minorEastAsia" w:cstheme="minorEastAsia"/>
          <w:color w:val="auto"/>
          <w:sz w:val="24"/>
          <w:szCs w:val="24"/>
          <w:highlight w:val="none"/>
          <w:lang w:val="en-US" w:eastAsia="zh-CN"/>
        </w:rPr>
        <w:t>3.2</w:t>
      </w:r>
      <w:r>
        <w:rPr>
          <w:rFonts w:hint="eastAsia" w:asciiTheme="minorEastAsia" w:hAnsiTheme="minorEastAsia" w:eastAsiaTheme="minorEastAsia" w:cstheme="minorEastAsia"/>
          <w:color w:val="auto"/>
          <w:sz w:val="24"/>
          <w:szCs w:val="24"/>
          <w:highlight w:val="none"/>
        </w:rPr>
        <w:t xml:space="preserve"> 设计依据</w:t>
      </w:r>
    </w:p>
    <w:p w14:paraId="23864D10">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（1）发包人给设计人的委托书</w:t>
      </w:r>
    </w:p>
    <w:p w14:paraId="44F5994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（2）发包人提交的基础资料</w:t>
      </w:r>
    </w:p>
    <w:p w14:paraId="794BCCC8">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（3）设计人采用的主要技术标准</w:t>
      </w:r>
    </w:p>
    <w:p w14:paraId="1797185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（4）设计应符合相关专业的现行技术规范，以及招标文件的技术要求。</w:t>
      </w:r>
    </w:p>
    <w:p w14:paraId="75E8E328">
      <w:pPr>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（5）设计应符合《建筑工程设计文件编制深度规定》(2016年版)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《民用建筑设计统一标准》GB 50352-2019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《建筑设计防火规范》GB 55037-2022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《住宅设计规范》GB 50096-2011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《城市居住区规划设计标准》GB50180-2018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《城镇道路路面设计规范》CJJ 169-2012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《城镇燃气设计规范》GB50028-2006(2020年版)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《燃气工程项目规范》GB55009-2021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《城市工程管线综合规划规范》GB50289-2016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《城市给水工程规划规范》GB 50282-2016</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《建筑给水排水设计标准》GB 50015-2019</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《室外给水设计标准》GB 50013-2018</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《室外排水设计标准》GB 50014-2021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《建筑灭火器配置设计规范》GB50140-2005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《消防给水及消火栓系统技术规范》GB50974-2014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《城镇供热管网设计规范》CJJ 34-2010</w:t>
      </w:r>
      <w:r>
        <w:rPr>
          <w:rFonts w:hint="eastAsia" w:asciiTheme="minorEastAsia" w:hAnsiTheme="minorEastAsia" w:eastAsiaTheme="minorEastAsia" w:cstheme="minorEastAsia"/>
          <w:color w:val="auto"/>
          <w:sz w:val="24"/>
          <w:szCs w:val="24"/>
          <w:highlight w:val="none"/>
          <w:lang w:eastAsia="zh-CN"/>
        </w:rPr>
        <w:t>。</w:t>
      </w:r>
    </w:p>
    <w:p w14:paraId="6331487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（6）设计应充分考虑到发包人的要求。</w:t>
      </w:r>
    </w:p>
    <w:p w14:paraId="5CA6EECB">
      <w:pPr>
        <w:pStyle w:val="5"/>
        <w:ind w:firstLine="480"/>
        <w:rPr>
          <w:rFonts w:asciiTheme="minorEastAsia" w:hAnsiTheme="minorEastAsia" w:eastAsiaTheme="minorEastAsia" w:cstheme="minorEastAsia"/>
          <w:b w:val="0"/>
          <w:color w:val="auto"/>
          <w:sz w:val="24"/>
          <w:szCs w:val="24"/>
          <w:highlight w:val="none"/>
        </w:rPr>
      </w:pPr>
      <w:bookmarkStart w:id="13" w:name="_Toc7788"/>
      <w:r>
        <w:rPr>
          <w:rFonts w:hint="eastAsia" w:asciiTheme="minorEastAsia" w:hAnsiTheme="minorEastAsia" w:eastAsiaTheme="minorEastAsia" w:cstheme="minorEastAsia"/>
          <w:b w:val="0"/>
          <w:color w:val="auto"/>
          <w:sz w:val="24"/>
          <w:szCs w:val="24"/>
          <w:highlight w:val="none"/>
          <w:lang w:val="en-US" w:eastAsia="zh-CN"/>
        </w:rPr>
        <w:t>4.</w:t>
      </w:r>
      <w:r>
        <w:rPr>
          <w:rFonts w:hint="eastAsia" w:asciiTheme="minorEastAsia" w:hAnsiTheme="minorEastAsia" w:eastAsiaTheme="minorEastAsia" w:cstheme="minorEastAsia"/>
          <w:b w:val="0"/>
          <w:color w:val="auto"/>
          <w:sz w:val="24"/>
          <w:szCs w:val="24"/>
          <w:highlight w:val="none"/>
        </w:rPr>
        <w:t>设计责任与保险</w:t>
      </w:r>
      <w:bookmarkEnd w:id="13"/>
    </w:p>
    <w:p w14:paraId="04135A0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（1）发包人责任</w:t>
      </w:r>
    </w:p>
    <w:p w14:paraId="2B1D24E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①发包人按本合同通用条款1.6.2规定的内容，在规定的时间内向设计人提交基础资料及文件，并对其完整性、正确性及时限负责。发包人不得要求设计人违反国家有关标准进行设计。</w:t>
      </w:r>
    </w:p>
    <w:p w14:paraId="6906BB7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发包人向设计人提交设计任务书及前期相关资料超过规定期限15天以内，设计人按本合同通用条款第6条规定的交付设计文件时间顺延；发包人交付上述资料及文件超过规定期限15天以上时，设计人按照发包人提交资料时间顺延提交设计文件的时间。</w:t>
      </w:r>
    </w:p>
    <w:p w14:paraId="0DE7572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发包人变更委托设计项目、规模、条件或因提交的资料错误或所提供资料作较大修改，以致造成设计人出具的经发包人评审通过的设计成果返工时，设计人办理项目设计合同变更手续，按照已完且经发包人确认无异议的变更工程部分工程面积，以设计中标单平米价格的30%发包人向设计人支付变更部分设计人的返工费。</w:t>
      </w:r>
    </w:p>
    <w:p w14:paraId="6A7D97B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在合同履行期间，发包人要求终止或解除合同，设计人已开始设计工作的，发包人应根据设计人已进行的实际工作量进行费用核算，设计方案经发包人评审未通过的，设计人向发包人提供其当前方案文件，发包人按该中标设计费的5%支付设计费，剩余的设计费将不再支付；设计方案经发包人评审通过且设计图制作不足一半时，设计人向发包人提供其当前设计图纸，发包人按该中标设计费的</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0%支付设计费，剩余的设计费将不再支付；设计方案经发包人评审通过且设计图制作超过一半时，设计人向发包人提供</w:t>
      </w:r>
      <w:r>
        <w:rPr>
          <w:rFonts w:hint="eastAsia" w:asciiTheme="minorEastAsia" w:hAnsiTheme="minorEastAsia" w:eastAsiaTheme="minorEastAsia" w:cstheme="minorEastAsia"/>
          <w:color w:val="auto"/>
          <w:sz w:val="24"/>
          <w:szCs w:val="24"/>
          <w:highlight w:val="none"/>
          <w:lang w:val="en-US" w:eastAsia="zh-CN"/>
        </w:rPr>
        <w:t>齐</w:t>
      </w:r>
      <w:r>
        <w:rPr>
          <w:rFonts w:hint="eastAsia" w:asciiTheme="minorEastAsia" w:hAnsiTheme="minorEastAsia" w:eastAsiaTheme="minorEastAsia" w:cstheme="minorEastAsia"/>
          <w:color w:val="auto"/>
          <w:sz w:val="24"/>
          <w:szCs w:val="24"/>
          <w:highlight w:val="none"/>
        </w:rPr>
        <w:t>当前设计图纸，发包人按该中标设计费的</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rPr>
        <w:t>0%设计费，剩余的设计费将不再支付。</w:t>
      </w:r>
    </w:p>
    <w:p w14:paraId="1974A9EF">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⑤发包人应按本合同规定的金额和日期向设计人支付设计费，每逾期支付一天，应承担应支付金额银行同期存款利息的逾期违约金，且设计人提交设计文件的时间顺延。逾期超过30天以上时，设计人有权暂停履行下阶段工作，并书面通知发包人。发包人的上级或设计审批部门对设计文件审批或本合同项目停缓建，发包人按照专用条款第9条第④项约定支付相应的设计费。</w:t>
      </w:r>
    </w:p>
    <w:p w14:paraId="380DE39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⑥发包人要求设计人比合同规定时间提前交付设计文件时，须征得设计人同意,不得严重背离合理设计周期。</w:t>
      </w:r>
    </w:p>
    <w:p w14:paraId="52DEF70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（2）设计人责任</w:t>
      </w:r>
    </w:p>
    <w:p w14:paraId="3BDFD74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①设计人应按国家规定的和合同约定的技术规范、标准进行设计，按本合同第6条规定的内容、时间及份数向发包人交付纸质及电子设计文件，并对提交的设计文件的质量进度负责。</w:t>
      </w:r>
    </w:p>
    <w:p w14:paraId="344040E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②设计合理使用年限为国家相关规范规定年限。</w:t>
      </w:r>
    </w:p>
    <w:p w14:paraId="5721DAF6">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③负责对设计资料进行审查，设计人自行踏勘现场及调查详细地面附着物及地下管线情况。负责该合同项目的设计、勘查联络工作，相关费用由设计人自行承担。</w:t>
      </w:r>
    </w:p>
    <w:p w14:paraId="13F6138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④设计项目负责人更换，新的设计项目负责人相关资质不得低于投标的项目负责人，且必须先征得发包人同意。应在更换 14 天前将拟更换的项目负责人的姓名和详细资料提交发包人。项目负责人 2 天内不能履行职责的，应事先征得发包人同意，并委派代表代行其职责。设计人派驻现场的工作人员提供工作、生活及交通等方面及必要的劳动保护装备由设计人自行承担。</w:t>
      </w:r>
    </w:p>
    <w:p w14:paraId="4F3A81D2">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⑤设计文件必须符合所有上位条件，若与上位条件不符，后续产生的一切责任及损失均由设计人承担。另设计人应根据甲方上级政府部门评审意见及甲方相关要求按时对设计文件进行修改。</w:t>
      </w:r>
    </w:p>
    <w:p w14:paraId="4F5FF1D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⑥设计人对设计文件出现的遗漏或错误负责在不超过本合同约定工作范围内进行修改或补充。由于设计人设计错误造成工程质量事故，设计人除负责采取补救措施外，应免收损失部分的设计费，并根据损失向发包人支付等额赔偿金并处罚设计合同额5%的违约金，同时设计人需承担因此工程质量事故造成的人身损害和财产损失等全部费用，但最高不超过本合同设计费用总额，如有权机关判令发包人承担责任的，发包人承担责任后有权向设计人追偿。</w:t>
      </w:r>
    </w:p>
    <w:p w14:paraId="4C67A922">
      <w:pPr>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⑦由于设计人原因，延误了设计文件交付时间，每延误一天，应减收该项目应收设计费500元，减收总额不超过设计合同额的10%，延误超过30天的，发包人有权解除合同，设计人应向发包人支付设计合同总价款20％的违约金，违约金不足以弥补发包人全部损失的，设计人还应当予以补足，但最高不超过本合同设计费用总额。</w:t>
      </w:r>
    </w:p>
    <w:p w14:paraId="2D99AD02">
      <w:pPr>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⑧合同生效后,因设计人原因要求终止或解除合同,设计人应根据对发包人造成的不良影响向发包人支付赔偿金，赔偿金额为设计合同额的10%-20%，赔偿金不足以弥补发包人全部损失的，设计人还应当承担继续赔偿责任，但最高不超过本合同设计费用总额。</w:t>
      </w:r>
    </w:p>
    <w:p w14:paraId="10B8207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⑨设计人交付设计文件后，按规定参加有关上级的设计审查，并根据审查结论负责对审查内容做必要调整补充。设计人负责发包人项目施工招标工作，负责向发包人及施工单位进行设计交底、处理有关设计问题和参加竣工验收。在一年内项目尚未开始施工，如发包人要求设计人仍负责上述工作，设计人应积极配合发包人工作，发包人无需增加任何费用。</w:t>
      </w:r>
    </w:p>
    <w:p w14:paraId="0E0DC964">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⑩设计人在报建报审过程中，必须确保3次之内通过政府审批，否则视为延期交图，且此情形下发包人有权解除合同，设计人应当向发包人支付设计合同总金额20％的违约金，违约金不足以弥补全部损失的，还应承担继续赔偿责任。</w:t>
      </w:r>
    </w:p>
    <w:p w14:paraId="28795068">
      <w:pPr>
        <w:pStyle w:val="6"/>
        <w:spacing w:before="0" w:after="0" w:line="360" w:lineRule="auto"/>
        <w:ind w:firstLine="482"/>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合同价格</w:t>
      </w:r>
    </w:p>
    <w:p w14:paraId="3068C3FC">
      <w:pPr>
        <w:ind w:firstLine="48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sz w:val="24"/>
          <w:szCs w:val="24"/>
          <w:highlight w:val="none"/>
        </w:rPr>
        <w:t>设计费用：本合同设计费总额为￥</w:t>
      </w:r>
      <w:r>
        <w:rPr>
          <w:rFonts w:hint="eastAsia" w:asciiTheme="minorEastAsia" w:hAnsiTheme="minorEastAsia" w:eastAsiaTheme="minorEastAsia" w:cstheme="minorEastAsia"/>
          <w:bCs/>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元（ 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rPr>
        <w:t>）。</w:t>
      </w:r>
    </w:p>
    <w:p w14:paraId="27DE4D33">
      <w:pPr>
        <w:ind w:firstLine="48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lang w:val="en-US" w:eastAsia="zh-CN"/>
        </w:rPr>
        <w:t>5.1</w:t>
      </w:r>
      <w:r>
        <w:rPr>
          <w:rFonts w:hint="eastAsia" w:asciiTheme="minorEastAsia" w:hAnsiTheme="minorEastAsia" w:eastAsiaTheme="minorEastAsia" w:cstheme="minorEastAsia"/>
          <w:bCs/>
          <w:color w:val="auto"/>
          <w:sz w:val="24"/>
          <w:szCs w:val="24"/>
          <w:highlight w:val="none"/>
        </w:rPr>
        <w:t>合同支付</w:t>
      </w:r>
    </w:p>
    <w:p w14:paraId="78348E5D">
      <w:pPr>
        <w:pStyle w:val="5"/>
        <w:ind w:firstLine="480"/>
        <w:rPr>
          <w:rFonts w:hint="eastAsia" w:asciiTheme="minorEastAsia" w:hAnsiTheme="minorEastAsia" w:eastAsiaTheme="minorEastAsia" w:cstheme="minorEastAsia"/>
          <w:b w:val="0"/>
          <w:color w:val="auto"/>
          <w:sz w:val="24"/>
          <w:szCs w:val="24"/>
          <w:highlight w:val="none"/>
          <w:lang w:val="en-US" w:eastAsia="zh-CN"/>
        </w:rPr>
      </w:pPr>
      <w:bookmarkStart w:id="14" w:name="_Toc9175"/>
      <w:r>
        <w:rPr>
          <w:rFonts w:hint="eastAsia" w:asciiTheme="minorEastAsia" w:hAnsiTheme="minorEastAsia" w:eastAsiaTheme="minorEastAsia" w:cstheme="minorEastAsia"/>
          <w:b w:val="0"/>
          <w:color w:val="auto"/>
          <w:sz w:val="24"/>
          <w:szCs w:val="24"/>
          <w:highlight w:val="none"/>
          <w:lang w:val="en-US" w:eastAsia="zh-CN"/>
        </w:rPr>
        <w:t>全部成果文件交付甲方，经甲方对成果文件验收合格后付款100%。</w:t>
      </w:r>
    </w:p>
    <w:p w14:paraId="08519EA3">
      <w:pPr>
        <w:pStyle w:val="5"/>
        <w:ind w:firstLine="480"/>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付款采用银行转账方式。</w:t>
      </w:r>
    </w:p>
    <w:p w14:paraId="30B6D730">
      <w:pPr>
        <w:pStyle w:val="5"/>
        <w:ind w:firstLine="480"/>
        <w:rPr>
          <w:rFonts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lang w:val="en-US" w:eastAsia="zh-CN"/>
        </w:rPr>
        <w:t>6.</w:t>
      </w:r>
      <w:r>
        <w:rPr>
          <w:rFonts w:hint="eastAsia" w:asciiTheme="minorEastAsia" w:hAnsiTheme="minorEastAsia" w:eastAsiaTheme="minorEastAsia" w:cstheme="minorEastAsia"/>
          <w:b w:val="0"/>
          <w:color w:val="auto"/>
          <w:sz w:val="24"/>
          <w:szCs w:val="24"/>
          <w:highlight w:val="none"/>
        </w:rPr>
        <w:t>争议的解决</w:t>
      </w:r>
      <w:bookmarkEnd w:id="14"/>
    </w:p>
    <w:p w14:paraId="79AE4CD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本合同在发行过程中发生的争议，由双方当事人协商解决。双方协商不成或不愿协商的，可向工程所在地有管辖权的人民法院提起诉讼。</w:t>
      </w:r>
    </w:p>
    <w:p w14:paraId="1536A1D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其他补充内容</w:t>
      </w:r>
    </w:p>
    <w:p w14:paraId="1C93AF7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7.1</w:t>
      </w:r>
      <w:r>
        <w:rPr>
          <w:rFonts w:hint="eastAsia" w:asciiTheme="minorEastAsia" w:hAnsiTheme="minorEastAsia" w:eastAsiaTheme="minorEastAsia" w:cstheme="minorEastAsia"/>
          <w:color w:val="auto"/>
          <w:sz w:val="24"/>
          <w:szCs w:val="24"/>
          <w:highlight w:val="none"/>
        </w:rPr>
        <w:t>发包人要求设计人派专人前往施工现场进行配合与解决有关问题时，设计人应予以配合。设计人接到发包人电话或书面通知3日内不安排专人现场配合与解决有关问题时，按照每拖延一天1000元人民币承担违约赔偿。</w:t>
      </w:r>
    </w:p>
    <w:p w14:paraId="6F4E8B2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应当在收到或者应当收到甲方信息（包括但不限于联系单、电话通话、微信信息、邮件信息、短信信息等）的24小时内对甲方的要求做出回复。若设计人超过24小时仍未就甲方的信息做出回复，每延误一天，应减收该项目应收设计费1000元。</w:t>
      </w:r>
    </w:p>
    <w:p w14:paraId="67502F3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以上情况发生时，发包人有权寻找替代服务，在此期间产生的费用由设计人承担，发生上述情况达3次的，发包人有权解除合同，设计人应当向发包人承担设计合同总价款20％的违约金，违约金不足以弥补发包人全部损失的，还应承担继续赔偿责任，但最高不超过本合同设计费用总额。</w:t>
      </w:r>
    </w:p>
    <w:p w14:paraId="3EFAF969">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7.2</w:t>
      </w:r>
      <w:r>
        <w:rPr>
          <w:rFonts w:hint="eastAsia" w:asciiTheme="minorEastAsia" w:hAnsiTheme="minorEastAsia" w:eastAsiaTheme="minorEastAsia" w:cstheme="minorEastAsia"/>
          <w:color w:val="auto"/>
          <w:sz w:val="24"/>
          <w:szCs w:val="24"/>
          <w:highlight w:val="none"/>
        </w:rPr>
        <w:t>设计人为本合同项目的服务至竣工验收结束为止。</w:t>
      </w:r>
    </w:p>
    <w:p w14:paraId="0A08255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7.3</w:t>
      </w:r>
      <w:r>
        <w:rPr>
          <w:rFonts w:hint="eastAsia" w:asciiTheme="minorEastAsia" w:hAnsiTheme="minorEastAsia" w:eastAsiaTheme="minorEastAsia" w:cstheme="minorEastAsia"/>
          <w:color w:val="auto"/>
          <w:sz w:val="24"/>
          <w:szCs w:val="24"/>
          <w:highlight w:val="none"/>
        </w:rPr>
        <w:t>本工程项目中，设计人不得指定材料、设备的生产厂或供货商。发包人需要设计人配合材料、设备的加工订货时，所需配合费用由设计人自行承担。</w:t>
      </w:r>
    </w:p>
    <w:p w14:paraId="185E751C">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7.4</w:t>
      </w:r>
      <w:r>
        <w:rPr>
          <w:rFonts w:hint="eastAsia" w:asciiTheme="minorEastAsia" w:hAnsiTheme="minorEastAsia" w:eastAsiaTheme="minorEastAsia" w:cstheme="minorEastAsia"/>
          <w:color w:val="auto"/>
          <w:sz w:val="24"/>
          <w:szCs w:val="24"/>
          <w:highlight w:val="none"/>
        </w:rPr>
        <w:t>发包人委托设计人承担本合同内容以外的工作服务，另行签订协议并支付费用。</w:t>
      </w:r>
    </w:p>
    <w:p w14:paraId="3CA4B556">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7.5</w:t>
      </w:r>
      <w:r>
        <w:rPr>
          <w:rFonts w:hint="eastAsia" w:asciiTheme="minorEastAsia" w:hAnsiTheme="minorEastAsia" w:eastAsiaTheme="minorEastAsia" w:cstheme="minorEastAsia"/>
          <w:color w:val="auto"/>
          <w:sz w:val="24"/>
          <w:szCs w:val="24"/>
          <w:highlight w:val="none"/>
        </w:rPr>
        <w:t xml:space="preserve"> 由于不可抗力因素致使合同无法履行时，双方应及时协商解决。</w:t>
      </w:r>
    </w:p>
    <w:p w14:paraId="44CD88D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7.6</w:t>
      </w:r>
      <w:r>
        <w:rPr>
          <w:rFonts w:hint="eastAsia" w:asciiTheme="minorEastAsia" w:hAnsiTheme="minorEastAsia" w:eastAsiaTheme="minorEastAsia" w:cstheme="minorEastAsia"/>
          <w:color w:val="auto"/>
          <w:sz w:val="24"/>
          <w:szCs w:val="24"/>
          <w:highlight w:val="none"/>
        </w:rPr>
        <w:t xml:space="preserve">本合同双方法定代表人或授权代表签字并加盖公章即生效，一式 </w:t>
      </w:r>
      <w:r>
        <w:rPr>
          <w:rFonts w:hint="eastAsia" w:asciiTheme="minorEastAsia" w:hAnsiTheme="minorEastAsia" w:eastAsiaTheme="minorEastAsia" w:cstheme="minorEastAsia"/>
          <w:color w:val="auto"/>
          <w:sz w:val="24"/>
          <w:szCs w:val="24"/>
          <w:highlight w:val="none"/>
          <w:u w:val="single"/>
        </w:rPr>
        <w:t>捌</w:t>
      </w:r>
      <w:r>
        <w:rPr>
          <w:rFonts w:hint="eastAsia" w:asciiTheme="minorEastAsia" w:hAnsiTheme="minorEastAsia" w:eastAsiaTheme="minorEastAsia" w:cstheme="minorEastAsia"/>
          <w:color w:val="auto"/>
          <w:sz w:val="24"/>
          <w:szCs w:val="24"/>
          <w:highlight w:val="none"/>
        </w:rPr>
        <w:t xml:space="preserve"> 份，发包人</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份，设计人</w:t>
      </w:r>
      <w:r>
        <w:rPr>
          <w:rFonts w:hint="eastAsia" w:asciiTheme="minorEastAsia" w:hAnsiTheme="minorEastAsia" w:eastAsiaTheme="minorEastAsia" w:cstheme="minorEastAsia"/>
          <w:color w:val="auto"/>
          <w:sz w:val="24"/>
          <w:szCs w:val="24"/>
          <w:highlight w:val="none"/>
          <w:u w:val="single"/>
        </w:rPr>
        <w:t xml:space="preserve"> 肆 </w:t>
      </w:r>
      <w:r>
        <w:rPr>
          <w:rFonts w:hint="eastAsia" w:asciiTheme="minorEastAsia" w:hAnsiTheme="minorEastAsia" w:eastAsiaTheme="minorEastAsia" w:cstheme="minorEastAsia"/>
          <w:color w:val="auto"/>
          <w:sz w:val="24"/>
          <w:szCs w:val="24"/>
          <w:highlight w:val="none"/>
        </w:rPr>
        <w:t>份。</w:t>
      </w:r>
    </w:p>
    <w:p w14:paraId="5CF145F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7.7</w:t>
      </w:r>
      <w:r>
        <w:rPr>
          <w:rFonts w:hint="eastAsia" w:asciiTheme="minorEastAsia" w:hAnsiTheme="minorEastAsia" w:eastAsiaTheme="minorEastAsia" w:cstheme="minorEastAsia"/>
          <w:color w:val="auto"/>
          <w:sz w:val="24"/>
          <w:szCs w:val="24"/>
          <w:highlight w:val="none"/>
        </w:rPr>
        <w:t xml:space="preserve"> 双方履行完合同规定的义务后，本合同即行终止。</w:t>
      </w:r>
    </w:p>
    <w:p w14:paraId="015AA7D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7.8</w:t>
      </w:r>
      <w:r>
        <w:rPr>
          <w:rFonts w:hint="eastAsia" w:asciiTheme="minorEastAsia" w:hAnsiTheme="minorEastAsia" w:eastAsiaTheme="minorEastAsia" w:cstheme="minorEastAsia"/>
          <w:color w:val="auto"/>
          <w:sz w:val="24"/>
          <w:szCs w:val="24"/>
          <w:highlight w:val="none"/>
        </w:rPr>
        <w:t xml:space="preserve"> 双方认可的来往传真、电报、会议纪要等，均为合同的组成部分，与本合同具有同等法律效力。</w:t>
      </w:r>
    </w:p>
    <w:p w14:paraId="687E316A">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7.9</w:t>
      </w:r>
      <w:r>
        <w:rPr>
          <w:rFonts w:hint="eastAsia" w:asciiTheme="minorEastAsia" w:hAnsiTheme="minorEastAsia" w:eastAsiaTheme="minorEastAsia" w:cstheme="minorEastAsia"/>
          <w:color w:val="auto"/>
          <w:sz w:val="24"/>
          <w:szCs w:val="24"/>
          <w:highlight w:val="none"/>
        </w:rPr>
        <w:t>其它约定事项</w:t>
      </w:r>
    </w:p>
    <w:p w14:paraId="5EF75BBB">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本工程施工图交付发包人后，设计人仍应承担以下服务：</w:t>
      </w:r>
    </w:p>
    <w:p w14:paraId="3E4B956E">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.9.1 积极配合发包人的工程招标工作，进行施工图答疑。</w:t>
      </w:r>
    </w:p>
    <w:p w14:paraId="4F0CF89D">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.9.2 对施工单位进行施工图会审、交底。</w:t>
      </w:r>
    </w:p>
    <w:p w14:paraId="6060226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.9.3 在施工过程中，设计人指定专人负责施工配合，确保施工顺利进行。</w:t>
      </w:r>
    </w:p>
    <w:p w14:paraId="75BB8B05">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.9.4 及时向发包人提供设计修改变更图。</w:t>
      </w:r>
    </w:p>
    <w:p w14:paraId="7AB67953">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.9.5 积极参加发包人组织的隐蔽工程验收、中间验收和竣工验收。</w:t>
      </w:r>
    </w:p>
    <w:p w14:paraId="519249E7">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.9.6 若项目开工时间延期，此期间如设计规范、标准有变化，及时向发包人交底并变更设计图。</w:t>
      </w:r>
    </w:p>
    <w:p w14:paraId="162DBAA2">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.10 未尽事宜，经双方协商一致，签订补充协议，补充协议与本合同具有同等效力。</w:t>
      </w:r>
    </w:p>
    <w:p w14:paraId="187EB634">
      <w:pPr>
        <w:ind w:firstLine="48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.11本合同附件为本合同不可分割部分，与本合同具有同等的法律效力。</w:t>
      </w:r>
    </w:p>
    <w:p w14:paraId="7579D961">
      <w:pPr>
        <w:ind w:firstLine="480"/>
        <w:rPr>
          <w:rFonts w:asciiTheme="minorEastAsia" w:hAnsiTheme="minorEastAsia" w:eastAsiaTheme="minorEastAsia" w:cstheme="minorEastAsia"/>
          <w:color w:val="auto"/>
          <w:sz w:val="24"/>
          <w:szCs w:val="24"/>
          <w:highlight w:val="none"/>
        </w:rPr>
      </w:pPr>
      <w:bookmarkStart w:id="15" w:name="page73"/>
      <w:bookmarkEnd w:id="15"/>
    </w:p>
    <w:bookmarkEnd w:id="0"/>
    <w:bookmarkEnd w:id="1"/>
    <w:bookmarkEnd w:id="2"/>
    <w:bookmarkEnd w:id="3"/>
    <w:p w14:paraId="70794BFE">
      <w:pPr>
        <w:pStyle w:val="8"/>
        <w:spacing w:after="0"/>
        <w:ind w:left="0" w:leftChars="0" w:firstLine="0" w:firstLineChars="0"/>
        <w:rPr>
          <w:rFonts w:asciiTheme="minorEastAsia" w:hAnsiTheme="minorEastAsia" w:eastAsiaTheme="minorEastAsia" w:cstheme="minorEastAsia"/>
          <w:color w:val="auto"/>
          <w:highlight w:val="none"/>
        </w:rPr>
      </w:pPr>
      <w:bookmarkStart w:id="16" w:name="_Toc24843"/>
      <w:bookmarkStart w:id="17" w:name="_Toc19054"/>
      <w:bookmarkStart w:id="18" w:name="_Toc26462"/>
      <w:bookmarkStart w:id="19" w:name="_Toc2760"/>
      <w:r>
        <w:rPr>
          <w:rFonts w:hint="eastAsia" w:asciiTheme="minorEastAsia" w:hAnsiTheme="minorEastAsia" w:eastAsiaTheme="minorEastAsia" w:cstheme="minorEastAsia"/>
          <w:color w:val="auto"/>
          <w:sz w:val="32"/>
          <w:szCs w:val="32"/>
          <w:highlight w:val="none"/>
        </w:rPr>
        <w:br w:type="textWrapping"/>
      </w:r>
      <w:bookmarkEnd w:id="16"/>
      <w:bookmarkEnd w:id="17"/>
      <w:bookmarkEnd w:id="18"/>
      <w:bookmarkEnd w:id="19"/>
    </w:p>
    <w:tbl>
      <w:tblPr>
        <w:tblStyle w:val="14"/>
        <w:tblpPr w:leftFromText="180" w:rightFromText="180" w:vertAnchor="text" w:horzAnchor="page" w:tblpX="1790" w:tblpY="44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2366"/>
        <w:gridCol w:w="1877"/>
        <w:gridCol w:w="2373"/>
      </w:tblGrid>
      <w:tr w14:paraId="709B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0" w:hRule="atLeast"/>
        </w:trPr>
        <w:tc>
          <w:tcPr>
            <w:tcW w:w="1883" w:type="dxa"/>
            <w:tcBorders>
              <w:top w:val="nil"/>
              <w:left w:val="nil"/>
              <w:bottom w:val="nil"/>
              <w:right w:val="nil"/>
            </w:tcBorders>
            <w:vAlign w:val="center"/>
          </w:tcPr>
          <w:p w14:paraId="11DC034B">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发包人：</w:t>
            </w:r>
          </w:p>
        </w:tc>
        <w:tc>
          <w:tcPr>
            <w:tcW w:w="2366" w:type="dxa"/>
            <w:tcBorders>
              <w:top w:val="nil"/>
              <w:left w:val="nil"/>
              <w:bottom w:val="nil"/>
              <w:right w:val="nil"/>
            </w:tcBorders>
            <w:vAlign w:val="center"/>
          </w:tcPr>
          <w:p w14:paraId="2C7880B8">
            <w:pPr>
              <w:spacing w:line="288" w:lineRule="auto"/>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（盖章）</w:t>
            </w:r>
          </w:p>
        </w:tc>
        <w:tc>
          <w:tcPr>
            <w:tcW w:w="1877" w:type="dxa"/>
            <w:tcBorders>
              <w:top w:val="nil"/>
              <w:left w:val="nil"/>
              <w:bottom w:val="nil"/>
              <w:right w:val="nil"/>
            </w:tcBorders>
            <w:vAlign w:val="center"/>
          </w:tcPr>
          <w:p w14:paraId="56BD289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设计人：</w:t>
            </w:r>
          </w:p>
        </w:tc>
        <w:tc>
          <w:tcPr>
            <w:tcW w:w="2373" w:type="dxa"/>
            <w:tcBorders>
              <w:top w:val="nil"/>
              <w:left w:val="nil"/>
              <w:bottom w:val="nil"/>
              <w:right w:val="nil"/>
            </w:tcBorders>
            <w:vAlign w:val="center"/>
          </w:tcPr>
          <w:p w14:paraId="5F0E602D">
            <w:pPr>
              <w:spacing w:line="288" w:lineRule="auto"/>
              <w:ind w:left="0" w:leftChars="0"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（盖章）</w:t>
            </w:r>
          </w:p>
        </w:tc>
      </w:tr>
      <w:tr w14:paraId="3C6C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883" w:type="dxa"/>
            <w:tcBorders>
              <w:top w:val="nil"/>
              <w:left w:val="nil"/>
              <w:bottom w:val="nil"/>
              <w:right w:val="nil"/>
            </w:tcBorders>
          </w:tcPr>
          <w:p w14:paraId="4C72FFCC">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7BE263CB">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或委托代理人：</w:t>
            </w:r>
          </w:p>
        </w:tc>
        <w:tc>
          <w:tcPr>
            <w:tcW w:w="2366" w:type="dxa"/>
            <w:tcBorders>
              <w:top w:val="nil"/>
              <w:left w:val="nil"/>
              <w:bottom w:val="nil"/>
              <w:right w:val="nil"/>
            </w:tcBorders>
            <w:vAlign w:val="center"/>
          </w:tcPr>
          <w:p w14:paraId="4590F344">
            <w:pPr>
              <w:spacing w:line="288" w:lineRule="auto"/>
              <w:ind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（签字或盖章）</w:t>
            </w:r>
          </w:p>
        </w:tc>
        <w:tc>
          <w:tcPr>
            <w:tcW w:w="1877" w:type="dxa"/>
            <w:tcBorders>
              <w:top w:val="nil"/>
              <w:left w:val="nil"/>
              <w:bottom w:val="nil"/>
              <w:right w:val="nil"/>
            </w:tcBorders>
          </w:tcPr>
          <w:p w14:paraId="0506E41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p>
          <w:p w14:paraId="114F93B1">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或委托代理人：  </w:t>
            </w:r>
          </w:p>
        </w:tc>
        <w:tc>
          <w:tcPr>
            <w:tcW w:w="2373" w:type="dxa"/>
            <w:tcBorders>
              <w:top w:val="nil"/>
              <w:left w:val="nil"/>
              <w:bottom w:val="nil"/>
              <w:right w:val="nil"/>
            </w:tcBorders>
            <w:vAlign w:val="center"/>
          </w:tcPr>
          <w:p w14:paraId="202E1AA5">
            <w:pPr>
              <w:spacing w:line="288" w:lineRule="auto"/>
              <w:ind w:firstLine="0" w:firstLineChars="0"/>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（签字或盖章）</w:t>
            </w:r>
          </w:p>
        </w:tc>
      </w:tr>
      <w:tr w14:paraId="1856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883" w:type="dxa"/>
            <w:tcBorders>
              <w:top w:val="nil"/>
              <w:left w:val="nil"/>
              <w:bottom w:val="nil"/>
              <w:right w:val="nil"/>
            </w:tcBorders>
            <w:vAlign w:val="center"/>
          </w:tcPr>
          <w:p w14:paraId="09988A7D">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签订日期：</w:t>
            </w:r>
          </w:p>
        </w:tc>
        <w:tc>
          <w:tcPr>
            <w:tcW w:w="2366" w:type="dxa"/>
            <w:tcBorders>
              <w:top w:val="nil"/>
              <w:left w:val="nil"/>
              <w:bottom w:val="nil"/>
              <w:right w:val="nil"/>
            </w:tcBorders>
            <w:vAlign w:val="center"/>
          </w:tcPr>
          <w:p w14:paraId="6F14BEB1">
            <w:pPr>
              <w:spacing w:line="288" w:lineRule="auto"/>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202</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年  月   日</w:t>
            </w:r>
          </w:p>
        </w:tc>
        <w:tc>
          <w:tcPr>
            <w:tcW w:w="1877" w:type="dxa"/>
            <w:tcBorders>
              <w:top w:val="nil"/>
              <w:left w:val="nil"/>
              <w:bottom w:val="nil"/>
              <w:right w:val="nil"/>
            </w:tcBorders>
            <w:vAlign w:val="center"/>
          </w:tcPr>
          <w:p w14:paraId="179ECB80">
            <w:pPr>
              <w:spacing w:line="288" w:lineRule="auto"/>
              <w:ind w:firstLine="0" w:firstLineChars="0"/>
              <w:jc w:val="distribute"/>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签订日期：</w:t>
            </w:r>
          </w:p>
        </w:tc>
        <w:tc>
          <w:tcPr>
            <w:tcW w:w="2373" w:type="dxa"/>
            <w:tcBorders>
              <w:top w:val="nil"/>
              <w:left w:val="nil"/>
              <w:bottom w:val="nil"/>
              <w:right w:val="nil"/>
            </w:tcBorders>
            <w:vAlign w:val="center"/>
          </w:tcPr>
          <w:p w14:paraId="3819D289">
            <w:pPr>
              <w:spacing w:line="288" w:lineRule="auto"/>
              <w:ind w:firstLine="0" w:firstLineChars="0"/>
              <w:jc w:val="lef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202</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年  月   日</w:t>
            </w:r>
          </w:p>
        </w:tc>
      </w:tr>
    </w:tbl>
    <w:p w14:paraId="654F146D">
      <w:pPr>
        <w:ind w:left="0" w:leftChars="0" w:firstLine="0" w:firstLineChars="0"/>
        <w:rPr>
          <w:rFonts w:hint="eastAsia"/>
          <w:lang w:val="en-US" w:eastAsia="zh-CN"/>
        </w:rPr>
      </w:pPr>
    </w:p>
    <w:sectPr>
      <w:footerReference r:id="rId9" w:type="default"/>
      <w:pgSz w:w="11906" w:h="16838"/>
      <w:pgMar w:top="1440" w:right="1633" w:bottom="1440" w:left="1633"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E8DCC">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F391D">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65BD6">
    <w:pPr>
      <w:pStyle w:val="10"/>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BABEA">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CBABEA">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3F12">
    <w:pPr>
      <w:pStyle w:val="11"/>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BC5C">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00A62"/>
    <w:rsid w:val="0B5E4C92"/>
    <w:rsid w:val="10B6487F"/>
    <w:rsid w:val="113F2956"/>
    <w:rsid w:val="22562724"/>
    <w:rsid w:val="231E3817"/>
    <w:rsid w:val="32815C82"/>
    <w:rsid w:val="51084DD7"/>
    <w:rsid w:val="57351B9A"/>
    <w:rsid w:val="5B982F3D"/>
    <w:rsid w:val="7AF00A62"/>
    <w:rsid w:val="7E986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ind w:firstLine="0" w:firstLineChars="0"/>
      <w:jc w:val="center"/>
      <w:outlineLvl w:val="0"/>
    </w:pPr>
    <w:rPr>
      <w:b/>
      <w:kern w:val="44"/>
      <w:sz w:val="36"/>
      <w:szCs w:val="20"/>
    </w:rPr>
  </w:style>
  <w:style w:type="paragraph" w:styleId="4">
    <w:name w:val="heading 2"/>
    <w:basedOn w:val="1"/>
    <w:next w:val="1"/>
    <w:qFormat/>
    <w:uiPriority w:val="0"/>
    <w:pPr>
      <w:keepNext/>
      <w:keepLines/>
      <w:ind w:firstLine="0" w:firstLineChars="0"/>
      <w:jc w:val="left"/>
      <w:outlineLvl w:val="1"/>
    </w:pPr>
    <w:rPr>
      <w:rFonts w:ascii="Arial" w:hAnsi="Arial"/>
      <w:b/>
      <w:sz w:val="24"/>
      <w:szCs w:val="20"/>
    </w:rPr>
  </w:style>
  <w:style w:type="paragraph" w:styleId="5">
    <w:name w:val="heading 3"/>
    <w:basedOn w:val="1"/>
    <w:next w:val="1"/>
    <w:qFormat/>
    <w:uiPriority w:val="0"/>
    <w:pPr>
      <w:keepNext/>
      <w:keepLines/>
      <w:ind w:firstLine="0" w:firstLineChars="0"/>
      <w:outlineLvl w:val="2"/>
    </w:pPr>
    <w:rPr>
      <w:rFonts w:ascii="黑体" w:eastAsia="等线"/>
      <w:b/>
      <w:szCs w:val="20"/>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beforeLines="0" w:after="290" w:afterLines="0" w:line="372" w:lineRule="auto"/>
      <w:outlineLvl w:val="4"/>
    </w:pPr>
    <w:rPr>
      <w:b/>
      <w:bCs/>
      <w:kern w:val="2"/>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0"/>
    <w:pPr>
      <w:ind w:left="420" w:leftChars="200"/>
    </w:pPr>
    <w:rPr>
      <w:sz w:val="28"/>
    </w:rPr>
  </w:style>
  <w:style w:type="paragraph" w:styleId="8">
    <w:name w:val="Body Text"/>
    <w:basedOn w:val="1"/>
    <w:next w:val="1"/>
    <w:unhideWhenUsed/>
    <w:qFormat/>
    <w:uiPriority w:val="99"/>
    <w:pPr>
      <w:spacing w:after="120"/>
    </w:pPr>
    <w:rPr>
      <w:szCs w:val="20"/>
    </w:rPr>
  </w:style>
  <w:style w:type="paragraph" w:styleId="9">
    <w:name w:val="Body Text Indent 2"/>
    <w:basedOn w:val="1"/>
    <w:qFormat/>
    <w:uiPriority w:val="0"/>
    <w:pPr>
      <w:spacing w:after="120" w:afterLines="0" w:line="480" w:lineRule="auto"/>
      <w:ind w:left="420" w:leftChars="200"/>
    </w:pPr>
    <w:rPr>
      <w:rFonts w:ascii="Times New Roman" w:hAnsi="Times New Roman"/>
      <w:sz w:val="24"/>
      <w:szCs w:val="24"/>
    </w:r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qFormat/>
    <w:uiPriority w:val="0"/>
    <w:pPr>
      <w:tabs>
        <w:tab w:val="center" w:pos="4153"/>
        <w:tab w:val="right" w:pos="8306"/>
      </w:tabs>
      <w:snapToGrid w:val="0"/>
    </w:pPr>
    <w:rPr>
      <w:sz w:val="18"/>
      <w:szCs w:val="20"/>
    </w:rPr>
  </w:style>
  <w:style w:type="paragraph" w:styleId="12">
    <w:name w:val="Normal (Web)"/>
    <w:basedOn w:val="1"/>
    <w:uiPriority w:val="0"/>
    <w:rPr>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qFormat/>
    <w:uiPriority w:val="0"/>
    <w:rPr>
      <w:rFonts w:cs="Times New Roman"/>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4629</Words>
  <Characters>4944</Characters>
  <Lines>0</Lines>
  <Paragraphs>0</Paragraphs>
  <TotalTime>0</TotalTime>
  <ScaleCrop>false</ScaleCrop>
  <LinksUpToDate>false</LinksUpToDate>
  <CharactersWithSpaces>5139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2024-11-29T09:49:00Z</dcterms:created>
  <dc:creator>冰糖葫芦</dc:creator>
  <cp:lastModifiedBy>冰糖葫芦</cp:lastModifiedBy>
  <dcterms:modified xsi:type="dcterms:W3CDTF">2026-05-29T12:48:08Z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8CA44EB8B225423E9B812E69106A4616_13</vt:lpwstr>
  </property>
  <property fmtid="{D5CDD505-2E9C-101B-9397-08002B2CF9AE}" pid="4" name="KSOTemplateDocerSaveRecord">
    <vt:lpwstr>eyJoZGlkIjoiODRiZDEyMDhjMjUxMDgxNmU3MTJiN2RlMzg0NDRiOTIiLCJ1c2VySWQiOiIzMDQyMTIwMzAifQ==</vt:lpwstr>
  </property>
</Properties>
</file>