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版本号：SDZC2026-07720260819002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江口镇传统古村落文化开发项目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SDZC2026-077</w:t>
      </w:r>
      <w:r>
        <w:br/>
      </w:r>
      <w:r>
        <w:br/>
      </w:r>
      <w:r>
        <w:br/>
      </w:r>
    </w:p>
    <w:p>
      <w:pPr>
        <w:pStyle w:val="null3"/>
        <w:jc w:val="center"/>
        <w:outlineLvl w:val="2"/>
      </w:pPr>
      <w:r>
        <w:rPr>
          <w:rFonts w:ascii="仿宋_GB2312" w:hAnsi="仿宋_GB2312" w:cs="仿宋_GB2312" w:eastAsia="仿宋_GB2312"/>
          <w:sz w:val="28"/>
          <w:b/>
        </w:rPr>
        <w:t>留坝县江口镇人民政府</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留坝县江口镇人民政府</w:t>
      </w:r>
      <w:r>
        <w:rPr>
          <w:rFonts w:ascii="仿宋_GB2312" w:hAnsi="仿宋_GB2312" w:cs="仿宋_GB2312" w:eastAsia="仿宋_GB2312"/>
        </w:rPr>
        <w:t>委托，拟对</w:t>
      </w:r>
      <w:r>
        <w:rPr>
          <w:rFonts w:ascii="仿宋_GB2312" w:hAnsi="仿宋_GB2312" w:cs="仿宋_GB2312" w:eastAsia="仿宋_GB2312"/>
        </w:rPr>
        <w:t>江口镇传统古村落文化开发项目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江口镇传统古村落文化开发项目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江口镇传统古村落文化开发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采购包1（江口镇传统古村落文化开发）：属于专门面向中小企业采购。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汉中市政府采购供应商资格承诺函：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p>
      <w:pPr>
        <w:pStyle w:val="null3"/>
      </w:pPr>
      <w:r>
        <w:rPr>
          <w:rFonts w:ascii="仿宋_GB2312" w:hAnsi="仿宋_GB2312" w:cs="仿宋_GB2312" w:eastAsia="仿宋_GB2312"/>
        </w:rPr>
        <w:t>3、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4、磋商保证金交纳凭证或担保函：磋商保证金交纳凭证或担保函；（磋商保证交纳金凭证为银行凭证及基本账户证明资料，担保函为政府采购信用担保机构出具）</w:t>
      </w:r>
    </w:p>
    <w:p>
      <w:pPr>
        <w:pStyle w:val="null3"/>
      </w:pPr>
      <w:r>
        <w:rPr>
          <w:rFonts w:ascii="仿宋_GB2312" w:hAnsi="仿宋_GB2312" w:cs="仿宋_GB2312" w:eastAsia="仿宋_GB2312"/>
        </w:rPr>
        <w:t>5、控股查询：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留坝县江口镇人民政府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留坝县江口镇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0916-3988271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葛晓辉(11号工位）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 汇款账户： 1.开户行名称：陕西上德招标有限公司 2.开户行：中国建设银行股份有限公司西安武警路支行3.帐 号：61050174740000001626 财务部联系方式：029-86673953、86518381、89299829、89293231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留坝县江口镇人民政府</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留坝县江口镇人民政府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留坝县江口镇人民政府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联系人：葛晓辉(11号工位）</w:t>
      </w:r>
    </w:p>
    <w:p>
      <w:pPr>
        <w:pStyle w:val="null3"/>
      </w:pPr>
      <w:r>
        <w:rPr>
          <w:rFonts w:ascii="仿宋_GB2312" w:hAnsi="仿宋_GB2312" w:cs="仿宋_GB2312" w:eastAsia="仿宋_GB2312"/>
        </w:rPr>
        <w:t>联系电话：029-86673953转811</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江口镇传统古村落文化开发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橡胶及塑料制成的设施等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标的名称：橡胶及塑料制成的设施等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396"/>
              <w:gridCol w:w="478"/>
              <w:gridCol w:w="251"/>
              <w:gridCol w:w="1126"/>
              <w:gridCol w:w="299"/>
            </w:tblGrid>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采购目录编码</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采购内容</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技术参数</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计量单位</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1</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 宽2.4×高3.4m 底厚0.9上厚0.3</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2</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氟碳漆高温固化工艺+塑料贴字 2人位+长桌+凳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3</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氟碳漆高温固化工艺+仿实木拉纹面漆+加厚亚克力板 高2.2~1.8m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4</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氟碳漆高温固化工艺+仿实木拉纹面漆+麻绳造型 高1.8~2.0m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5</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钢架实木复合骨架搭建+ PVC/牛津布模块化篷布定制+密封防风系统处理+基层处理+现场调试与加固 长19米宽8米高4.5米+直径10米 多种规格</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6</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5.00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实木骨架搭建+ PVC/牛津布模块化篷布定制+密封防风系统处理+基层处理+现场调试与加固 长6米宽米高3.5米底宽3.5米 多种规格</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公共休闲设施</w:t>
                  </w:r>
                  <w:r>
                    <w:rPr>
                      <w:rFonts w:ascii="仿宋_GB2312" w:hAnsi="仿宋_GB2312" w:cs="仿宋_GB2312" w:eastAsia="仿宋_GB2312"/>
                      <w:sz w:val="23"/>
                      <w:color w:val="000000"/>
                    </w:rPr>
                    <w:t>6</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轻量化铝合金框架精密加工+高耐用性帆布面料定制+模块化结构组装+户外耐候防护处理</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w:t>
                  </w:r>
                  <w:r>
                    <w:rPr>
                      <w:rFonts w:ascii="仿宋_GB2312" w:hAnsi="仿宋_GB2312" w:cs="仿宋_GB2312" w:eastAsia="仿宋_GB2312"/>
                      <w:sz w:val="22"/>
                      <w:color w:val="000000"/>
                    </w:rPr>
                    <w:t>1</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2.00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氟碳漆高温固化工艺+仿实木拉纹面漆2.8×1.8m+定制</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文化宣传与导览2</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1.00 </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铝合金仿木相框+丝绢高清布彩印+麻绳造型 长36m 高1.1米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文化宣传与导览3</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仿实木标牌+雕刻字 高2.0×宽0.4m*2组</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w:t>
                  </w:r>
                  <w:r>
                    <w:rPr>
                      <w:rFonts w:ascii="仿宋_GB2312" w:hAnsi="仿宋_GB2312" w:cs="仿宋_GB2312" w:eastAsia="仿宋_GB2312"/>
                      <w:sz w:val="22"/>
                      <w:color w:val="000000"/>
                    </w:rPr>
                    <w:t>4</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氟碳漆高温固化工艺+仿实木拉纹面漆+木板 宽3.0×高2.2m厚0.4m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文化宣传与导览5</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3D造型雕刻+ 玻璃钢翻模+仿石纹理喷砂成型 1.3×1.3m/块</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文化宣传与导览6</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户外墙体基底预处理+防水丙烯分层手绘+ 耐候罩面保护 1.6×30m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w:t>
                  </w:r>
                  <w:r>
                    <w:rPr>
                      <w:rFonts w:ascii="仿宋_GB2312" w:hAnsi="仿宋_GB2312" w:cs="仿宋_GB2312" w:eastAsia="仿宋_GB2312"/>
                      <w:sz w:val="22"/>
                      <w:color w:val="000000"/>
                    </w:rPr>
                    <w:t>7</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PVC+亚克力立体雕刻 1.3×4.7m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文化宣传与导览8</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氟碳漆高温固化工艺+仿实木拉纹面漆+仿真瓜果 460*280cm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文化宣传与导览9</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实木造型雕刻3*9米 多种规格</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w:t>
                  </w:r>
                  <w:r>
                    <w:rPr>
                      <w:rFonts w:ascii="仿宋_GB2312" w:hAnsi="仿宋_GB2312" w:cs="仿宋_GB2312" w:eastAsia="仿宋_GB2312"/>
                      <w:sz w:val="22"/>
                      <w:color w:val="000000"/>
                    </w:rPr>
                    <w:t>10</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原木+帆布造型 高2.4宽3.2多规格</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文化宣传与导览11</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丝绢布彩印+PVC+亚克力立体雕刻高3.3米宽8米多种规格</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文化宣传与导览12</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3D造型雕刻+ 玻璃钢翻模+防水丙烯分层手绘+ 耐候罩面保护  高0.8×宽0.6×深0.7m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景观美化与植物配置1</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多年生花卉造型种植 绣球、迷迭香、肾蕨、吴凤草、天竺葵、牵牛、水果篮、天门冬</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景观美化与植物配置2</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废旧轮毂艺术化改造+空瓶内架模块化发光系统+定制钢架造型支撑+独立太阳能供电集成工艺 直径90×高110cm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景观美化与植物配置3</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防腐木深度碳化防腐处理+榫卯+五金复合连接+防水密封防护+模块化组装  1.1×0.4×0.4m / 1.7×0.4×0.4m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景观美化与植物配置4</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基底加固+钢筋混凝土异形造型+防水户外彩色地坪漆+人工铺设 宽0.7米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景观美化与植物配置5</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钢骨架支撑体系 + 2mm镀锌板激光异形切割 + 氩弧焊精密焊接 + 氟碳漆高温固化工艺+仿实木拉纹面漆 高2.6×宽2.8m </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景观美化与植物配置6</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3D造型雕刻+ 玻璃钢翻模+防水丙烯分层手绘+ 耐候罩面保护  高2.6×宽5.0×深2.0m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景观美化与植物配置7</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加厚亚克力异形精密加工+内发光光源均匀分布+电动传动系统集成+户外防水防护工艺+高空安装 90×90cm两套</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景观美化与植物配置8</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氟碳漆高温固化+仿真花+0.9米高玻璃钢蜜蜂造型 宽2.7×高4.0m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景观美化与植物配置9</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氟碳漆高温固化工艺+面漆长6.9米高2.6米厚0.3米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景观美化与植物配置10</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钢骨架支撑体系 + 2mm镀锌板激光异形切割 + 氩弧焊精密焊接 + 氟碳漆高温固化工艺+面漆长5米高2.5米厚0.3m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基础与场地工程1</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28+16</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模块化钢架龙骨支撑+异形防腐木精密切割 +悬浮式弹性固定+户外耐候防护处理 普通高1米宽1米长28米 + 异形长16m宽1米高1米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平方米/米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基础与场地工程2</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实木立柱榫卯结构搭建+仿古木板雕刻门牌制作+防腐防护处理   2.5×3.2m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基础与场地工程3</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天然花岗岩雕刻3套+基础加固+防水防渗系统处理+给排水系统 1.4M+1.0M+0.8M</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基础与场地工程4</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基础处理+5公分碎石垫层+花岗岩石板铺设宽0.9米</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基础与场地工程5</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160</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基础处理+5公分碎石垫层+10公分花岗岩碎石铺设</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平米</w:t>
                  </w:r>
                </w:p>
              </w:tc>
            </w:tr>
            <w:tr>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4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其他必要费用</w:t>
                  </w:r>
                </w:p>
              </w:tc>
              <w:tc>
                <w:tcPr>
                  <w:tcW w:type="dxa" w:w="2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人工、机械、辅材</w:t>
                  </w:r>
                </w:p>
              </w:tc>
              <w:tc>
                <w:tcPr>
                  <w:tcW w:type="dxa" w:w="2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bl>
          <w:p>
            <w:pPr>
              <w:pStyle w:val="null3"/>
            </w:pPr>
            <w:r>
              <w:rPr>
                <w:rFonts w:ascii="仿宋_GB2312" w:hAnsi="仿宋_GB2312" w:cs="仿宋_GB2312" w:eastAsia="仿宋_GB2312"/>
              </w:rPr>
              <w:t>核心产品（公共休闲设施1、文化宣传与导览1）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留坝县江口镇人民政府指定地点（留坝县区域内）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预付款，签订合同后，卖方持等额发票在买方处办理百分之五十（50%）预付款的支付手续，达到付款条件起30个工作日内，支付合同总金额的50.0%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运到采购人指定地方，安装完毕并经终验合格后，卖方持《终验合格单》原件和等额发票在买方处办理百分之四十七（47%）货款的支付手续，达到付款条件起30个工作日内，支付合同总金额的47.0%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进度款，自终验结束之日起至1年后，在无索赔争议的情况下，持等额发票在买方处办理百分之三（3%）货款的支付手续，达到付款条件起30个工作日内，支付合同总金额的3.0%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 2.验收不合格的成交单位，必须在接到通知后7个日历日内确保货物通过验收。如接到通知后7个日历日内验收仍不合格，采购人可提出索赔或取消其供货合同。采购代理机构将把成交资格授予评审排序下一名的成交单位。 3.验收依据 3.1合同文本及合同补充文件（条款）； 3.2产品的合法来源渠道证明文件、响应功能证明材料； 3.3竞争性磋商文件； 3.4竞争性磋商响应文件； 3.5合同货物清单； 3.6生产厂家的企业资质、货物的执行标准。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1.所有产品的质保期为终验合格后不少于12个月，成交人承诺的质保时间超过竞争性磋商文件要求的，按其承诺时间质保。 2.成交单位承诺的质保期起始时间为终验合格之日。 3.所有产品质量必须符合国家有关规范和相关政策。所有产品及辅材必须是未使用过的新产品，质量优良、渠道正当，配置合理。 4.质保期出现的质量问题由成交单位负责解决并承担所有费用。质保期后如需更换零部件，成交应以优惠价提供。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1.成交人在领取成交通知书时提供一正两副纸质磋商响应文件。纸质响应文件采用书籍（胶装）方式装订成册，与电子投标文件一致的签字、盖章的完整版本。2.退还保证金： 2.1在截止时间前撤回已提交磋商文件的供应商的投标保证金，将在采购代理机构收到供应商书面撤回通知之日起5个工作日内退还。 2.2所有未成交人的保证金，将在成交通知书发出后5个工作日内退还。 2.3成交人的保证金，将在签订合同后5个工作日内执合同予以退还。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资审小组在磋商截止日当天在“国家企业信用信息公示系统”进行查询，截图留档；如网站无供应商信息的，供应商须提供相关证明资料或书面声明，并附在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售后服务方案.docx 业绩.docx 产品渠道.docx 中小企业声明函 承诺书.docx 报价表 商务条款响应偏离表.docx 质量保证.docx 项目实施方案.docx 供应商有必要说明的其他事项.docx 资格证明文件.docx 法定代表人授权书.docx 响应文件封面 履约能力.docx 《拒绝政府采购领域商业贿赂承诺书》.docx 投标分项报价表.docx 残疾人福利性单位声明函 技术响应偏离表.docx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除明确允许供应商可以自行编写的外，响应文件是否按照磋商文件给定的格式和要求编制</w:t>
            </w:r>
          </w:p>
        </w:tc>
        <w:tc>
          <w:tcPr>
            <w:tcW w:type="dxa" w:w="1661"/>
          </w:tcPr>
          <w:p>
            <w:pPr>
              <w:pStyle w:val="null3"/>
            </w:pPr>
            <w:r>
              <w:rPr>
                <w:rFonts w:ascii="仿宋_GB2312" w:hAnsi="仿宋_GB2312" w:cs="仿宋_GB2312" w:eastAsia="仿宋_GB2312"/>
              </w:rPr>
              <w:t>售后服务方案.docx 业绩.docx 产品渠道.docx 中小企业声明函 承诺书.docx 商务条款响应偏离表.docx 质量保证.docx 项目实施方案.docx 供应商有必要说明的其他事项.docx 资格证明文件.docx 法定代表人授权书.docx 响应文件封面 履约能力.docx 《拒绝政府采购领域商业贿赂承诺书》.docx 投标分项报价表.docx 残疾人福利性单位声明函 技术响应偏离表.docx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响应文件是否按照磋商文件的要求盖章签字</w:t>
            </w:r>
          </w:p>
        </w:tc>
        <w:tc>
          <w:tcPr>
            <w:tcW w:type="dxa" w:w="1661"/>
          </w:tcPr>
          <w:p>
            <w:pPr>
              <w:pStyle w:val="null3"/>
            </w:pPr>
            <w:r>
              <w:rPr>
                <w:rFonts w:ascii="仿宋_GB2312" w:hAnsi="仿宋_GB2312" w:cs="仿宋_GB2312" w:eastAsia="仿宋_GB2312"/>
              </w:rPr>
              <w:t>售后服务方案.docx 业绩.docx 产品渠道.docx 中小企业声明函 承诺书.docx 商务条款响应偏离表.docx 质量保证.docx 项目实施方案.docx 供应商有必要说明的其他事项.docx 资格证明文件.docx 法定代表人授权书.docx 响应文件封面 履约能力.docx 《拒绝政府采购领域商业贿赂承诺书》.docx 投标分项报价表.docx 残疾人福利性单位声明函 技术响应偏离表.docx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磋商报价未超过采购预算</w:t>
            </w:r>
          </w:p>
        </w:tc>
        <w:tc>
          <w:tcPr>
            <w:tcW w:type="dxa" w:w="1661"/>
          </w:tcPr>
          <w:p>
            <w:pPr>
              <w:pStyle w:val="null3"/>
            </w:pPr>
            <w:r>
              <w:rPr>
                <w:rFonts w:ascii="仿宋_GB2312" w:hAnsi="仿宋_GB2312" w:cs="仿宋_GB2312" w:eastAsia="仿宋_GB2312"/>
              </w:rPr>
              <w:t>投标分项报价表.docx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售后服务方案.docx 业绩.docx 产品渠道.docx 中小企业声明函 承诺书.docx 商务条款响应偏离表.docx 质量保证.docx 项目实施方案.docx 供应商有必要说明的其他事项.docx 资格证明文件.docx 法定代表人授权书.docx 响应文件封面 履约能力.docx 《拒绝政府采购领域商业贿赂承诺书》.docx 投标分项报价表.docx 残疾人福利性单位声明函 技术响应偏离表.docx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售后服务方案.docx 业绩.docx 产品渠道.docx 中小企业声明函 承诺书.docx 商务条款响应偏离表.docx 质量保证.docx 项目实施方案.docx 供应商有必要说明的其他事项.docx 资格证明文件.docx 法定代表人授权书.docx 响应文件封面 履约能力.docx 《拒绝政府采购领域商业贿赂承诺书》.docx 投标分项报价表.docx 残疾人福利性单位声明函 技术响应偏离表.docx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评审得分相同的，按照最后报价由低到高的顺序推荐。评审得分且最后报价相同的，按照技术指标优劣顺序推荐。若上述得分相同，则由全体磋商小组成员无记名投票，得票高者获得成交供应商推荐资格。</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针对本项目有具体实施方案，包含但不限于：备货、供货进度；保证措施；项目验收方案；项目应急预案等。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包含但不限于：质量管理制度；产品设计、生产、检验等质量管控能力；产品使用寿命及效果；质量保证期限及质量保证范围；质量保证承诺及措施。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包含但不限于：资金筹措；仓储设施；运输工具；人员素质；管理水平。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包含但不限于：售后服务承诺及措施；售后服务网点的设定；售后人员配置及安排计划；设备日常维护方案及措施；项目交付用户后出现故障响应时间及措施。 评审标准：内容全面详细、阐述条理清晰、逻辑清晰、具有针对性、合理可行计5分。每有一项缺项扣1分，每有一处内容存在缺陷扣0.5分，扣完为止，未提供相关内容本项不计分。 备注：缺陷是指内容不合理、与服务内容有较大偏差的、内容仅有粗略表述不具体、内容表述前后不一致、套用其他项目方案或与项目需求不匹配及其他不利于项目实施等任意一种情形。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技术指标及配置</w:t>
            </w:r>
          </w:p>
        </w:tc>
        <w:tc>
          <w:tcPr>
            <w:tcW w:type="dxa" w:w="2492"/>
          </w:tcPr>
          <w:p>
            <w:pPr>
              <w:pStyle w:val="null3"/>
            </w:pPr>
            <w:r>
              <w:rPr>
                <w:rFonts w:ascii="仿宋_GB2312" w:hAnsi="仿宋_GB2312" w:cs="仿宋_GB2312" w:eastAsia="仿宋_GB2312"/>
              </w:rPr>
              <w:t>完全符合、满足竞争性磋商文件技术要求的计35分；技术指标中每有一条负偏离扣1分,基本分扣完为止。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供应商有必要说明的其他事项.docx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供应商需提供近三年来（2023年1月1日至今）同类业绩证明材料，每提供1个业绩得2分；最高得10分（附合同或中标通知书复印件，以合同签订时间或中标通知书签发日期为准）。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磋商响应文件对交货期、付款方式等商务要求进行详细说明，完全响应磋商文件的计2分，交货期每优于1日历日加0.1分，最多加1分。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商务条款响应偏离表.docx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能提供所投产品（公共休闲设施1、文化宣传与导览1）的合法来源渠道证明文件（包括但不限于产品制造商授权、销售协议、代理协议、原厂授权等）的计2分，提供一份计1分，不提供的不计分。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产品渠道.docx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详见附件：供应商有必要说明的其他事项.docx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