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版本号：YC26001011(CGR).1B120260525001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鑫海大厦消防系统维修改造工程(二次)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YC26001011(CGR).1B1</w:t>
      </w:r>
      <w:r>
        <w:br/>
      </w:r>
      <w:r>
        <w:br/>
      </w:r>
      <w:r>
        <w:br/>
      </w:r>
    </w:p>
    <w:p>
      <w:pPr>
        <w:pStyle w:val="null3"/>
        <w:jc w:val="center"/>
        <w:outlineLvl w:val="2"/>
      </w:pPr>
      <w:r>
        <w:rPr>
          <w:rFonts w:ascii="仿宋_GB2312" w:hAnsi="仿宋_GB2312" w:cs="仿宋_GB2312" w:eastAsia="仿宋_GB2312"/>
          <w:sz w:val="28"/>
          <w:b/>
        </w:rPr>
        <w:t>西安市莲湖区北院门街道办事处</w:t>
      </w:r>
    </w:p>
    <w:p>
      <w:pPr>
        <w:pStyle w:val="null3"/>
        <w:jc w:val="center"/>
        <w:outlineLvl w:val="2"/>
      </w:pPr>
      <w:r>
        <w:rPr>
          <w:rFonts w:ascii="仿宋_GB2312" w:hAnsi="仿宋_GB2312" w:cs="仿宋_GB2312" w:eastAsia="仿宋_GB2312"/>
          <w:sz w:val="28"/>
          <w:b/>
        </w:rPr>
        <w:t>亿诚建设项目管理有限公司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亿诚建设项目管理有限公司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西安市莲湖区北院门街道办事处</w:t>
      </w:r>
      <w:r>
        <w:rPr>
          <w:rFonts w:ascii="仿宋_GB2312" w:hAnsi="仿宋_GB2312" w:cs="仿宋_GB2312" w:eastAsia="仿宋_GB2312"/>
        </w:rPr>
        <w:t>委托，拟对</w:t>
      </w:r>
      <w:r>
        <w:rPr>
          <w:rFonts w:ascii="仿宋_GB2312" w:hAnsi="仿宋_GB2312" w:cs="仿宋_GB2312" w:eastAsia="仿宋_GB2312"/>
        </w:rPr>
        <w:t>鑫海大厦消防系统维修改造工程(二次)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YC26001011(CGR).1B1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鑫海大厦消防系统维修改造工程(二次)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鑫海大厦建筑总面积约16000平方米，地下1层（车库和设备用房），地上12层（其中1~2层为商业，3层及以上为住宅），屋面设有电梯机房和消防高位水箱间。为了实现社会消防安全和小区消防安全，确保大楼消防系统能正常使用和运行，拟对该大厦消防设施进行维修和更新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采购包1（鑫海大厦消防系统维修改造工程）：属于专门面向中小企业采购。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证明：具有独立承担民事责任能力的法人、其他组织或自然人，提供合法有效的统一社会信用代码营业执照（事业单位提供事业单位法人证书，自然人提供身份证明）或其他合法有效的证明文件；</w:t>
      </w:r>
    </w:p>
    <w:p>
      <w:pPr>
        <w:pStyle w:val="null3"/>
      </w:pPr>
      <w:r>
        <w:rPr>
          <w:rFonts w:ascii="仿宋_GB2312" w:hAnsi="仿宋_GB2312" w:cs="仿宋_GB2312" w:eastAsia="仿宋_GB2312"/>
        </w:rPr>
        <w:t>2、法定代表人身份证明书（或法定代表人授权委托书、社保证明）：法定代表人参加开标的，提供法定代表人身份证明书（附法定代表人身份证复印件）；法定代表人授权他人参加开标的，提供法定代表人授权委托书（附法定代表人身份证复印件及被授权人身份证复印件）及被授权人在提交首次响应文件截止时间前3个月内任意一个月的社保证明；</w:t>
      </w:r>
    </w:p>
    <w:p>
      <w:pPr>
        <w:pStyle w:val="null3"/>
      </w:pPr>
      <w:r>
        <w:rPr>
          <w:rFonts w:ascii="仿宋_GB2312" w:hAnsi="仿宋_GB2312" w:cs="仿宋_GB2312" w:eastAsia="仿宋_GB2312"/>
        </w:rPr>
        <w:t>3、企业资质：具有国家建设行政主管部门核发的建筑工程施工总承包三级及以上或消防设施工程专业承包二级及以上资质证书，且具有有效的安全生产许可证；</w:t>
      </w:r>
    </w:p>
    <w:p>
      <w:pPr>
        <w:pStyle w:val="null3"/>
      </w:pPr>
      <w:r>
        <w:rPr>
          <w:rFonts w:ascii="仿宋_GB2312" w:hAnsi="仿宋_GB2312" w:cs="仿宋_GB2312" w:eastAsia="仿宋_GB2312"/>
        </w:rPr>
        <w:t>4、拟派项目经理：拟派项目经理须具备机电工程专业二级及以上注册建造师执业资格，具备有效的安全生产考核合格证书，在本单位注册，且未担任其他在建工程项目的项目经理；</w:t>
      </w:r>
    </w:p>
    <w:p>
      <w:pPr>
        <w:pStyle w:val="null3"/>
      </w:pPr>
      <w:r>
        <w:rPr>
          <w:rFonts w:ascii="仿宋_GB2312" w:hAnsi="仿宋_GB2312" w:cs="仿宋_GB2312" w:eastAsia="仿宋_GB2312"/>
        </w:rPr>
        <w:t>5、财务状况报告：供应商提供2024或2025年度经审计的财务审计报告（依据财政部、国务院国资委、金融监管总局印发的《关于加强审计报告查验工作的通知》（财会〔2023〕15号）文件的要求，财务审计报告须在“注册会计师行业统一监管平台”备案赋码且二维码清晰可查）或提供在提交首次响应文件截止时间前6个月内其基本开户银行出具的资信证明；</w:t>
      </w:r>
    </w:p>
    <w:p>
      <w:pPr>
        <w:pStyle w:val="null3"/>
      </w:pPr>
      <w:r>
        <w:rPr>
          <w:rFonts w:ascii="仿宋_GB2312" w:hAnsi="仿宋_GB2312" w:cs="仿宋_GB2312" w:eastAsia="仿宋_GB2312"/>
        </w:rPr>
        <w:t>6、税收缴纳证明：提供供应商在提交首次响应文件截止时间前6个月内已缴纳的任意1个月的完税凭证或税务机关开具的完税证明（任意税种）；依法免税的应提供相关文件证明；</w:t>
      </w:r>
    </w:p>
    <w:p>
      <w:pPr>
        <w:pStyle w:val="null3"/>
      </w:pPr>
      <w:r>
        <w:rPr>
          <w:rFonts w:ascii="仿宋_GB2312" w:hAnsi="仿宋_GB2312" w:cs="仿宋_GB2312" w:eastAsia="仿宋_GB2312"/>
        </w:rPr>
        <w:t>7、社会保障资金缴纳证明：提供供应商在提交首次响应文件截止时间前6个月内已缴存的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8、设备及专业技术能力：供应商具备履行合同所必需的设备及专业技术能力；</w:t>
      </w:r>
    </w:p>
    <w:p>
      <w:pPr>
        <w:pStyle w:val="null3"/>
      </w:pPr>
      <w:r>
        <w:rPr>
          <w:rFonts w:ascii="仿宋_GB2312" w:hAnsi="仿宋_GB2312" w:cs="仿宋_GB2312" w:eastAsia="仿宋_GB2312"/>
        </w:rPr>
        <w:t>9、没有重大违法记录的书面声明：参加本次采购活动前 3 年内，在经营活动中没有重大违法记录的书面声明；</w:t>
      </w:r>
    </w:p>
    <w:p>
      <w:pPr>
        <w:pStyle w:val="null3"/>
      </w:pPr>
      <w:r>
        <w:rPr>
          <w:rFonts w:ascii="仿宋_GB2312" w:hAnsi="仿宋_GB2312" w:cs="仿宋_GB2312" w:eastAsia="仿宋_GB2312"/>
        </w:rPr>
        <w:t>10、企业关联关系：法定代表人（负责人）为同一人或者存在直接控股、管理关系的不同供应商，不得同时参加本采购项目投标；</w:t>
      </w:r>
    </w:p>
    <w:p>
      <w:pPr>
        <w:pStyle w:val="null3"/>
      </w:pPr>
      <w:r>
        <w:rPr>
          <w:rFonts w:ascii="仿宋_GB2312" w:hAnsi="仿宋_GB2312" w:cs="仿宋_GB2312" w:eastAsia="仿宋_GB2312"/>
        </w:rPr>
        <w:t>11、企业信誉信息：供应商未被列入“信用中国”网站（https://www.creditchina.gov.cn/)“重大税收违法失信主体”名单、“失信被执行人”名单（页面跳转至“中国执行信息公开网”（https://zxgk.court.gov.cn/shixin/）；不处于中国政府采购网（https://www.ccgp.gov.cn/）“政府采购严重违法失信行为信息记录”中的禁止参加政府采购活动期间；</w:t>
      </w:r>
    </w:p>
    <w:p>
      <w:pPr>
        <w:pStyle w:val="null3"/>
      </w:pPr>
      <w:r>
        <w:rPr>
          <w:rFonts w:ascii="仿宋_GB2312" w:hAnsi="仿宋_GB2312" w:cs="仿宋_GB2312" w:eastAsia="仿宋_GB2312"/>
        </w:rPr>
        <w:t>12、中小企业：本项目为专门面向中小企业项目，供应商应为中型企业、小型企业、微型企业或监狱企业或残疾人福利性单位。供应商为中小企业的，提供《中小企业声明函》；供应商为监狱企业的，应提供监狱企业的证明文件；供应商为残疾人福利性单位的，应提供《残疾人福利 性单位声明函》（监狱企业或残疾人福利性单位视同小型、微型企业）；</w:t>
      </w:r>
    </w:p>
    <w:p>
      <w:pPr>
        <w:pStyle w:val="null3"/>
      </w:pPr>
      <w:r>
        <w:rPr>
          <w:rFonts w:ascii="仿宋_GB2312" w:hAnsi="仿宋_GB2312" w:cs="仿宋_GB2312" w:eastAsia="仿宋_GB2312"/>
        </w:rPr>
        <w:t>13、联合体：本项目不接受联合体磋商。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西安市莲湖区北院门街道办事处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西安市莲湖区北院门133号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西安市莲湖区北院门街道办事处经办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15809240859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亿诚建设项目管理有限公司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陕西省西安市雁塔区陕西省西安市高新区丈八五路高科尚都ONE尚城A座10F</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董海龙、赵醒文、赵利科、崔芮菁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029-68683878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采购包1：1,978,600.00元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以成交价为基数，参照国家计委颁布的《招标代理服务收费管理暂行办法》（计价格〔2002〕1980号）及《国家发展改革委办公厅关于招标代理服务费有关问题的通知》（发改办价格〔2003〕857号）文中的收费标准计取，由成交供应商在领取成交通知书前一次性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西安市莲湖区北院门街道办事处</w:t>
      </w:r>
      <w:r>
        <w:rPr>
          <w:rFonts w:ascii="仿宋_GB2312" w:hAnsi="仿宋_GB2312" w:cs="仿宋_GB2312" w:eastAsia="仿宋_GB2312"/>
        </w:rPr>
        <w:t>和</w:t>
      </w:r>
      <w:r>
        <w:rPr>
          <w:rFonts w:ascii="仿宋_GB2312" w:hAnsi="仿宋_GB2312" w:cs="仿宋_GB2312" w:eastAsia="仿宋_GB2312"/>
        </w:rPr>
        <w:t>亿诚建设项目管理有限公司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西安市莲湖区北院门街道办事处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亿诚建设项目管理有限公司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西安市莲湖区北院门街道办事处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亿诚建设项目管理有限公司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达到施工验收规范“合格”标准; 达到消防验收标准以及现行的国家标准或国家行政部门颁布的法律法规、规章制度等。</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亿诚建设项目管理有限公司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联系人：董海龙、赵醒文、赵利科、崔芮菁</w:t>
      </w:r>
    </w:p>
    <w:p>
      <w:pPr>
        <w:pStyle w:val="null3"/>
      </w:pPr>
      <w:r>
        <w:rPr>
          <w:rFonts w:ascii="仿宋_GB2312" w:hAnsi="仿宋_GB2312" w:cs="仿宋_GB2312" w:eastAsia="仿宋_GB2312"/>
        </w:rPr>
        <w:t>联系电话：029-68683878</w:t>
      </w:r>
    </w:p>
    <w:p>
      <w:pPr>
        <w:pStyle w:val="null3"/>
      </w:pPr>
      <w:r>
        <w:rPr>
          <w:rFonts w:ascii="仿宋_GB2312" w:hAnsi="仿宋_GB2312" w:cs="仿宋_GB2312" w:eastAsia="仿宋_GB2312"/>
        </w:rPr>
        <w:t>地址：西安市高新区丈八五路高科尚都one尚城A座10F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1,978,600.00</w:t>
      </w:r>
    </w:p>
    <w:p>
      <w:pPr>
        <w:pStyle w:val="null3"/>
      </w:pPr>
      <w:r>
        <w:rPr>
          <w:rFonts w:ascii="仿宋_GB2312" w:hAnsi="仿宋_GB2312" w:cs="仿宋_GB2312" w:eastAsia="仿宋_GB2312"/>
        </w:rPr>
        <w:t>采购包最高限价（元）: 1,832,815.11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消防系统维修改造工程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1,978,600.00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标的名称：消防系统维修改造工程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一、工程内容和施工地点、计划工期、缺陷责任期、质量保修期</w:t>
            </w:r>
          </w:p>
          <w:p>
            <w:pPr>
              <w:pStyle w:val="null3"/>
            </w:pP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工程内容：</w:t>
            </w:r>
          </w:p>
          <w:p>
            <w:pPr>
              <w:pStyle w:val="null3"/>
            </w:pPr>
            <w:r>
              <w:rPr>
                <w:rFonts w:ascii="仿宋_GB2312" w:hAnsi="仿宋_GB2312" w:cs="仿宋_GB2312" w:eastAsia="仿宋_GB2312"/>
              </w:rPr>
              <w:t>1</w:t>
            </w:r>
            <w:r>
              <w:rPr>
                <w:rFonts w:ascii="仿宋_GB2312" w:hAnsi="仿宋_GB2312" w:cs="仿宋_GB2312" w:eastAsia="仿宋_GB2312"/>
              </w:rPr>
              <w:t>、按照现场消防泵房位置确认，原消防水泵、吸水和出水管道、阀门拆除后重新更换安装，消防泵、水泵控制柜及其电力电缆更新更换重新安装；泵房内增加流量计、水锤消除器、管道、阀门等设备；更换湿式报警阀组及管网，增设就地液位计及电子远传液位计，并进行设备调试；增补完善消火栓系统和喷淋系统室外消防水泵接合器及其管道阀门井室等设施。</w:t>
            </w:r>
          </w:p>
          <w:p>
            <w:pPr>
              <w:pStyle w:val="null3"/>
            </w:pPr>
            <w:r>
              <w:rPr>
                <w:rFonts w:ascii="仿宋_GB2312" w:hAnsi="仿宋_GB2312" w:cs="仿宋_GB2312" w:eastAsia="仿宋_GB2312"/>
              </w:rPr>
              <w:t>2</w:t>
            </w:r>
            <w:r>
              <w:rPr>
                <w:rFonts w:ascii="仿宋_GB2312" w:hAnsi="仿宋_GB2312" w:cs="仿宋_GB2312" w:eastAsia="仿宋_GB2312"/>
              </w:rPr>
              <w:t>、按照现场消防高位水箱位置，重新更换安装不锈钢高位消防水箱、管道、止回阀、消防电话分机、现场就地液位计及电子远传液位计，安装水箱保温及管道保温，室外明露管道保温措施。</w:t>
            </w:r>
          </w:p>
          <w:p>
            <w:pPr>
              <w:pStyle w:val="null3"/>
            </w:pPr>
            <w:r>
              <w:rPr>
                <w:rFonts w:ascii="仿宋_GB2312" w:hAnsi="仿宋_GB2312" w:cs="仿宋_GB2312" w:eastAsia="仿宋_GB2312"/>
              </w:rPr>
              <w:t>3</w:t>
            </w:r>
            <w:r>
              <w:rPr>
                <w:rFonts w:ascii="仿宋_GB2312" w:hAnsi="仿宋_GB2312" w:cs="仿宋_GB2312" w:eastAsia="仿宋_GB2312"/>
              </w:rPr>
              <w:t>、消防水系统所有老旧锈蚀和损坏的管道、阀门、喷淋头、消防箱、消火栓栓头等拆除后重新更新安装（至于部分消防箱能否使用根据现场情况再定）；增补完善原未施工安装的消防管道、阀门和喷淋系统等等。</w:t>
            </w:r>
          </w:p>
          <w:p>
            <w:pPr>
              <w:pStyle w:val="null3"/>
            </w:pPr>
            <w:r>
              <w:rPr>
                <w:rFonts w:ascii="仿宋_GB2312" w:hAnsi="仿宋_GB2312" w:cs="仿宋_GB2312" w:eastAsia="仿宋_GB2312"/>
              </w:rPr>
              <w:t>4</w:t>
            </w:r>
            <w:r>
              <w:rPr>
                <w:rFonts w:ascii="仿宋_GB2312" w:hAnsi="仿宋_GB2312" w:cs="仿宋_GB2312" w:eastAsia="仿宋_GB2312"/>
              </w:rPr>
              <w:t>、拆除各层走道内吊顶，对吊顶内管道和阀门、设备和线缆、风管和风阀等进行检查排查、测试试验，根据排查情况进行维修和更新更换。</w:t>
            </w:r>
          </w:p>
          <w:p>
            <w:pPr>
              <w:pStyle w:val="null3"/>
            </w:pPr>
            <w:r>
              <w:rPr>
                <w:rFonts w:ascii="仿宋_GB2312" w:hAnsi="仿宋_GB2312" w:cs="仿宋_GB2312" w:eastAsia="仿宋_GB2312"/>
              </w:rPr>
              <w:t>5</w:t>
            </w:r>
            <w:r>
              <w:rPr>
                <w:rFonts w:ascii="仿宋_GB2312" w:hAnsi="仿宋_GB2312" w:cs="仿宋_GB2312" w:eastAsia="仿宋_GB2312"/>
              </w:rPr>
              <w:t>、增设消防控制室、增设消防报警及联动控制系统及各子系统主机、设备间增设消防电话分机和增设消防联动控制线缆；确保消防控制室在紧急情况下直接启泵和启停消防风机，消控室能与水泵房及高位水箱和配电室等重要设备房紧急通话；拆除和更新更换已安装的部分老旧设备，检修原有消防线路，根据设计图纸增补完善所有消防报警设备设施，根据设计图纸增补完善所有消防系统线路线缆。</w:t>
            </w:r>
          </w:p>
          <w:p>
            <w:pPr>
              <w:pStyle w:val="null3"/>
            </w:pPr>
            <w:r>
              <w:rPr>
                <w:rFonts w:ascii="仿宋_GB2312" w:hAnsi="仿宋_GB2312" w:cs="仿宋_GB2312" w:eastAsia="仿宋_GB2312"/>
              </w:rPr>
              <w:t>6</w:t>
            </w:r>
            <w:r>
              <w:rPr>
                <w:rFonts w:ascii="仿宋_GB2312" w:hAnsi="仿宋_GB2312" w:cs="仿宋_GB2312" w:eastAsia="仿宋_GB2312"/>
              </w:rPr>
              <w:t>、检查、排查应急照明和疏散指示系统，检修系统供电线路，更新更换和增补完善所有应急照明和疏散指示设备灯具及其供电线路。</w:t>
            </w:r>
          </w:p>
          <w:p>
            <w:pPr>
              <w:pStyle w:val="null3"/>
            </w:pPr>
            <w:r>
              <w:rPr>
                <w:rFonts w:ascii="仿宋_GB2312" w:hAnsi="仿宋_GB2312" w:cs="仿宋_GB2312" w:eastAsia="仿宋_GB2312"/>
              </w:rPr>
              <w:t>7</w:t>
            </w:r>
            <w:r>
              <w:rPr>
                <w:rFonts w:ascii="仿宋_GB2312" w:hAnsi="仿宋_GB2312" w:cs="仿宋_GB2312" w:eastAsia="仿宋_GB2312"/>
              </w:rPr>
              <w:t>、对配电室、柴发机房、消防水泵房等重要设备用房，楼梯间及其前室，建筑内走道等使用运行和功能所需的送排风、防排烟系统进行检修和完善、包括拆除和更新更换；同时配电室内增设气体灭火设施。</w:t>
            </w:r>
          </w:p>
          <w:p>
            <w:pPr>
              <w:pStyle w:val="null3"/>
            </w:pPr>
            <w:r>
              <w:rPr>
                <w:rFonts w:ascii="仿宋_GB2312" w:hAnsi="仿宋_GB2312" w:cs="仿宋_GB2312" w:eastAsia="仿宋_GB2312"/>
              </w:rPr>
              <w:t>8</w:t>
            </w:r>
            <w:r>
              <w:rPr>
                <w:rFonts w:ascii="仿宋_GB2312" w:hAnsi="仿宋_GB2312" w:cs="仿宋_GB2312" w:eastAsia="仿宋_GB2312"/>
              </w:rPr>
              <w:t>、检查排查走道、前室、设备间等部位的防火门，维修和更换，检查电井、设备间、楼梯间等部位的防火封堵，并进行整改和完善。</w:t>
            </w:r>
          </w:p>
          <w:p>
            <w:pPr>
              <w:pStyle w:val="null3"/>
            </w:pPr>
            <w:r>
              <w:rPr>
                <w:rFonts w:ascii="仿宋_GB2312" w:hAnsi="仿宋_GB2312" w:cs="仿宋_GB2312" w:eastAsia="仿宋_GB2312"/>
              </w:rPr>
              <w:t>9</w:t>
            </w:r>
            <w:r>
              <w:rPr>
                <w:rFonts w:ascii="仿宋_GB2312" w:hAnsi="仿宋_GB2312" w:cs="仿宋_GB2312" w:eastAsia="仿宋_GB2312"/>
              </w:rPr>
              <w:t>、最后对整体消防设施进行编码编程调试、对系统进行试运行和测试试验，确保整个系统的功能完善、运行使用可靠、稳定。</w:t>
            </w:r>
          </w:p>
          <w:p>
            <w:pPr>
              <w:pStyle w:val="null3"/>
            </w:pPr>
            <w:r>
              <w:rPr>
                <w:rFonts w:ascii="仿宋_GB2312" w:hAnsi="仿宋_GB2312" w:cs="仿宋_GB2312" w:eastAsia="仿宋_GB2312"/>
              </w:rPr>
              <w:t>（二）工程地点：西安市莲湖区北院门街道琉璃街与梁家牌楼交叉口。</w:t>
            </w:r>
          </w:p>
          <w:p>
            <w:pPr>
              <w:pStyle w:val="null3"/>
            </w:pPr>
            <w:r>
              <w:rPr>
                <w:rFonts w:ascii="仿宋_GB2312" w:hAnsi="仿宋_GB2312" w:cs="仿宋_GB2312" w:eastAsia="仿宋_GB2312"/>
              </w:rPr>
              <w:t>（三）计划工期：自正式开工进场之日起</w:t>
            </w:r>
            <w:r>
              <w:rPr>
                <w:rFonts w:ascii="仿宋_GB2312" w:hAnsi="仿宋_GB2312" w:cs="仿宋_GB2312" w:eastAsia="仿宋_GB2312"/>
              </w:rPr>
              <w:t xml:space="preserve">120 </w:t>
            </w:r>
            <w:r>
              <w:rPr>
                <w:rFonts w:ascii="仿宋_GB2312" w:hAnsi="仿宋_GB2312" w:cs="仿宋_GB2312" w:eastAsia="仿宋_GB2312"/>
              </w:rPr>
              <w:t>个日历日内竣工。</w:t>
            </w:r>
          </w:p>
          <w:p>
            <w:pPr>
              <w:pStyle w:val="null3"/>
            </w:pPr>
            <w:r>
              <w:rPr>
                <w:rFonts w:ascii="仿宋_GB2312" w:hAnsi="仿宋_GB2312" w:cs="仿宋_GB2312" w:eastAsia="仿宋_GB2312"/>
              </w:rPr>
              <w:t>（四）缺陷责任期：</w:t>
            </w:r>
            <w:r>
              <w:rPr>
                <w:rFonts w:ascii="仿宋_GB2312" w:hAnsi="仿宋_GB2312" w:cs="仿宋_GB2312" w:eastAsia="仿宋_GB2312"/>
              </w:rPr>
              <w:t>贰</w:t>
            </w:r>
            <w:r>
              <w:rPr>
                <w:rFonts w:ascii="仿宋_GB2312" w:hAnsi="仿宋_GB2312" w:cs="仿宋_GB2312" w:eastAsia="仿宋_GB2312"/>
              </w:rPr>
              <w:t>年。</w:t>
            </w:r>
          </w:p>
          <w:p>
            <w:pPr>
              <w:pStyle w:val="null3"/>
            </w:pPr>
            <w:r>
              <w:rPr>
                <w:rFonts w:ascii="仿宋_GB2312" w:hAnsi="仿宋_GB2312" w:cs="仿宋_GB2312" w:eastAsia="仿宋_GB2312"/>
              </w:rPr>
              <w:t>（五）质量保修期：</w:t>
            </w:r>
            <w:r>
              <w:rPr>
                <w:rFonts w:ascii="仿宋_GB2312" w:hAnsi="仿宋_GB2312" w:cs="仿宋_GB2312" w:eastAsia="仿宋_GB2312"/>
              </w:rPr>
              <w:t>贰</w:t>
            </w:r>
            <w:r>
              <w:rPr>
                <w:rFonts w:ascii="仿宋_GB2312" w:hAnsi="仿宋_GB2312" w:cs="仿宋_GB2312" w:eastAsia="仿宋_GB2312"/>
              </w:rPr>
              <w:t>年。</w:t>
            </w:r>
          </w:p>
          <w:p>
            <w:pPr>
              <w:pStyle w:val="null3"/>
            </w:pPr>
            <w:r>
              <w:rPr>
                <w:rFonts w:ascii="仿宋_GB2312" w:hAnsi="仿宋_GB2312" w:cs="仿宋_GB2312" w:eastAsia="仿宋_GB2312"/>
              </w:rPr>
              <w:t>二、</w:t>
            </w:r>
            <w:r>
              <w:rPr>
                <w:rFonts w:ascii="仿宋_GB2312" w:hAnsi="仿宋_GB2312" w:cs="仿宋_GB2312" w:eastAsia="仿宋_GB2312"/>
              </w:rPr>
              <w:t>工程量清单和计价依据</w:t>
            </w:r>
          </w:p>
          <w:p>
            <w:pPr>
              <w:pStyle w:val="null3"/>
            </w:pPr>
            <w:r>
              <w:rPr>
                <w:rFonts w:ascii="仿宋_GB2312" w:hAnsi="仿宋_GB2312" w:cs="仿宋_GB2312" w:eastAsia="仿宋_GB2312"/>
              </w:rPr>
              <w:t>（一）计价依据：</w:t>
            </w:r>
          </w:p>
          <w:p>
            <w:pPr>
              <w:pStyle w:val="null3"/>
            </w:pPr>
            <w:r>
              <w:rPr>
                <w:rFonts w:ascii="仿宋_GB2312" w:hAnsi="仿宋_GB2312" w:cs="仿宋_GB2312" w:eastAsia="仿宋_GB2312"/>
              </w:rPr>
              <w:t>1</w:t>
            </w:r>
            <w:r>
              <w:rPr>
                <w:rFonts w:ascii="仿宋_GB2312" w:hAnsi="仿宋_GB2312" w:cs="仿宋_GB2312" w:eastAsia="仿宋_GB2312"/>
              </w:rPr>
              <w:t>、《陕西省建设工程工程量清单计价计算标准》（</w:t>
            </w:r>
            <w:r>
              <w:rPr>
                <w:rFonts w:ascii="仿宋_GB2312" w:hAnsi="仿宋_GB2312" w:cs="仿宋_GB2312" w:eastAsia="仿宋_GB2312"/>
              </w:rPr>
              <w:t>2025</w:t>
            </w:r>
            <w:r>
              <w:rPr>
                <w:rFonts w:ascii="仿宋_GB2312" w:hAnsi="仿宋_GB2312" w:cs="仿宋_GB2312" w:eastAsia="仿宋_GB2312"/>
              </w:rPr>
              <w:t>）、《陕西省建设工程费用规则》</w:t>
            </w:r>
            <w:r>
              <w:rPr>
                <w:rFonts w:ascii="仿宋_GB2312" w:hAnsi="仿宋_GB2312" w:cs="仿宋_GB2312" w:eastAsia="仿宋_GB2312"/>
              </w:rPr>
              <w:t>(2025)</w:t>
            </w:r>
            <w:r>
              <w:rPr>
                <w:rFonts w:ascii="仿宋_GB2312" w:hAnsi="仿宋_GB2312" w:cs="仿宋_GB2312" w:eastAsia="仿宋_GB2312"/>
              </w:rPr>
              <w:t>；</w:t>
            </w:r>
          </w:p>
          <w:p>
            <w:pPr>
              <w:pStyle w:val="null3"/>
            </w:pPr>
            <w:r>
              <w:rPr>
                <w:rFonts w:ascii="仿宋_GB2312" w:hAnsi="仿宋_GB2312" w:cs="仿宋_GB2312" w:eastAsia="仿宋_GB2312"/>
              </w:rPr>
              <w:t>2</w:t>
            </w:r>
            <w:r>
              <w:rPr>
                <w:rFonts w:ascii="仿宋_GB2312" w:hAnsi="仿宋_GB2312" w:cs="仿宋_GB2312" w:eastAsia="仿宋_GB2312"/>
              </w:rPr>
              <w:t>、《陕西省房屋建筑与装饰工程消耗量定额》</w:t>
            </w:r>
            <w:r>
              <w:rPr>
                <w:rFonts w:ascii="仿宋_GB2312" w:hAnsi="仿宋_GB2312" w:cs="仿宋_GB2312" w:eastAsia="仿宋_GB2312"/>
              </w:rPr>
              <w:t>(2025)</w:t>
            </w:r>
            <w:r>
              <w:rPr>
                <w:rFonts w:ascii="仿宋_GB2312" w:hAnsi="仿宋_GB2312" w:cs="仿宋_GB2312" w:eastAsia="仿宋_GB2312"/>
              </w:rPr>
              <w:t>、《陕西省通用安装工程消耗量定额》</w:t>
            </w:r>
            <w:r>
              <w:rPr>
                <w:rFonts w:ascii="仿宋_GB2312" w:hAnsi="仿宋_GB2312" w:cs="仿宋_GB2312" w:eastAsia="仿宋_GB2312"/>
              </w:rPr>
              <w:t>(2025)</w:t>
            </w:r>
            <w:r>
              <w:rPr>
                <w:rFonts w:ascii="仿宋_GB2312" w:hAnsi="仿宋_GB2312" w:cs="仿宋_GB2312" w:eastAsia="仿宋_GB2312"/>
              </w:rPr>
              <w:t>、《陕西省市政工程消耗量定额》</w:t>
            </w:r>
            <w:r>
              <w:rPr>
                <w:rFonts w:ascii="仿宋_GB2312" w:hAnsi="仿宋_GB2312" w:cs="仿宋_GB2312" w:eastAsia="仿宋_GB2312"/>
              </w:rPr>
              <w:t>(2025)</w:t>
            </w:r>
            <w:r>
              <w:rPr>
                <w:rFonts w:ascii="仿宋_GB2312" w:hAnsi="仿宋_GB2312" w:cs="仿宋_GB2312" w:eastAsia="仿宋_GB2312"/>
              </w:rPr>
              <w:t>、《陕西省园林绿化工程消耗量定额》</w:t>
            </w:r>
            <w:r>
              <w:rPr>
                <w:rFonts w:ascii="仿宋_GB2312" w:hAnsi="仿宋_GB2312" w:cs="仿宋_GB2312" w:eastAsia="仿宋_GB2312"/>
              </w:rPr>
              <w:t>(2025)</w:t>
            </w:r>
            <w:r>
              <w:rPr>
                <w:rFonts w:ascii="仿宋_GB2312" w:hAnsi="仿宋_GB2312" w:cs="仿宋_GB2312" w:eastAsia="仿宋_GB2312"/>
              </w:rPr>
              <w:t>、《陕西省绿色建筑工程消耗量定额》</w:t>
            </w:r>
            <w:r>
              <w:rPr>
                <w:rFonts w:ascii="仿宋_GB2312" w:hAnsi="仿宋_GB2312" w:cs="仿宋_GB2312" w:eastAsia="仿宋_GB2312"/>
              </w:rPr>
              <w:t>(2025)</w:t>
            </w:r>
            <w:r>
              <w:rPr>
                <w:rFonts w:ascii="仿宋_GB2312" w:hAnsi="仿宋_GB2312" w:cs="仿宋_GB2312" w:eastAsia="仿宋_GB2312"/>
              </w:rPr>
              <w:t>、《陕西省建设工程施工机械台班费用定额》</w:t>
            </w:r>
            <w:r>
              <w:rPr>
                <w:rFonts w:ascii="仿宋_GB2312" w:hAnsi="仿宋_GB2312" w:cs="仿宋_GB2312" w:eastAsia="仿宋_GB2312"/>
              </w:rPr>
              <w:t>(2025)</w:t>
            </w:r>
            <w:r>
              <w:rPr>
                <w:rFonts w:ascii="仿宋_GB2312" w:hAnsi="仿宋_GB2312" w:cs="仿宋_GB2312" w:eastAsia="仿宋_GB2312"/>
              </w:rPr>
              <w:t>、《陕西省建设工程施工仪器仪表台班费用定额》</w:t>
            </w:r>
            <w:r>
              <w:rPr>
                <w:rFonts w:ascii="仿宋_GB2312" w:hAnsi="仿宋_GB2312" w:cs="仿宋_GB2312" w:eastAsia="仿宋_GB2312"/>
              </w:rPr>
              <w:t>(2025)</w:t>
            </w:r>
            <w:r>
              <w:rPr>
                <w:rFonts w:ascii="仿宋_GB2312" w:hAnsi="仿宋_GB2312" w:cs="仿宋_GB2312" w:eastAsia="仿宋_GB2312"/>
              </w:rPr>
              <w:t>及其他相关文件；</w:t>
            </w:r>
          </w:p>
          <w:p>
            <w:pPr>
              <w:pStyle w:val="null3"/>
            </w:pPr>
            <w:r>
              <w:rPr>
                <w:rFonts w:ascii="仿宋_GB2312" w:hAnsi="仿宋_GB2312" w:cs="仿宋_GB2312" w:eastAsia="仿宋_GB2312"/>
              </w:rPr>
              <w:t>3</w:t>
            </w:r>
            <w:r>
              <w:rPr>
                <w:rFonts w:ascii="仿宋_GB2312" w:hAnsi="仿宋_GB2312" w:cs="仿宋_GB2312" w:eastAsia="仿宋_GB2312"/>
              </w:rPr>
              <w:t>、《陕西省房屋建筑与装饰工程基价表</w:t>
            </w:r>
            <w:r>
              <w:rPr>
                <w:rFonts w:ascii="仿宋_GB2312" w:hAnsi="仿宋_GB2312" w:cs="仿宋_GB2312" w:eastAsia="仿宋_GB2312"/>
              </w:rPr>
              <w:t>(2025)</w:t>
            </w:r>
            <w:r>
              <w:rPr>
                <w:rFonts w:ascii="仿宋_GB2312" w:hAnsi="仿宋_GB2312" w:cs="仿宋_GB2312" w:eastAsia="仿宋_GB2312"/>
              </w:rPr>
              <w:t>、《陕西省通用安装工程基价表</w:t>
            </w:r>
            <w:r>
              <w:rPr>
                <w:rFonts w:ascii="仿宋_GB2312" w:hAnsi="仿宋_GB2312" w:cs="仿宋_GB2312" w:eastAsia="仿宋_GB2312"/>
              </w:rPr>
              <w:t>(2025)</w:t>
            </w:r>
            <w:r>
              <w:rPr>
                <w:rFonts w:ascii="仿宋_GB2312" w:hAnsi="仿宋_GB2312" w:cs="仿宋_GB2312" w:eastAsia="仿宋_GB2312"/>
              </w:rPr>
              <w:t>、《陕西省市政工程基价表》</w:t>
            </w:r>
            <w:r>
              <w:rPr>
                <w:rFonts w:ascii="仿宋_GB2312" w:hAnsi="仿宋_GB2312" w:cs="仿宋_GB2312" w:eastAsia="仿宋_GB2312"/>
              </w:rPr>
              <w:t>(2025)</w:t>
            </w:r>
            <w:r>
              <w:rPr>
                <w:rFonts w:ascii="仿宋_GB2312" w:hAnsi="仿宋_GB2312" w:cs="仿宋_GB2312" w:eastAsia="仿宋_GB2312"/>
              </w:rPr>
              <w:t>、《陕西省园林绿化工程基价表》</w:t>
            </w:r>
            <w:r>
              <w:rPr>
                <w:rFonts w:ascii="仿宋_GB2312" w:hAnsi="仿宋_GB2312" w:cs="仿宋_GB2312" w:eastAsia="仿宋_GB2312"/>
              </w:rPr>
              <w:t>(2025)</w:t>
            </w:r>
            <w:r>
              <w:rPr>
                <w:rFonts w:ascii="仿宋_GB2312" w:hAnsi="仿宋_GB2312" w:cs="仿宋_GB2312" w:eastAsia="仿宋_GB2312"/>
              </w:rPr>
              <w:t>、《陕西省绿色建筑工程基价表》</w:t>
            </w:r>
            <w:r>
              <w:rPr>
                <w:rFonts w:ascii="仿宋_GB2312" w:hAnsi="仿宋_GB2312" w:cs="仿宋_GB2312" w:eastAsia="仿宋_GB2312"/>
              </w:rPr>
              <w:t>(2025)</w:t>
            </w:r>
            <w:r>
              <w:rPr>
                <w:rFonts w:ascii="仿宋_GB2312" w:hAnsi="仿宋_GB2312" w:cs="仿宋_GB2312" w:eastAsia="仿宋_GB2312"/>
              </w:rPr>
              <w:t>及其他相关文件；</w:t>
            </w:r>
          </w:p>
          <w:p>
            <w:pPr>
              <w:pStyle w:val="null3"/>
            </w:pPr>
            <w:r>
              <w:rPr>
                <w:rFonts w:ascii="仿宋_GB2312" w:hAnsi="仿宋_GB2312" w:cs="仿宋_GB2312" w:eastAsia="仿宋_GB2312"/>
              </w:rPr>
              <w:t>4</w:t>
            </w:r>
            <w:r>
              <w:rPr>
                <w:rFonts w:ascii="仿宋_GB2312" w:hAnsi="仿宋_GB2312" w:cs="仿宋_GB2312" w:eastAsia="仿宋_GB2312"/>
              </w:rPr>
              <w:t>、材料价参考陕西省西安市</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2</w:t>
            </w:r>
            <w:r>
              <w:rPr>
                <w:rFonts w:ascii="仿宋_GB2312" w:hAnsi="仿宋_GB2312" w:cs="仿宋_GB2312" w:eastAsia="仿宋_GB2312"/>
              </w:rPr>
              <w:t>月份信息价，信息价没有的参考市场价计入；</w:t>
            </w:r>
          </w:p>
          <w:p>
            <w:pPr>
              <w:pStyle w:val="null3"/>
            </w:pPr>
            <w:r>
              <w:rPr>
                <w:rFonts w:ascii="仿宋_GB2312" w:hAnsi="仿宋_GB2312" w:cs="仿宋_GB2312" w:eastAsia="仿宋_GB2312"/>
              </w:rPr>
              <w:t>5</w:t>
            </w:r>
            <w:r>
              <w:rPr>
                <w:rFonts w:ascii="仿宋_GB2312" w:hAnsi="仿宋_GB2312" w:cs="仿宋_GB2312" w:eastAsia="仿宋_GB2312"/>
              </w:rPr>
              <w:t>、施工现场情况、工程特点及常规施工方案；现行国家和陕西省建筑施工规范；</w:t>
            </w:r>
          </w:p>
          <w:p>
            <w:pPr>
              <w:pStyle w:val="null3"/>
            </w:pPr>
            <w:r>
              <w:rPr>
                <w:rFonts w:ascii="仿宋_GB2312" w:hAnsi="仿宋_GB2312" w:cs="仿宋_GB2312" w:eastAsia="仿宋_GB2312"/>
              </w:rPr>
              <w:t>6</w:t>
            </w:r>
            <w:r>
              <w:rPr>
                <w:rFonts w:ascii="仿宋_GB2312" w:hAnsi="仿宋_GB2312" w:cs="仿宋_GB2312" w:eastAsia="仿宋_GB2312"/>
              </w:rPr>
              <w:t>、其他相关资料。</w:t>
            </w:r>
          </w:p>
          <w:p>
            <w:pPr>
              <w:pStyle w:val="null3"/>
            </w:pP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工程量清单：</w:t>
            </w:r>
          </w:p>
          <w:p>
            <w:pPr>
              <w:pStyle w:val="null3"/>
            </w:pPr>
            <w:r>
              <w:rPr>
                <w:rFonts w:ascii="仿宋_GB2312" w:hAnsi="仿宋_GB2312" w:cs="仿宋_GB2312" w:eastAsia="仿宋_GB2312"/>
              </w:rPr>
              <w:t>另附</w:t>
            </w:r>
          </w:p>
          <w:p>
            <w:pPr>
              <w:pStyle w:val="null3"/>
            </w:pPr>
            <w:r>
              <w:rPr>
                <w:rFonts w:ascii="仿宋_GB2312" w:hAnsi="仿宋_GB2312" w:cs="仿宋_GB2312" w:eastAsia="仿宋_GB2312"/>
              </w:rPr>
              <w:t>三</w:t>
            </w:r>
            <w:r>
              <w:rPr>
                <w:rFonts w:ascii="仿宋_GB2312" w:hAnsi="仿宋_GB2312" w:cs="仿宋_GB2312" w:eastAsia="仿宋_GB2312"/>
              </w:rPr>
              <w:t>、施工要求</w:t>
            </w:r>
          </w:p>
          <w:p>
            <w:pPr>
              <w:pStyle w:val="null3"/>
            </w:pPr>
            <w:r>
              <w:rPr>
                <w:rFonts w:ascii="仿宋_GB2312" w:hAnsi="仿宋_GB2312" w:cs="仿宋_GB2312" w:eastAsia="仿宋_GB2312"/>
              </w:rPr>
              <w:t>在施工期间，中标供应商必须注意建筑内外人员安全，加强安全措施、注意防火和防盗等安全防范，并对施工人员进行安全教育。</w:t>
            </w:r>
          </w:p>
          <w:p>
            <w:pPr>
              <w:pStyle w:val="null3"/>
            </w:pPr>
            <w:r>
              <w:rPr>
                <w:rFonts w:ascii="仿宋_GB2312" w:hAnsi="仿宋_GB2312" w:cs="仿宋_GB2312" w:eastAsia="仿宋_GB2312"/>
              </w:rPr>
              <w:t>特殊工种施工人员必须持证上岗。</w:t>
            </w:r>
          </w:p>
          <w:p>
            <w:pPr>
              <w:pStyle w:val="null3"/>
            </w:pPr>
            <w:r>
              <w:rPr>
                <w:rFonts w:ascii="仿宋_GB2312" w:hAnsi="仿宋_GB2312" w:cs="仿宋_GB2312" w:eastAsia="仿宋_GB2312"/>
              </w:rPr>
              <w:t>因采购人工作的特殊性，要求中标供应商在施工中做到封闭性施工，以确保施工生产和居民生活同步进行。</w:t>
            </w:r>
          </w:p>
          <w:p>
            <w:pPr>
              <w:pStyle w:val="null3"/>
            </w:pPr>
            <w:r>
              <w:rPr>
                <w:rFonts w:ascii="仿宋_GB2312" w:hAnsi="仿宋_GB2312" w:cs="仿宋_GB2312" w:eastAsia="仿宋_GB2312"/>
              </w:rPr>
              <w:t>施工现场做好卫生清洁工作、工完场清；同时做好环境保护措施，尽量减少噪音扰民。</w:t>
            </w:r>
          </w:p>
          <w:p>
            <w:pPr>
              <w:pStyle w:val="null3"/>
            </w:pPr>
            <w:r>
              <w:rPr>
                <w:rFonts w:ascii="仿宋_GB2312" w:hAnsi="仿宋_GB2312" w:cs="仿宋_GB2312" w:eastAsia="仿宋_GB2312"/>
                <w:sz w:val="21"/>
              </w:rPr>
              <w:t>做好现场协调工作，避免与小区居民产生矛盾和纠纷，确保施工顺利进展。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满足竞争性磋商文件要求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1.项目暂列金：人民币 120000.00 元 因小区原始水电施工未全部完成未达到交付标准，故在维修改造过程中需后期联系供电所根据现场实际状况改造完善给各消防设施供强电电源的供配电事项；新增消控室内需要根据具体情况设置照明灯具、开关插座、防静电地板、双电源配电箱及其供电电源线路等设施；地下室消防水池和屋面高位消防水箱等需要自来水供水的设施维修；一层和二层各个已投入运营的商铺内施工改造过程中吊顶装饰等需要拆除和后期再恢复；以及在维修改造施工过程中不可预见的其它必要情况紧急处理等的实际花费支出，据实结算。 2.本项目为固定综合总价一次性包干工程，供应商报价应考虑本项目的前期方案设计、工程造价、招标代理等所有费用进行综合报价。 3.对供应商的业绩要求。 (1).自 2023 年 1 月 1 日至今承担过类似项目（指消防维修工程或消防改造工程或机电安装工程）业绩。 (2).类似项目定义：指消防维修工程或消防改造工程或机电安装工程项目业绩。 (3).申请人提供的业绩如有弄虚作假行为，一经查实，除取消其投标资格外，造成影响和损失的招标人将依法追究。 4.验收 （1）验收依据：《中华人民共和国建筑法》、《中华人民共和国消防法》、《建筑工程施工质量验收统一标准》、《相关材料环保检测规范》及现行建筑安装工程施工验收规范及质量验收评定标准、陕西省有关规定、招标文件、投标文件。 （2）责任主体：采购人 （3）验收内容： ①完成建设工程设计和合同约定的各项内容：确保工程按照设计图纸和合同要求全部完成，包括主体结构、装饰装修、设备安装等各个方面。 ②具备完整的技术档案和施工管理资料：包括工程设计图纸、变更记录、施工记录、质量检验报告等，这些资料是工程质量的直接证明。 ③施工单位签署的工程保修书：为工程质量提供后续保障，确保在使用过程中如出现问题能够得到及时的维修和处理。 （4）验收方法： ①施工单位提交竣工报告：施工单位自检合格并向建设单位提交竣工报告申请验收，包含工程的相关资料和质量检查结果。 ②进行竣工验收：验收过程包括汇报、审阅资料、实地查验和全面评价，确保工程符合设计和合同要求。 ③形成验收意见：验收合格后，建设单位需提出竣工验收报告，并满足《建设工程质量管理条例》规定的条件。 ④备案：完成验收后，需填写相应的验收报告（纸质版），采购人验收小组成员及施工单位需签字确认并填写验收意见，相关资料需进行备案，以便后续的使用和管理。 验收技术标准：符合国家相关行业标准。 5.本项目采用电子化投标与纸质投标并行的方式，供应商需要于首次磋商响应文件递交截止时间前完成线上、线下提交磋商响应文件的工作。纸质版响应文件为密封完好的正本一份，副本一份，且应与电子响应文件内容保持一致。 ①提交纸质版响应文件截止时间：以磋商公告为准； ②提交纸质版响应文件地点：陕西省西安市高新区丈八五路高科尚都ONE尚城A座10F； ③提交纸质版响应文件密封要求：磋商响应文件正本、副本共同装袋密封。封袋应加贴封条，并在封线处加盖供应商公章，封袋正面要粘贴供应商名称、项目名称、项目编号等标识。 ④递交纸质版磋商响应文件的同时，供应商须递交纸质版法定代表人授权委托书（附法定代表人身份证复印件及被授权人身份证复印件）及被授权人在提交首次响应文件截止时间前3个月内任意一个月的社保证明一份（法定代表人参加开标的，提供法定代表人身份证明书（附法定代表人身份证复印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供应商提供2024或2025年度经审计的财务审计报告（依据财政部、国务院国资委、金融监管总局印发的《关于加强审计报告查验工作的通知》（财会〔2023〕15号）文件的要求，财务审计报告须在“注册会计师行业统一监管平台”备案赋码且二维码清晰可查）或提供在提交首次响应文件截止时间前6个月内其基本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供应商拒绝政府采购领域商业贿赂承诺书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具有独立承担民事责任能力的法人、其他组织或自然人，提供合法有效的统一社会信用代码营业执照（事业单位提供事业单位法人证书，自然人提供身份证明）或其他合法有效的证明文件；</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法定代表人身份证明书（或法定代表人授权委托书、社保证明）</w:t>
            </w:r>
          </w:p>
        </w:tc>
        <w:tc>
          <w:tcPr>
            <w:tcW w:type="dxa" w:w="3322"/>
          </w:tcPr>
          <w:p>
            <w:pPr>
              <w:pStyle w:val="null3"/>
            </w:pPr>
            <w:r>
              <w:rPr>
                <w:rFonts w:ascii="仿宋_GB2312" w:hAnsi="仿宋_GB2312" w:cs="仿宋_GB2312" w:eastAsia="仿宋_GB2312"/>
              </w:rPr>
              <w:t>法定代表人参加开标的，提供法定代表人身份证明书（附法定代表人身份证复印件）；法定代表人授权他人参加开标的，提供法定代表人授权委托书（附法定代表人身份证复印件及被授权人身份证复印件）及被授权人在提交首次响应文件截止时间前3个月内任意一个月的社保证明；</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具有国家建设行政主管部门核发的建筑工程施工总承包三级及以上或消防设施工程专业承包二级及以上资质证书，且具有有效的安全生产许可证；</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拟派项目经理须具备机电工程专业二级及以上注册建造师执业资格，具备有效的安全生产考核合格证书，在本单位注册，且未担任其他在建工程项目的项目经理；</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度经审计的财务审计报告（依据财政部、国务院国资委、金融监管总局印发的《关于加强审计报告查验工作的通知》（财会〔2023〕15号）文件的要求，财务审计报告须在“注册会计师行业统一监管平台”备案赋码且二维码清晰可查）或提供在提交首次响应文件截止时间前6个月内其基本开户银行出具的资信证明；</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提供供应商在提交首次响应文件截止时间前6个月内已缴纳的任意1个月的完税凭证或税务机关开具的完税证明（任意税种）；依法免税的应提供相关文件证明；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提供供应商在提交首次响应文件截止时间前6个月内已缴存的任意一个月的社会保障资金缴存单据或社保机构开具的社会保险参保缴费情况证明；依法不需要缴纳社会保障资金的应提供相关文件证明；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设备及专业技术能力</w:t>
            </w:r>
          </w:p>
        </w:tc>
        <w:tc>
          <w:tcPr>
            <w:tcW w:type="dxa" w:w="3322"/>
          </w:tcPr>
          <w:p>
            <w:pPr>
              <w:pStyle w:val="null3"/>
            </w:pPr>
            <w:r>
              <w:rPr>
                <w:rFonts w:ascii="仿宋_GB2312" w:hAnsi="仿宋_GB2312" w:cs="仿宋_GB2312" w:eastAsia="仿宋_GB2312"/>
              </w:rPr>
              <w:t>供应商具备履行合同所必需的设备及专业技术能力；</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参加本次采购活动前 3 年内，在经营活动中没有重大违法记录的书面声明；</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法定代表人（负责人）为同一人或者存在直接控股、管理关系的不同供应商，不得同时参加本采购项目投标；</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企业信誉信息</w:t>
            </w:r>
          </w:p>
        </w:tc>
        <w:tc>
          <w:tcPr>
            <w:tcW w:type="dxa" w:w="3322"/>
          </w:tcPr>
          <w:p>
            <w:pPr>
              <w:pStyle w:val="null3"/>
            </w:pPr>
            <w:r>
              <w:rPr>
                <w:rFonts w:ascii="仿宋_GB2312" w:hAnsi="仿宋_GB2312" w:cs="仿宋_GB2312" w:eastAsia="仿宋_GB2312"/>
              </w:rPr>
              <w:t>供应商未被列入“信用中国”网站（https://www.creditchina.gov.cn/)“重大税收违法失信主体”名单、“失信被执行人”名单（页面跳转至“中国执行信息公开网”（https://zxgk.court.gov.cn/shixin/）；不处于中国政府采购网（https://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供应商为中小企业的，提供《中小企业声明函》；供应商为监狱企业的，应提供监狱企业的证明文件；供应商为残疾人福利性单位的，应提供《残疾人福利 性单位声明函》（监狱企业或残疾人福利性单位视同小型、微型企业）；</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满足竞争性磋商文件格式要求</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满足竞争性磋商文件格式要求</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按竞争性磋商文件要求报价，不得提交选择性报价，且报价不超过最高限价。</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满足竞争性磋商文件中的规定</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满足竞争性磋商文件中的规定</w:t>
            </w:r>
          </w:p>
        </w:tc>
        <w:tc>
          <w:tcPr>
            <w:tcW w:type="dxa" w:w="1661"/>
          </w:tcPr>
          <w:p>
            <w:pPr>
              <w:pStyle w:val="null3"/>
            </w:pPr>
            <w:r>
              <w:rPr>
                <w:rFonts w:ascii="仿宋_GB2312" w:hAnsi="仿宋_GB2312" w:cs="仿宋_GB2312" w:eastAsia="仿宋_GB2312"/>
              </w:rPr>
              <w:t>已标价工程量清单 中小企业声明函 供应商拒绝政府采购领域商业贿赂承诺书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施工方案全面、完整、可行性强得8分；方案较全面、较完整、可行性较强得5分；方案完整性、可行性一般得2分；方案完整性、可行性差，实施难度大得1分；未提供不得分。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项目管理机构人员配备</w:t>
            </w:r>
          </w:p>
        </w:tc>
        <w:tc>
          <w:tcPr>
            <w:tcW w:type="dxa" w:w="2492"/>
          </w:tcPr>
          <w:p>
            <w:pPr>
              <w:pStyle w:val="null3"/>
            </w:pPr>
            <w:r>
              <w:rPr>
                <w:rFonts w:ascii="仿宋_GB2312" w:hAnsi="仿宋_GB2312" w:cs="仿宋_GB2312" w:eastAsia="仿宋_GB2312"/>
              </w:rPr>
              <w:t>人员配置充足、分工清晰合理得8分；人员配置较充足、分工较清晰得5分；人员配置不充足或分工含糊得2分；人员配置严重不足，实施难度大得1分；未提供不得分。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措施合理、可行性强得8分；措施较合理、可行性较强得5分；措施合理性、可行性一般得2分；措施合理性、可行性差，实施难度大得1分；未提供不得分。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计划合理、可行性强得8分；计划较合理、可行性较强得5分；计划合理性、可行性一般得2分；计划合理性、可行性差，实施难度大得1分；未提供不得分。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计划合理、可行性强得8分；计划较合理、可行性较强得5分；计划合理性、可行性一般得2分；计划合理性、可行性差，实施难度大得1分；未提供不得分。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2023年01月01日至今完成类似项目（指消防维修工程或消防改造工程或机电安装工程）业绩，一项得2分，最多得6分。（须附类似项目业绩的成交（中标）通知书或施工合同的复印件，并加盖公章业绩时间以成交（中标）通知书落款时间或施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计划合理、可行性强得8分；计划较合理、可行性较强得5分；计划合理性、可行性一般得2分；计划合理性、可行性差，实施难度大得1分；未提供不得分。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措施合理、可行性强得8分；措施较合理、可行性较强得5分；措施合理性、可行性一般得2分；措施合理性、可行性差，实施难度大得1分；未提供不得分。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确保安全文明施工措施及环境保护措施</w:t>
            </w:r>
          </w:p>
        </w:tc>
        <w:tc>
          <w:tcPr>
            <w:tcW w:type="dxa" w:w="2492"/>
          </w:tcPr>
          <w:p>
            <w:pPr>
              <w:pStyle w:val="null3"/>
            </w:pPr>
            <w:r>
              <w:rPr>
                <w:rFonts w:ascii="仿宋_GB2312" w:hAnsi="仿宋_GB2312" w:cs="仿宋_GB2312" w:eastAsia="仿宋_GB2312"/>
              </w:rPr>
              <w:t>措施合理、可行性强得8分；措施较合理、可行性较强得5分；措施合理性、可行性一般得2分；措施合理性、可行性差，实施难度大得1分；未提供不得分。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将满足磋商文件要求且最后报价最低的供应商的价格作为磋商基准价，其价格分为满分（30分）； 其他供应商磋商报价得分=(磋商基准价／最后磋商报价)×30%×100 注：磋商报价高于或等于招标控制价的，为无效报价，应作为无效标处理。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