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版本号：GXHC-20261020260520001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商州交警大队城区电子警察改造项目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GXHC-202610</w:t>
      </w:r>
      <w:r>
        <w:br/>
      </w:r>
      <w:r>
        <w:br/>
      </w:r>
      <w:r>
        <w:br/>
      </w:r>
    </w:p>
    <w:p>
      <w:pPr>
        <w:pStyle w:val="null3"/>
        <w:jc w:val="center"/>
        <w:outlineLvl w:val="2"/>
      </w:pPr>
      <w:r>
        <w:rPr>
          <w:rFonts w:ascii="仿宋_GB2312" w:hAnsi="仿宋_GB2312" w:cs="仿宋_GB2312" w:eastAsia="仿宋_GB2312"/>
          <w:sz w:val="28"/>
          <w:b/>
        </w:rPr>
        <w:t>商洛市公安局交通警察支队商州大队</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商洛市公安局交通警察支队商州大队</w:t>
      </w:r>
      <w:r>
        <w:rPr>
          <w:rFonts w:ascii="仿宋_GB2312" w:hAnsi="仿宋_GB2312" w:cs="仿宋_GB2312" w:eastAsia="仿宋_GB2312"/>
        </w:rPr>
        <w:t>委托，拟对</w:t>
      </w:r>
      <w:r>
        <w:rPr>
          <w:rFonts w:ascii="仿宋_GB2312" w:hAnsi="仿宋_GB2312" w:cs="仿宋_GB2312" w:eastAsia="仿宋_GB2312"/>
        </w:rPr>
        <w:t>商州交警大队城区电子警察改造项目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商州交警大队城区电子警察改造项目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本项目为商州城区3处9个点位电子警察抓拍提供网络专线服务，配套更换高清抓拍单元、环保红外暖光一体机、信号灯检测器、终端服务器等设施，服务要求及配置详见采购清单。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3、网站截图：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4、书面声明：提供具有履行本合同所必需的设备和专业技术能力的声明；</w:t>
      </w:r>
    </w:p>
    <w:p>
      <w:pPr>
        <w:pStyle w:val="null3"/>
      </w:pPr>
      <w:r>
        <w:rPr>
          <w:rFonts w:ascii="仿宋_GB2312" w:hAnsi="仿宋_GB2312" w:cs="仿宋_GB2312" w:eastAsia="仿宋_GB2312"/>
        </w:rPr>
        <w:t>5、保证金缴纳：提供本项目投标保证金交纳凭证；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商洛市公安局交通警察支队商州大队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商洛市公安局交通警察支队商州大队经办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17809140062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13209142772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商洛市公安局交通警察支队商州大队</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商洛市公安局交通警察支队商州大队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商洛市公安局交通警察支队商州大队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 （1）货物（如有）到达甲方指定地点后，甲方根据合同要求，进行外观验收，确认产地、规格、型号和数量。 （2）乙方应出具一份符合合同规定的检验报告单，检验报告单可作为甲方验收的依据，但不能作为有关货物质量、规格、数量或性能的最终检验结果。 2、甲方确认乙方的自检内容后，组织乙方（必要时请有关专家）按照合同的内容和合同验收标准进行最终验收。 3、乙方向甲方提交货物、服务实施过程中的所有资料，以便甲方日后管理和维护。乙方对验收结果有分歧，可以申请仲裁。 4、验收依据 （1）合同文本及合同补充文件（条款）。 （2）招标文件。 （3）投标文件。 （4）项目相关质量验收统一标准。 （5）其他相关的法律法规。</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联系人：林霄</w:t>
      </w:r>
    </w:p>
    <w:p>
      <w:pPr>
        <w:pStyle w:val="null3"/>
      </w:pPr>
      <w:r>
        <w:rPr>
          <w:rFonts w:ascii="仿宋_GB2312" w:hAnsi="仿宋_GB2312" w:cs="仿宋_GB2312" w:eastAsia="仿宋_GB2312"/>
        </w:rPr>
        <w:t>联系电话：13209142772</w:t>
      </w:r>
    </w:p>
    <w:p>
      <w:pPr>
        <w:pStyle w:val="null3"/>
      </w:pPr>
      <w:r>
        <w:rPr>
          <w:rFonts w:ascii="仿宋_GB2312" w:hAnsi="仿宋_GB2312" w:cs="仿宋_GB2312" w:eastAsia="仿宋_GB2312"/>
        </w:rPr>
        <w:t>地址：商洛市商郡城北门2幢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本项目为商州城区3处9个点位电子警察抓拍提供网络专线服务，配套更换高清抓拍单元、环保红外暖光一体机、信号灯检测器、终端服务器等设施，服务要求及配置详见采购清单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其他电信和信息传输服务</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点位</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标的名称：其他电信和信息传输服务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位置：江滨大道与中心街丁字；</w:t>
            </w:r>
          </w:p>
          <w:p>
            <w:pPr>
              <w:pStyle w:val="null3"/>
            </w:pPr>
            <w:r>
              <w:rPr>
                <w:rFonts w:ascii="仿宋_GB2312" w:hAnsi="仿宋_GB2312" w:cs="仿宋_GB2312" w:eastAsia="仿宋_GB2312"/>
              </w:rPr>
              <w:t>业务类型及专线要求：闯红灯抓拍；速率不低于20M；流量不限；实时上传；</w:t>
            </w:r>
          </w:p>
          <w:p>
            <w:pPr>
              <w:pStyle w:val="null3"/>
            </w:pPr>
            <w:r>
              <w:rPr>
                <w:rFonts w:ascii="仿宋_GB2312" w:hAnsi="仿宋_GB2312" w:cs="仿宋_GB2312" w:eastAsia="仿宋_GB2312"/>
              </w:rPr>
              <w:t>服务期：36个月；</w:t>
            </w:r>
          </w:p>
          <w:p>
            <w:pPr>
              <w:pStyle w:val="null3"/>
            </w:pPr>
            <w:r>
              <w:rPr>
                <w:rFonts w:ascii="仿宋_GB2312" w:hAnsi="仿宋_GB2312" w:cs="仿宋_GB2312" w:eastAsia="仿宋_GB2312"/>
              </w:rPr>
              <w:t>点位数：3。</w:t>
            </w:r>
          </w:p>
          <w:p>
            <w:pPr>
              <w:pStyle w:val="null3"/>
            </w:pPr>
            <w:r>
              <w:rPr>
                <w:rFonts w:ascii="仿宋_GB2312" w:hAnsi="仿宋_GB2312" w:cs="仿宋_GB2312" w:eastAsia="仿宋_GB2312"/>
              </w:rPr>
              <w:t>备注：要求含3年维护、传输网络专线服务。硬件配置由供应商按标准及采购要求免费配置，配置清单附后。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位置：江滨大道与商洛北高速引线十字；</w:t>
            </w:r>
          </w:p>
          <w:p>
            <w:pPr>
              <w:pStyle w:val="null3"/>
            </w:pPr>
            <w:r>
              <w:rPr>
                <w:rFonts w:ascii="仿宋_GB2312" w:hAnsi="仿宋_GB2312" w:cs="仿宋_GB2312" w:eastAsia="仿宋_GB2312"/>
              </w:rPr>
              <w:t>业务类型及专线要求：闯红灯抓拍；速率不低于20M；流量不限；实时上传；</w:t>
            </w:r>
          </w:p>
          <w:p>
            <w:pPr>
              <w:pStyle w:val="null3"/>
            </w:pPr>
            <w:r>
              <w:rPr>
                <w:rFonts w:ascii="仿宋_GB2312" w:hAnsi="仿宋_GB2312" w:cs="仿宋_GB2312" w:eastAsia="仿宋_GB2312"/>
              </w:rPr>
              <w:t>服务期：36个月；</w:t>
            </w:r>
          </w:p>
          <w:p>
            <w:pPr>
              <w:pStyle w:val="null3"/>
            </w:pPr>
            <w:r>
              <w:rPr>
                <w:rFonts w:ascii="仿宋_GB2312" w:hAnsi="仿宋_GB2312" w:cs="仿宋_GB2312" w:eastAsia="仿宋_GB2312"/>
              </w:rPr>
              <w:t>点位数：4。</w:t>
            </w:r>
          </w:p>
          <w:p>
            <w:pPr>
              <w:pStyle w:val="null3"/>
            </w:pPr>
            <w:r>
              <w:rPr>
                <w:rFonts w:ascii="仿宋_GB2312" w:hAnsi="仿宋_GB2312" w:cs="仿宋_GB2312" w:eastAsia="仿宋_GB2312"/>
              </w:rPr>
              <w:t>备注：要求含3年维护、传输网络专线服务。硬件配置由供应商按标准及采购要求免费配置，配置清单附后。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位置：江山寇村、蘑菇园；</w:t>
            </w:r>
          </w:p>
          <w:p>
            <w:pPr>
              <w:pStyle w:val="null3"/>
            </w:pPr>
            <w:r>
              <w:rPr>
                <w:rFonts w:ascii="仿宋_GB2312" w:hAnsi="仿宋_GB2312" w:cs="仿宋_GB2312" w:eastAsia="仿宋_GB2312"/>
              </w:rPr>
              <w:t>业务类型及专线要求：定点测速，速率不低于20M；流量不限；实时上传。；</w:t>
            </w:r>
          </w:p>
          <w:p>
            <w:pPr>
              <w:pStyle w:val="null3"/>
            </w:pPr>
            <w:r>
              <w:rPr>
                <w:rFonts w:ascii="仿宋_GB2312" w:hAnsi="仿宋_GB2312" w:cs="仿宋_GB2312" w:eastAsia="仿宋_GB2312"/>
              </w:rPr>
              <w:t>服务期：36个月；</w:t>
            </w:r>
          </w:p>
          <w:p>
            <w:pPr>
              <w:pStyle w:val="null3"/>
            </w:pPr>
            <w:r>
              <w:rPr>
                <w:rFonts w:ascii="仿宋_GB2312" w:hAnsi="仿宋_GB2312" w:cs="仿宋_GB2312" w:eastAsia="仿宋_GB2312"/>
              </w:rPr>
              <w:t>点位数：2。</w:t>
            </w:r>
          </w:p>
          <w:p>
            <w:pPr>
              <w:pStyle w:val="null3"/>
            </w:pPr>
            <w:r>
              <w:rPr>
                <w:rFonts w:ascii="仿宋_GB2312" w:hAnsi="仿宋_GB2312" w:cs="仿宋_GB2312" w:eastAsia="仿宋_GB2312"/>
              </w:rPr>
              <w:t>备注：要求含3年维护、传输网络专线服务。硬件配置由供应商按标准及采购要求免费配置，配置清单附后。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包含项目负责人1人、网络服务及安装调试人员≥5人。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详见“附件-配套设施清单”。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配置调试30日历天；服务期限3年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江滨大道与中心街丁字、江滨大道与商洛北高速引线十字、江山寇村、蘑菇园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1.满足采购要求及国家行业标准； 2.考核办法由采购人针对项目履约情况，年度考核。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进度款，合同签订后，乙方按照采购要求及合同规定完成项目内容，验收合格之日起，达到付款条件起10个工作日内，支付合同总金额的40.0%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进度款，第一次付款满一年后，达到付款条件起10个工作日内，支付合同总金额的30.0%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进度款，第二次付款满一年后，达到付款条件起10个工作日内，支付合同总金额的30.0%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1、按《中华人民共和国民法典》中的相关条款执行，双方必须遵守本合同并执行合同中的各项规定，保证本合同的正常履行。 2、未按招标文件要求提供设备质量不能满足技术要求，采购人会同监督单位有权终止合同，甚至对供应商违约行为进行追究。 3、如因供应商工作人员在履行职务过程中的的疏忽、失职、过错等故意或者过失原因给甲方造成损失或侵害，包括但不限于甲方本身的财产损失、由此而导致的采购人对任何第三方的法律责任等，供应商对此均应承担全部的赔偿责任。 二、争议解决方式 双方如发生争议，应协商解决；如协商不成，任何一方应向采购人所在地人民法院提出诉讼。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一份（U盘一份）。（1）提交纸质版响应文件截止时间及开标时间：2026年6月1日下午14时30分00秒（北京时间）；（2）提交纸质版响应文件地点：商洛市商郡城北门3＃楼2单元101室；（3）提交纸质版响应文件密封要求：投标文件正本一个封袋、副本一个封袋、电子版文件放置正本封袋内，电子版文件须粘贴注明投标人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近年度经审计的财务报告(包含审计报告和审计报告中所涉及的财务报表和报表附注)，②或提供截至资格预审申请文件提交截止日一年内银行出具的资信证明，③供应商注册时间截至资格预审申请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提供本项目投标保证金交纳凭证；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响应文件上法定代表人或其授权代表人的签字齐全并加盖电子公章。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配套供货清单.pdf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配套供货清单.pdf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配套供货清单.pdf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服务方案 标的清单 响应函 配套供货清单.pdf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提供近三年至今类似业绩：每提供一份得2分，最多得6分。 评分依据：提供中标通知书/业绩合同扫描件加盖公章，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供应商具有TL9000 质量管理体系认证证书、ISO27001 信息安全管理体系认证证书、ISO20000IT 服务管理体系认证证书，全部提供得6分，每少提供一项扣2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项目组织结构、专业服务团队配置齐全；项目关键岗位人员配备；拟派人员数量和搭配齐全、特种作业操作证书齐全有效。 1、供应商拟委派项目经理具有信息系统项目管理师证书或CISP证书（信息安全专业人员），每提供一个得1.5分，满分3分； 2、供应商拟委派项目安装团队中持有相应证书，（特种作业操作证、电工作业证或高处作业证）的人员不少于5人，不可同一人兼得，完全满足得5分。每少1人扣1 分，扣完为止。 （评审依据为投标人近一年内为其缴纳的连续3个月的社保证明及有效证书复印件）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整体方案描述符合项目总体技术方案要求和磋商文件要求，供应商对项目建设背景、建设目标理解充分，符合本项目建设总体要求，技术方案能全面满足用户需求，方案设计科学有效，合理先进、安全可靠、经济实用，完全满足用户需求。 ①方案针对性强、贴合项目需求、服务逻辑完整、管理流程清晰得12（含）-15分； ②方案基本合理、逻辑一般、少量套用通用模板得8（含）-11分； ③方案简单，基本能保证项目实施计4（含）-7分 ④方案粗糙、针对性差、不符合本项目用工要求得1（含）-3分；未提供方案不得分。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项目组织实施计划完整可行，保障措施可靠，能够保证按期配置设备，具有明确的项目组织机构及实施方案，评标委员会从以下方面进行比较后赋分。未提供不计分。（15分） （1）配货及安装技术方案；针对电子警察改造“多设备更换、网络传输、新国标兼容”特点，提供的设备更换方案是否科学合理，能否衔接原有处理系统等（0-5分）。 （2）质量及运维保证措施（0-5分）。 （3）产品运输、调试等方面保证措施（0-5分）。 评审依据：内容具体、完整、详细、全面的计详尽可行的，得4-5分； 内容欠缺、薄弱的计2-3分； 内容严重欠缺、薄弱的计0-1分；未提供不得分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1、产品配置 产品配置齐全，符合需求、数量、参数清楚、明确的计 4-5 分； 产品配置基本齐全，基本符合需求，部分数量/参数不够清楚明确的计2-3分； 产品配置不齐全，不符合需求，或数量、参数等关键信息严重缺失、不明确，无法满足使用要求的计0-1分。 2、设备性能 设备的稳定性、在主要技术性能、自动化程度、结构优化、环境保护、操作条件、现代新技术的应用等方面具有技术上的先进性使用，效果良好，结构合理，材质好，优得4-5分； 设备的稳定性好，效果良好，结构合理，材质好，良好得2-3分； 设备较稳定，材质好，一般得0-1分。 以上佐证资料能提供生产厂家出具的、响应的功能证明材料（包括但不限于检测报告、官网截图、彩页、说明书等相关资料）。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配套供货清单.pdf</w:t>
            </w:r>
          </w:p>
        </w:tc>
      </w:tr>
      <w:tr>
        <w:tc>
          <w:tcPr>
            <w:tcW w:type="dxa" w:w="831"/>
            <w:vMerge/>
          </w:tcPr>
          <w:p/>
        </w:tc>
        <w:tc>
          <w:tcPr>
            <w:tcW w:type="dxa" w:w="1661"/>
          </w:tcPr>
          <w:p>
            <w:pPr>
              <w:pStyle w:val="null3"/>
            </w:pPr>
            <w:r>
              <w:rPr>
                <w:rFonts w:ascii="仿宋_GB2312" w:hAnsi="仿宋_GB2312" w:cs="仿宋_GB2312" w:eastAsia="仿宋_GB2312"/>
              </w:rPr>
              <w:t>服务质量技术组织措施</w:t>
            </w:r>
          </w:p>
        </w:tc>
        <w:tc>
          <w:tcPr>
            <w:tcW w:type="dxa" w:w="2492"/>
          </w:tcPr>
          <w:p>
            <w:pPr>
              <w:pStyle w:val="null3"/>
            </w:pPr>
            <w:r>
              <w:rPr>
                <w:rFonts w:ascii="仿宋_GB2312" w:hAnsi="仿宋_GB2312" w:cs="仿宋_GB2312" w:eastAsia="仿宋_GB2312"/>
              </w:rPr>
              <w:t>提供确保本项目质量的技术组织措施 技术组织措施方案有效可行、具备完善的内部管理架构、工作流程、信息反馈渠道，计6（含）-8分； 技术组织措施方案较合理、内部管理架构较完善，措施一般，计3（含）-5分； 技术组织方案不合理、内部管理架构不完善，计0-2分。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能提供所投产品的合法来源渠道证明文件及厂家售后支持服务证明，得0-2分（包括但不限于产品授权、销售许可等）；未提供的不得分。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配套供货清单.pdf</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供应商结合本项目实施特点，充分考虑服务难点、要点；应对网络故障、设备故障等常见突发事件制定专项应急预案； ①应急组织机构清晰，明确岗位应急分工，兼顾采购要求，响应机制完善，贴合项目管理要求，得3（含）-5分。 ②应急预案内容较完整，包含主要突发事件，具备基础处置流程，岗位分工简单，缺少物资保障或计划得1（含）-2分。 未提供应急处置预案，本项不得分。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1、售后服务方案及售后服务承诺详细、具体、可行（包括投标人售后服务网点的设定、拟投入售后服务人员配置情况、项目交付用户后出现故障响应时间等），赋0-5分； 内容具体、完整、详细、全面的计详尽可行的，得4-5分； 内容欠缺、薄弱的计2-3分； 内容严重欠缺、薄弱的计0-1分；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1、拆除及安装承诺：免费拆除原有旧设备，并将拆除的废料清运至采购人指定地点，施工后现场恢复整洁，产品安装到位并保证符合国家、行业规范要求得1-2分。 2、工期进度保障及安全承诺：承诺合同履约期限内完成系统配套设备的供货、施工、安全防护、安装调试并通过初步验收得1-2分。 3、售后服务及兼容性承诺：承诺设备及系统与原系统兼容、故障报修响应、现场维修等（含设备更新、性能测试、系统升级）；得1-2分。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响应文件中对服务费用、内容及范围、标准等合同主要条款要求全面响应，无详细具体合同主要条款响应说明得1-4分，无合同主要条款响应说明不得分。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1.经初审合格的响应文件，其磋商报价为有效报价。对符合政策性扣减的有效磋商报价进行政策性扣减，并依据扣减后的价格（评审价格）进行价格评审。 2.最低有效的最后报价为基准价，计10分 价格分P=10×Pmin/ Pn Pmin：合格供应商投标报价中的最低价，Pn：第n个供应商的投标报价；价格分四舍五入，保留两位小数。 经评审委员会一致认定，供应商的磋商报价低于公认市场成本，或超过采购预算,其投标将被拒绝，按无效处理。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详见附件：配套供货清单.pdf</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详见附件：采购合同主要条款.docx.docx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