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版本号：政采-省本级-2026-0352620260520001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陕北风沙滩区地表水-地下水双网多水源联调联控关键技术研究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政采-省本级-2026-03526</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陕西省水利电力工程咨询有限责任公司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陕西省水利电力工程咨询有限责任公司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陕北风沙滩区地表水-地下水双网多水源联调联控关键技术研究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政采-省本级-2026-03526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陕北风沙滩区地表水-地下水双网多水源联调联控关键技术研究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加快建设⾼质量的⽔利基础设施⽹络，是国家重⼤战略需求，更是⻛沙滩区解决地下⽔超采和旱灾防治的必然选择。打破现有⽔资源利⽤模式，聚焦地表⽔与地下⽔协同，寻找 “内控-外引”的多源增补⽹络，增加地下⽔储存，增强经济社会与⽣态发展韧性。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2、税收缴纳证明：提供递交响应文件截止之日前一年内任意一个月的依法缴纳税收的相关凭据（时间以税款所属日期为准）复印件。依法免税或无须缴纳税收的供应商，应提供相应证明文件复印件。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p>
    <w:p>
      <w:pPr>
        <w:pStyle w:val="null3"/>
      </w:pPr>
      <w:r>
        <w:rPr>
          <w:rFonts w:ascii="仿宋_GB2312" w:hAnsi="仿宋_GB2312" w:cs="仿宋_GB2312" w:eastAsia="仿宋_GB2312"/>
        </w:rPr>
        <w:t>4、具有履行本合同所必需的设备和专业技术能力：提供具有履行本合同所必需的设备和专业技术能力的承诺并加盖公章。</w:t>
      </w:r>
    </w:p>
    <w:p>
      <w:pPr>
        <w:pStyle w:val="null3"/>
      </w:pPr>
      <w:r>
        <w:rPr>
          <w:rFonts w:ascii="仿宋_GB2312" w:hAnsi="仿宋_GB2312" w:cs="仿宋_GB2312" w:eastAsia="仿宋_GB2312"/>
        </w:rPr>
        <w:t>5、无重大违法记录的书面声明：参加政府采购活动前三年内，在经营活动中没 有重大违法记录书面声明并加盖公章。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029-61835134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陕西省水利电力工程咨询有限责任公司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陕西省西安市碑林区兴庆路36号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029-87396339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代理服务费参照国家计委关于印发《招标代理服务收费管理暂⾏办法》的通知（计价格〔2002〕1980号）、《国家发展和改⾰委员会办公厅关于招标代理服务收费有关问题的通知》（发改办价格〔2003〕857号）及（发改办价格〔2011〕534号）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陕西省水利电力工程咨询有限责任公司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陕西省水利电力工程咨询有限责任公司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陕西省水利电力工程咨询有限责任公司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满足采购需求中的技术参数与性能指标要求。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联系人：雷女士</w:t>
      </w:r>
    </w:p>
    <w:p>
      <w:pPr>
        <w:pStyle w:val="null3"/>
      </w:pPr>
      <w:r>
        <w:rPr>
          <w:rFonts w:ascii="仿宋_GB2312" w:hAnsi="仿宋_GB2312" w:cs="仿宋_GB2312" w:eastAsia="仿宋_GB2312"/>
        </w:rPr>
        <w:t>联系电话：029-87396339</w:t>
      </w:r>
    </w:p>
    <w:p>
      <w:pPr>
        <w:pStyle w:val="null3"/>
      </w:pPr>
      <w:r>
        <w:rPr>
          <w:rFonts w:ascii="仿宋_GB2312" w:hAnsi="仿宋_GB2312" w:cs="仿宋_GB2312" w:eastAsia="仿宋_GB2312"/>
        </w:rPr>
        <w:t>地址：西安市碑林区兴庆路36号</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加快建设高质量的水利基础设施网络，是国家重大战略需求，更是风沙滩区解决地下水超采和旱灾防治的必然选择。打破现有水资源利用模式，聚焦地表水与地下水协同，寻找 “内控-外引”的多源增补网络，增加地下水储存，增强经济社会与生态发展韧性。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陕北风沙滩区地表水-地下水双网多水源联调联控关键技术研究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标的名称：陕北风沙滩区地表水-地下水双网多水源联调联控关键技术研究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满足国家相关技术规范及有关政策的要求。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一、项目背景</w:t>
            </w:r>
          </w:p>
          <w:p>
            <w:pPr>
              <w:pStyle w:val="null3"/>
              <w:ind w:firstLine="420"/>
              <w:jc w:val="both"/>
            </w:pPr>
            <w:r>
              <w:rPr>
                <w:rFonts w:ascii="仿宋_GB2312" w:hAnsi="仿宋_GB2312" w:cs="仿宋_GB2312" w:eastAsia="仿宋_GB2312"/>
                <w:sz w:val="21"/>
              </w:rPr>
              <w:t>陕北风沙滩区地处</w:t>
            </w:r>
            <w:r>
              <w:rPr>
                <w:rFonts w:ascii="仿宋_GB2312" w:hAnsi="仿宋_GB2312" w:cs="仿宋_GB2312" w:eastAsia="仿宋_GB2312"/>
                <w:sz w:val="21"/>
              </w:rPr>
              <w:t>水</w:t>
            </w:r>
            <w:r>
              <w:rPr>
                <w:rFonts w:ascii="仿宋_GB2312" w:hAnsi="仿宋_GB2312" w:cs="仿宋_GB2312" w:eastAsia="仿宋_GB2312"/>
                <w:sz w:val="21"/>
              </w:rPr>
              <w:t>资源缺乏的旱区，近年来</w:t>
            </w:r>
            <w:r>
              <w:rPr>
                <w:rFonts w:ascii="仿宋_GB2312" w:hAnsi="仿宋_GB2312" w:cs="仿宋_GB2312" w:eastAsia="仿宋_GB2312"/>
                <w:sz w:val="21"/>
              </w:rPr>
              <w:t>随着地区经济的飞速发展，以及国家能源化工基地、陕西省第二粮仓的落地和建成，区域地表水资源出现极度短缺</w:t>
            </w:r>
            <w:r>
              <w:rPr>
                <w:rFonts w:ascii="仿宋_GB2312" w:hAnsi="仿宋_GB2312" w:cs="仿宋_GB2312" w:eastAsia="仿宋_GB2312"/>
                <w:sz w:val="21"/>
              </w:rPr>
              <w:t>，</w:t>
            </w:r>
            <w:r>
              <w:rPr>
                <w:rFonts w:ascii="仿宋_GB2312" w:hAnsi="仿宋_GB2312" w:cs="仿宋_GB2312" w:eastAsia="仿宋_GB2312"/>
                <w:sz w:val="21"/>
              </w:rPr>
              <w:t>使得</w:t>
            </w:r>
            <w:r>
              <w:rPr>
                <w:rFonts w:ascii="仿宋_GB2312" w:hAnsi="仿宋_GB2312" w:cs="仿宋_GB2312" w:eastAsia="仿宋_GB2312"/>
                <w:sz w:val="21"/>
              </w:rPr>
              <w:t>大部分地区生活、工业、农业以及地表生态供水长期过度倚重地下水资源，导致地下水采补长期失衡、水位持续下降，形成巨厚的包气带，并引发了一系列生态环境问题，对</w:t>
            </w:r>
            <w:r>
              <w:rPr>
                <w:rFonts w:ascii="仿宋_GB2312" w:hAnsi="仿宋_GB2312" w:cs="仿宋_GB2312" w:eastAsia="仿宋_GB2312"/>
                <w:sz w:val="21"/>
              </w:rPr>
              <w:t>区域的经济安全、粮食安全和生态安全产生威胁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、主要目标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）查明陕北风沙滩区地表水</w:t>
            </w:r>
            <w:r>
              <w:rPr>
                <w:rFonts w:ascii="仿宋_GB2312" w:hAnsi="仿宋_GB2312" w:cs="仿宋_GB2312" w:eastAsia="仿宋_GB2312"/>
                <w:sz w:val="21"/>
              </w:rPr>
              <w:t>-</w:t>
            </w:r>
            <w:r>
              <w:rPr>
                <w:rFonts w:ascii="仿宋_GB2312" w:hAnsi="仿宋_GB2312" w:cs="仿宋_GB2312" w:eastAsia="仿宋_GB2312"/>
                <w:sz w:val="21"/>
              </w:rPr>
              <w:t>地下水网脉通道，揭示典型区降水</w:t>
            </w:r>
            <w:r>
              <w:rPr>
                <w:rFonts w:ascii="仿宋_GB2312" w:hAnsi="仿宋_GB2312" w:cs="仿宋_GB2312" w:eastAsia="仿宋_GB2312"/>
                <w:sz w:val="21"/>
              </w:rPr>
              <w:t>-</w:t>
            </w:r>
            <w:r>
              <w:rPr>
                <w:rFonts w:ascii="仿宋_GB2312" w:hAnsi="仿宋_GB2312" w:cs="仿宋_GB2312" w:eastAsia="仿宋_GB2312"/>
                <w:sz w:val="21"/>
              </w:rPr>
              <w:t>地表水</w:t>
            </w:r>
            <w:r>
              <w:rPr>
                <w:rFonts w:ascii="仿宋_GB2312" w:hAnsi="仿宋_GB2312" w:cs="仿宋_GB2312" w:eastAsia="仿宋_GB2312"/>
                <w:sz w:val="21"/>
              </w:rPr>
              <w:t>-</w:t>
            </w:r>
            <w:r>
              <w:rPr>
                <w:rFonts w:ascii="仿宋_GB2312" w:hAnsi="仿宋_GB2312" w:cs="仿宋_GB2312" w:eastAsia="仿宋_GB2312"/>
                <w:sz w:val="21"/>
              </w:rPr>
              <w:t>土壤水</w:t>
            </w:r>
            <w:r>
              <w:rPr>
                <w:rFonts w:ascii="仿宋_GB2312" w:hAnsi="仿宋_GB2312" w:cs="仿宋_GB2312" w:eastAsia="仿宋_GB2312"/>
                <w:sz w:val="21"/>
              </w:rPr>
              <w:t>-</w:t>
            </w:r>
            <w:r>
              <w:rPr>
                <w:rFonts w:ascii="仿宋_GB2312" w:hAnsi="仿宋_GB2312" w:cs="仿宋_GB2312" w:eastAsia="仿宋_GB2312"/>
                <w:sz w:val="21"/>
              </w:rPr>
              <w:t>地下水互馈机制；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）基于多元信息和原位试验模拟，构建典型区多水源时空置换配置与联储</w:t>
            </w:r>
            <w:r>
              <w:rPr>
                <w:rFonts w:ascii="仿宋_GB2312" w:hAnsi="仿宋_GB2312" w:cs="仿宋_GB2312" w:eastAsia="仿宋_GB2312"/>
                <w:sz w:val="21"/>
              </w:rPr>
              <w:t>-</w:t>
            </w:r>
            <w:r>
              <w:rPr>
                <w:rFonts w:ascii="仿宋_GB2312" w:hAnsi="仿宋_GB2312" w:cs="仿宋_GB2312" w:eastAsia="仿宋_GB2312"/>
                <w:sz w:val="21"/>
              </w:rPr>
              <w:t>联调</w:t>
            </w:r>
            <w:r>
              <w:rPr>
                <w:rFonts w:ascii="仿宋_GB2312" w:hAnsi="仿宋_GB2312" w:cs="仿宋_GB2312" w:eastAsia="仿宋_GB2312"/>
                <w:sz w:val="21"/>
              </w:rPr>
              <w:t>-</w:t>
            </w:r>
            <w:r>
              <w:rPr>
                <w:rFonts w:ascii="仿宋_GB2312" w:hAnsi="仿宋_GB2312" w:cs="仿宋_GB2312" w:eastAsia="仿宋_GB2312"/>
                <w:sz w:val="21"/>
              </w:rPr>
              <w:t>联用的水资源保护利用模式与关键技术；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）以工程有效运行和政策高效管理的协同运作为约束条件，提出区域联储</w:t>
            </w:r>
            <w:r>
              <w:rPr>
                <w:rFonts w:ascii="仿宋_GB2312" w:hAnsi="仿宋_GB2312" w:cs="仿宋_GB2312" w:eastAsia="仿宋_GB2312"/>
                <w:sz w:val="21"/>
              </w:rPr>
              <w:t>-</w:t>
            </w:r>
            <w:r>
              <w:rPr>
                <w:rFonts w:ascii="仿宋_GB2312" w:hAnsi="仿宋_GB2312" w:cs="仿宋_GB2312" w:eastAsia="仿宋_GB2312"/>
                <w:sz w:val="21"/>
              </w:rPr>
              <w:t>联调</w:t>
            </w:r>
            <w:r>
              <w:rPr>
                <w:rFonts w:ascii="仿宋_GB2312" w:hAnsi="仿宋_GB2312" w:cs="仿宋_GB2312" w:eastAsia="仿宋_GB2312"/>
                <w:sz w:val="21"/>
              </w:rPr>
              <w:t>-</w:t>
            </w:r>
            <w:r>
              <w:rPr>
                <w:rFonts w:ascii="仿宋_GB2312" w:hAnsi="仿宋_GB2312" w:cs="仿宋_GB2312" w:eastAsia="仿宋_GB2312"/>
                <w:sz w:val="21"/>
              </w:rPr>
              <w:t>联用的配套实施保障路径。</w:t>
            </w:r>
          </w:p>
          <w:p>
            <w:pPr>
              <w:pStyle w:val="null3"/>
              <w:jc w:val="both"/>
            </w:pPr>
            <w:r>
              <w:rPr>
                <w:rFonts w:ascii="仿宋_GB2312" w:hAnsi="仿宋_GB2312" w:cs="仿宋_GB2312" w:eastAsia="仿宋_GB2312"/>
                <w:sz w:val="21"/>
              </w:rPr>
              <w:t>三、研究内容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）厘清典型区地下水迁移转化规律与网脉关系；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）区域地表水</w:t>
            </w:r>
            <w:r>
              <w:rPr>
                <w:rFonts w:ascii="仿宋_GB2312" w:hAnsi="仿宋_GB2312" w:cs="仿宋_GB2312" w:eastAsia="仿宋_GB2312"/>
                <w:sz w:val="21"/>
              </w:rPr>
              <w:t>—</w:t>
            </w:r>
            <w:r>
              <w:rPr>
                <w:rFonts w:ascii="仿宋_GB2312" w:hAnsi="仿宋_GB2312" w:cs="仿宋_GB2312" w:eastAsia="仿宋_GB2312"/>
                <w:sz w:val="21"/>
              </w:rPr>
              <w:t>地下水水源条件分析；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）典型区地表水</w:t>
            </w:r>
            <w:r>
              <w:rPr>
                <w:rFonts w:ascii="仿宋_GB2312" w:hAnsi="仿宋_GB2312" w:cs="仿宋_GB2312" w:eastAsia="仿宋_GB2312"/>
                <w:sz w:val="21"/>
              </w:rPr>
              <w:t>—</w:t>
            </w:r>
            <w:r>
              <w:rPr>
                <w:rFonts w:ascii="仿宋_GB2312" w:hAnsi="仿宋_GB2312" w:cs="仿宋_GB2312" w:eastAsia="仿宋_GB2312"/>
                <w:sz w:val="21"/>
              </w:rPr>
              <w:t>地下水联动试验与模拟技术研究；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）区域地表水</w:t>
            </w:r>
            <w:r>
              <w:rPr>
                <w:rFonts w:ascii="仿宋_GB2312" w:hAnsi="仿宋_GB2312" w:cs="仿宋_GB2312" w:eastAsia="仿宋_GB2312"/>
                <w:sz w:val="21"/>
              </w:rPr>
              <w:t>—</w:t>
            </w:r>
            <w:r>
              <w:rPr>
                <w:rFonts w:ascii="仿宋_GB2312" w:hAnsi="仿宋_GB2312" w:cs="仿宋_GB2312" w:eastAsia="仿宋_GB2312"/>
                <w:sz w:val="21"/>
              </w:rPr>
              <w:t>地下水双网协动关键技术与实现路径。</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主要成果递交</w:t>
            </w:r>
          </w:p>
          <w:p>
            <w:pPr>
              <w:pStyle w:val="null3"/>
              <w:spacing w:before="150"/>
              <w:ind w:firstLine="309"/>
              <w:jc w:val="both"/>
            </w:pPr>
            <w:r>
              <w:rPr>
                <w:rFonts w:ascii="仿宋_GB2312" w:hAnsi="仿宋_GB2312" w:cs="仿宋_GB2312" w:eastAsia="仿宋_GB2312"/>
                <w:sz w:val="21"/>
              </w:rPr>
              <w:t>完成“陕北风沙滩区地表水</w:t>
            </w:r>
            <w:r>
              <w:rPr>
                <w:rFonts w:ascii="仿宋_GB2312" w:hAnsi="仿宋_GB2312" w:cs="仿宋_GB2312" w:eastAsia="仿宋_GB2312"/>
                <w:sz w:val="21"/>
              </w:rPr>
              <w:t>-</w:t>
            </w:r>
            <w:r>
              <w:rPr>
                <w:rFonts w:ascii="仿宋_GB2312" w:hAnsi="仿宋_GB2312" w:cs="仿宋_GB2312" w:eastAsia="仿宋_GB2312"/>
                <w:sz w:val="21"/>
              </w:rPr>
              <w:t>地下水双网协动关键技术研究”报告</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满⾜本项⽬需求。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满⾜本项⽬需求。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陕西省水利厅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递交后，成交人向采购人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提交初步成果通过初验</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全部工作完成并通过验收后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 服务质量不能满足技术要求，采购人有权终止合同，并对供方违约行为进行追究，同时按《中华人民共和国政府采购法》的有 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本项⽬实际服务期限以合同为准。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证明文件并进行电子签章。2）供应商须提供近一年度经审计的财务会计报告（含附表附注），或开标前三个月内基本开户银行出具的资信证明，或信用担保机构出具的投标担保函（以上三种形式的资料提供任何一种即可) 。2025年1月至今新成立公司须提供银行资信证明或新成立以来的财务报表，至少包括资产负债表、利润表、现金流量表。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提供递交响应文件截止之日前一年内任意一个月的社会保障资金缴存单据或社保机构开具的社会保险参保缴费情况证明复印件。依法不需要缴纳社会保障资金的的供应商应提供相应证明文件复印件。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 有重大违法记录书面声明并加盖公章。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人员配备.docx 中小企业声明函 商务应答表.docx 供应商认为有必要说明的事宜（如有）.pdf 响应文件封面 供应商应提交的相关资格证明材料.docx 承揽的类似项目情况表.docx 残疾人福利性单位声明函 授权委托书.pdf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符合“第七章 响应⽂件格式”的要求</w:t>
            </w:r>
          </w:p>
        </w:tc>
        <w:tc>
          <w:tcPr>
            <w:tcW w:type="dxa" w:w="1661"/>
          </w:tcPr>
          <w:p>
            <w:pPr>
              <w:pStyle w:val="null3"/>
            </w:pPr>
            <w:r>
              <w:rPr>
                <w:rFonts w:ascii="仿宋_GB2312" w:hAnsi="仿宋_GB2312" w:cs="仿宋_GB2312" w:eastAsia="仿宋_GB2312"/>
              </w:rPr>
              <w:t>响应文件封面 供应商应提交的相关资格证明材料.docx 人员配备.docx 承揽的类似项目情况表.docx 中小企业声明函 残疾人福利性单位声明函 授权委托书.pdf 标的清单 商务应答表.docx 服务内容及服务邀请应答表.docx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满⾜磋商⽂件中要求的服务期限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满⾜磋商⽂件中的要求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要求（包括但不限于实施计划和技术方案的清晰性、针对性和所需收集资料及文件的准确性等）进行打分：供应商的实施计划合理、技术方案完善、实施性强，条理清晰、具有针对性且报告编制所需收集资料及文件的准确性。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工作计划方案</w:t>
            </w:r>
          </w:p>
        </w:tc>
        <w:tc>
          <w:tcPr>
            <w:tcW w:type="dxa" w:w="2492"/>
          </w:tcPr>
          <w:p>
            <w:pPr>
              <w:pStyle w:val="null3"/>
            </w:pPr>
            <w:r>
              <w:rPr>
                <w:rFonts w:ascii="仿宋_GB2312" w:hAnsi="仿宋_GB2312" w:cs="仿宋_GB2312" w:eastAsia="仿宋_GB2312"/>
              </w:rPr>
              <w:t>根据供应商提供的工作计划方案（包括但不限于工作进度、工作计划、工作时效等）进行打分： 供应商提供的工作进度完善、工作计划明确、工作时效高。每项完全满足评审标准得3分，有缺陷或者不满足扣1分，缺项不得分。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 难点分析</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根据供应商提供的质量保证措施：质量保证体系健全，质量保证措施具有针对性。每项完全满足评审标准得5分，有缺陷或者不满足扣2.5分，缺项不得分。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包括但不限于全面性、合理性，内容与深度是否达到本项目的要求，后续配合计划的完善度）进行打分：供应商服务承诺全面、合理，内容与深度均达到本项目要求、后续配合计划完善。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1、本项目投入人员须为供应商在职人员并提供证明材料，否则不计分； 2、根据供应商对于本项目的人员配备情况进行打分：人员安排合理，职责分工明确。 每项完全满足评审标准得4分，有缺陷或者不满足扣2分，缺项不得分； 3、项目组成员每具有高级（含高级）以上职称得0.5分，最多得1分； 4、项目负责人具有高级（含高级）以上职称得1分。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近年具有类似项目业绩，每具有一项计3分，最高12分。 注：应附合同协议书或中标（成交）通知书或立项文件或成果文件（如论文、课题、专利等）复印件。类似项目业绩指自2022年5月1日至投标截止日前承揽过类似项目。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承揽的类似项目情况表.docx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给予相关供应商的合理时间一般不少于30分钟并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满足磋商文件要求且磋商报价最低的为评标基准价，其价格分为满分。价格分按照下列公式计算。 报价得分=（评标基准价/有效报价）×价格权重×100符合磋商文件规定的小微企业或监狱企业或残疾人福利性单位优惠条件的供应商，价格给予10%的扣除，用扣除后的价格参与评审。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详见附件：授权委托书.pdf</w:t>
      </w:r>
    </w:p>
    <w:p>
      <w:pPr>
        <w:pStyle w:val="null3"/>
        <w:ind w:firstLine="960"/>
      </w:pPr>
      <w:r>
        <w:rPr>
          <w:rFonts w:ascii="仿宋_GB2312" w:hAnsi="仿宋_GB2312" w:cs="仿宋_GB2312" w:eastAsia="仿宋_GB2312"/>
        </w:rPr>
        <w:t>详见附件：承揽的类似项目情况表.docx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详见附件：供应商认为有必要说明的事宜（如有）.pdf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