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陈仓区拓石镇第一九年制学校高质量数字智慧教室及三个课堂建设项目竞争性磋商公告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陈仓区拓石镇第一九年制学校高质量数字智慧教室及三个课堂建设项目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全国公共资源交易平台（陕西省·宝鸡市）自行下载</w:t>
      </w:r>
      <w:r>
        <w:rPr>
          <w:rFonts w:ascii="仿宋_GB2312" w:hAnsi="仿宋_GB2312" w:cs="仿宋_GB2312" w:eastAsia="仿宋_GB2312"/>
        </w:rPr>
        <w:t>获取采购文件，并于</w:t>
      </w:r>
      <w:r>
        <w:rPr>
          <w:rFonts w:ascii="仿宋_GB2312" w:hAnsi="仿宋_GB2312" w:cs="仿宋_GB2312" w:eastAsia="仿宋_GB2312"/>
        </w:rPr>
        <w:t xml:space="preserve"> 2026年10月19日 14时00分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项目编号：ZRXD[2026]-024-CG</w:t>
      </w:r>
    </w:p>
    <w:p>
      <w:pPr>
        <w:pStyle w:val="null3"/>
      </w:pPr>
      <w:r>
        <w:rPr>
          <w:rFonts w:ascii="仿宋_GB2312" w:hAnsi="仿宋_GB2312" w:cs="仿宋_GB2312" w:eastAsia="仿宋_GB2312"/>
        </w:rPr>
        <w:t>项目名称：陈仓区拓石镇第一九年制学校高质量数字智慧教室及三个课堂建设项目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预算金额：390,000.00元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合同包1(陈仓区拓石镇第一九年制学校高质量数字智慧教室及三个课堂建设项目):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390,000.00元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390,000.00元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电子白板</w:t>
            </w:r>
          </w:p>
        </w:tc>
        <w:tc>
          <w:tcPr>
            <w:tcW w:type="dxa" w:w="1384"/>
          </w:tcPr>
          <w:p>
            <w:pPr>
              <w:pStyle w:val="null3"/>
            </w:pPr>
            <w:r>
              <w:rPr>
                <w:rFonts w:ascii="仿宋_GB2312" w:hAnsi="仿宋_GB2312" w:cs="仿宋_GB2312" w:eastAsia="仿宋_GB2312"/>
              </w:rPr>
              <w:t>陈仓区拓石镇第一九年制学校高质量数字智慧教室及三个课堂建设项目</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390,000.00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具体以双方签订合同为准。</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合同包1(陈仓区拓石镇第一九年制学校高质量数字智慧教室及三个课堂建设项目)落实政府采购政策需满足的资格要求如下:</w:t>
      </w:r>
    </w:p>
    <w:p>
      <w:pPr>
        <w:pStyle w:val="null3"/>
        <w:ind w:left="480"/>
      </w:pPr>
      <w:r>
        <w:rPr>
          <w:rFonts w:ascii="仿宋_GB2312" w:hAnsi="仿宋_GB2312" w:cs="仿宋_GB2312" w:eastAsia="仿宋_GB2312"/>
        </w:rPr>
        <w:t>现行法律法规、制度政策明确规定的需要贯彻落实的政府采购政策，如：优先购买节能环保产品、扶持小微企业、监狱企业、福利企业、支持乡村产业振兴等，如有最新颁布的政府采购政策，按最新的文件执行；</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合同包1(陈仓区拓石镇第一九年制学校高质量数字智慧教室及三个课堂建设项目)特定资格要求如下:</w:t>
      </w:r>
    </w:p>
    <w:p>
      <w:pPr>
        <w:pStyle w:val="null3"/>
        <w:ind w:left="480"/>
      </w:pPr>
      <w:r>
        <w:rPr>
          <w:rFonts w:ascii="仿宋_GB2312" w:hAnsi="仿宋_GB2312" w:cs="仿宋_GB2312" w:eastAsia="仿宋_GB2312"/>
        </w:rPr>
        <w:t>（1）供应商须为合法注册的法人、其他组织或者自然人，并具有独立承担民事责任的能力；提供统一社会信用代码的营业执照（或事业法人证、自然人身份证）等证明文件；</w:t>
      </w:r>
      <w:r>
        <w:br/>
      </w:r>
      <w:r>
        <w:rPr>
          <w:rFonts w:ascii="仿宋_GB2312" w:hAnsi="仿宋_GB2312" w:cs="仿宋_GB2312" w:eastAsia="仿宋_GB2312"/>
        </w:rPr>
        <w:t>（2）供应商应授权合法的人员参加磋商全过程，其中法定代表人直接参加磋商的，须出具法人身份证，并与营业执照上信息一致。法定代表人授权代表参加磋商的，须出具法定代表人授权书及授权代表身份证；</w:t>
      </w:r>
      <w:r>
        <w:br/>
      </w:r>
      <w:r>
        <w:rPr>
          <w:rFonts w:ascii="仿宋_GB2312" w:hAnsi="仿宋_GB2312" w:cs="仿宋_GB2312" w:eastAsia="仿宋_GB2312"/>
        </w:rPr>
        <w:t>（3）供应商财务状况证明：提供经审计的2025年完整的财务审计报告或提供开标前三个月内由基本账户开户银行出具的资信证明（附开户许可证或开户备案证明或基本账户信息）或成立时间至提交响应文件截止时间不足一年的可提供成立后任意时段的资产负债表、利润表和现金流量表（以上三种形式的资料提供任何一种即可）；</w:t>
      </w:r>
      <w:r>
        <w:br/>
      </w:r>
      <w:r>
        <w:rPr>
          <w:rFonts w:ascii="仿宋_GB2312" w:hAnsi="仿宋_GB2312" w:cs="仿宋_GB2312" w:eastAsia="仿宋_GB2312"/>
        </w:rPr>
        <w:t>（4）社会保障资金缴纳证明：提供采购时间前六个月内任意三个月社保缴费凭据；成立不足三个月的供应商，可提供社保登记材料及按时参保缴费承诺函；依法无需缴纳社保的提供官方免缴证明。</w:t>
      </w:r>
      <w:r>
        <w:br/>
      </w:r>
      <w:r>
        <w:rPr>
          <w:rFonts w:ascii="仿宋_GB2312" w:hAnsi="仿宋_GB2312" w:cs="仿宋_GB2312" w:eastAsia="仿宋_GB2312"/>
        </w:rPr>
        <w:t>（5）税收缴纳证明：提供采购时间前六个月内任意三个月完税凭证；成立不足三个月的供应商可提供税务登记回执、零申报材料及依法纳税承诺函；依法免税的提供免税证明。</w:t>
      </w:r>
      <w:r>
        <w:br/>
      </w:r>
      <w:r>
        <w:rPr>
          <w:rFonts w:ascii="仿宋_GB2312" w:hAnsi="仿宋_GB2312" w:cs="仿宋_GB2312" w:eastAsia="仿宋_GB2312"/>
        </w:rPr>
        <w:t>（6）参加政府采购活动前3年内在经营活动中没有重大违法记录的书面声明；</w:t>
      </w:r>
      <w:r>
        <w:br/>
      </w:r>
      <w:r>
        <w:rPr>
          <w:rFonts w:ascii="仿宋_GB2312" w:hAnsi="仿宋_GB2312" w:cs="仿宋_GB2312" w:eastAsia="仿宋_GB2312"/>
        </w:rPr>
        <w:t>（7）具有履行合同所必需的设备和专业技术能力的承诺；</w:t>
      </w:r>
      <w:r>
        <w:br/>
      </w:r>
      <w:r>
        <w:rPr>
          <w:rFonts w:ascii="仿宋_GB2312" w:hAnsi="仿宋_GB2312" w:cs="仿宋_GB2312" w:eastAsia="仿宋_GB2312"/>
        </w:rPr>
        <w:t>（8）单位负责人为同一人或者存在直接控股、管理关系的不同供应商，不得参加同一合同项下的政府采购活动；（提供书面承诺函）</w:t>
      </w:r>
      <w:r>
        <w:br/>
      </w:r>
      <w:r>
        <w:rPr>
          <w:rFonts w:ascii="仿宋_GB2312" w:hAnsi="仿宋_GB2312" w:cs="仿宋_GB2312" w:eastAsia="仿宋_GB2312"/>
        </w:rPr>
        <w:t>（9）本项目不接受联合体磋商；</w:t>
      </w:r>
      <w:r>
        <w:br/>
      </w:r>
      <w:r>
        <w:rPr>
          <w:rFonts w:ascii="仿宋_GB2312" w:hAnsi="仿宋_GB2312" w:cs="仿宋_GB2312" w:eastAsia="仿宋_GB2312"/>
        </w:rPr>
        <w:t>（10）本项目专门面向中小企业采购，监狱企业、残疾人福利性单位视同小型、微型企业；投标人应提供中小企业声明函/残疾人福利性单位声明函/监狱企业证明函；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2026年10月08日 </w:t>
      </w:r>
      <w:r>
        <w:rPr>
          <w:rFonts w:ascii="仿宋_GB2312" w:hAnsi="仿宋_GB2312" w:cs="仿宋_GB2312" w:eastAsia="仿宋_GB2312"/>
        </w:rPr>
        <w:t>至</w:t>
      </w:r>
      <w:r>
        <w:rPr>
          <w:rFonts w:ascii="仿宋_GB2312" w:hAnsi="仿宋_GB2312" w:cs="仿宋_GB2312" w:eastAsia="仿宋_GB2312"/>
        </w:rPr>
        <w:t xml:space="preserve"> 2026年10月14日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全国公共资源交易平台（陕西省·宝鸡市）自行下载</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2026年10月19日 14时00分00秒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全国公共资源交易平台（陕西省·宝鸡市）线上提交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2026年10月19日 14时00分00秒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全国公共资源交易平台（陕西省·宝鸡市）平台</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1.发布公告的媒介：本次竞争性磋商公告同时在陕西省政府采购网和全国公共资源交易平台（陕西省·宝鸡市）宝鸡市公共资源交易中心同时发布。</w:t>
      </w:r>
    </w:p>
    <w:p>
      <w:pPr>
        <w:pStyle w:val="null3"/>
        <w:ind w:firstLine="480"/>
        <w:jc w:val="both"/>
      </w:pPr>
      <w:r>
        <w:rPr>
          <w:rFonts w:ascii="仿宋_GB2312" w:hAnsi="仿宋_GB2312" w:cs="仿宋_GB2312" w:eastAsia="仿宋_GB2312"/>
          <w:sz w:val="24"/>
        </w:rPr>
        <w:t>2.参与本次项目的供应商请及时登录陕西省政府采购网，办理供应商入库申请并及时办理CA数字证书（陕西CA锁），CA锁办理地址及流程：宝鸡市金台区行政大道8号海棠风尚宝鸡市公共资源交易中心4楼2号窗口。</w:t>
      </w:r>
    </w:p>
    <w:p>
      <w:pPr>
        <w:pStyle w:val="null3"/>
        <w:ind w:firstLine="480"/>
        <w:jc w:val="both"/>
      </w:pPr>
      <w:r>
        <w:rPr>
          <w:rFonts w:ascii="仿宋_GB2312" w:hAnsi="仿宋_GB2312" w:cs="仿宋_GB2312" w:eastAsia="仿宋_GB2312"/>
          <w:sz w:val="24"/>
        </w:rPr>
        <w:t>3.本项目为“全流程电子化”采购模式，实行电子投标方式，各供应商须自行在网上下载磋商文件、缴纳磋商保证金，并登录全国公共资源交易平台（陕西省·宝鸡市）－服务指南－下载专区－下载《政府采购电子标书制作工具》《政府采购供应商操作手册》，按照流程制作电子标书并在磋商截止时间前上传电子响应文件。</w:t>
      </w:r>
    </w:p>
    <w:p>
      <w:pPr>
        <w:pStyle w:val="null3"/>
        <w:ind w:firstLine="480"/>
        <w:jc w:val="both"/>
      </w:pPr>
      <w:r>
        <w:rPr>
          <w:rFonts w:ascii="仿宋_GB2312" w:hAnsi="仿宋_GB2312" w:cs="仿宋_GB2312" w:eastAsia="仿宋_GB2312"/>
          <w:sz w:val="24"/>
        </w:rPr>
        <w:t>4.供应商在网上填写的单位信息（单位名称、营业执照等相关信息）应与磋商文件要求及后期上传的电子响应文件中相关信息一致，否则造成资格审查不通过的后果供应商自负。</w:t>
      </w:r>
    </w:p>
    <w:p>
      <w:pPr>
        <w:pStyle w:val="null3"/>
        <w:ind w:firstLine="480"/>
        <w:jc w:val="both"/>
      </w:pPr>
      <w:r>
        <w:rPr>
          <w:rFonts w:ascii="仿宋_GB2312" w:hAnsi="仿宋_GB2312" w:cs="仿宋_GB2312" w:eastAsia="仿宋_GB2312"/>
          <w:sz w:val="24"/>
        </w:rPr>
        <w:t>5.提交磋商响应文件截止时间前，供应商应随时留意【陕西省政府采购网】、【全国公共资源交易平台（陕西省·宝鸡市）】上可能发布的变更公告。若变更公告中明确注明本项目提供有变更文件的，供应商应登录企业端后，从〖项目流程·〉项目管理·〉答疑文件下载〗获取更新后的电子磋商文件（*.SXSCF）。</w:t>
      </w:r>
    </w:p>
    <w:p>
      <w:pPr>
        <w:pStyle w:val="null3"/>
        <w:ind w:firstLine="480"/>
        <w:jc w:val="both"/>
      </w:pPr>
      <w:r>
        <w:rPr>
          <w:rFonts w:ascii="仿宋_GB2312" w:hAnsi="仿宋_GB2312" w:cs="仿宋_GB2312" w:eastAsia="仿宋_GB2312"/>
          <w:sz w:val="24"/>
        </w:rPr>
        <w:t>6.提交磋商响应文件的方式：从宝鸡市公共资源交易平台〖首页·〉电子交易平台·〉陕西政府采购交易系统·〉企业端〗登录，登录后切换到〖我的项目〗模块，依次点选〖项目流程·〉项目管理·〉上传响应文件〗上传加密后的电子磋商响应文件（*.SXSTF）。</w:t>
      </w:r>
    </w:p>
    <w:p>
      <w:pPr>
        <w:pStyle w:val="null3"/>
        <w:ind w:firstLine="480"/>
        <w:jc w:val="both"/>
      </w:pPr>
      <w:r>
        <w:rPr>
          <w:rFonts w:ascii="仿宋_GB2312" w:hAnsi="仿宋_GB2312" w:cs="仿宋_GB2312" w:eastAsia="仿宋_GB2312"/>
          <w:sz w:val="24"/>
        </w:rPr>
        <w:t>7.本项目采用不见面开标，为了保证远程不见面开标顺利进行，供应商需使用配备相关设备的电脑提前一小时登录网络开标大厅。因供应商自身设施故障或自身原因导致无法完成投标的，由供应商自行承担后果。</w:t>
      </w:r>
    </w:p>
    <w:p>
      <w:pPr>
        <w:pStyle w:val="null3"/>
        <w:ind w:firstLine="482"/>
        <w:jc w:val="left"/>
      </w:pPr>
      <w:r>
        <w:rPr>
          <w:rFonts w:ascii="仿宋_GB2312" w:hAnsi="仿宋_GB2312" w:cs="仿宋_GB2312" w:eastAsia="仿宋_GB2312"/>
          <w:sz w:val="24"/>
          <w:b/>
        </w:rPr>
        <w:t>声明：因本项目实际采购人暂无政府采购账户，本公告以宝鸡市陈仓区教育体育局账户代发，实际采购人为宝鸡市陈仓区拓石镇第一九年制学校。</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宝鸡市陈仓区教育体育局</w:t>
      </w:r>
    </w:p>
    <w:p>
      <w:pPr>
        <w:pStyle w:val="null3"/>
      </w:pPr>
      <w:r>
        <w:rPr>
          <w:rFonts w:ascii="仿宋_GB2312" w:hAnsi="仿宋_GB2312" w:cs="仿宋_GB2312" w:eastAsia="仿宋_GB2312"/>
        </w:rPr>
        <w:t>地址：</w:t>
      </w:r>
      <w:r>
        <w:rPr>
          <w:rFonts w:ascii="仿宋_GB2312" w:hAnsi="仿宋_GB2312" w:cs="仿宋_GB2312" w:eastAsia="仿宋_GB2312"/>
        </w:rPr>
        <w:t>陈仓区行政中心</w:t>
      </w:r>
    </w:p>
    <w:p>
      <w:pPr>
        <w:pStyle w:val="null3"/>
      </w:pPr>
      <w:r>
        <w:rPr>
          <w:rFonts w:ascii="仿宋_GB2312" w:hAnsi="仿宋_GB2312" w:cs="仿宋_GB2312" w:eastAsia="仿宋_GB2312"/>
        </w:rPr>
        <w:t>联系方式：</w:t>
      </w:r>
      <w:r>
        <w:rPr>
          <w:rFonts w:ascii="仿宋_GB2312" w:hAnsi="仿宋_GB2312" w:cs="仿宋_GB2312" w:eastAsia="仿宋_GB2312"/>
        </w:rPr>
        <w:t>13909175527</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陕西中睿信达项目管理有限公司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宝鸡市新建路西段15号宝隆大厦2110室</w:t>
      </w:r>
    </w:p>
    <w:p>
      <w:pPr>
        <w:pStyle w:val="null3"/>
      </w:pPr>
      <w:r>
        <w:rPr>
          <w:rFonts w:ascii="仿宋_GB2312" w:hAnsi="仿宋_GB2312" w:cs="仿宋_GB2312" w:eastAsia="仿宋_GB2312"/>
        </w:rPr>
        <w:t>联系方式：</w:t>
      </w:r>
      <w:r>
        <w:rPr>
          <w:rFonts w:ascii="仿宋_GB2312" w:hAnsi="仿宋_GB2312" w:cs="仿宋_GB2312" w:eastAsia="仿宋_GB2312"/>
        </w:rPr>
        <w:t>0917-3326311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周桃利</w:t>
      </w:r>
    </w:p>
    <w:p>
      <w:pPr>
        <w:pStyle w:val="null3"/>
      </w:pPr>
      <w:r>
        <w:rPr>
          <w:rFonts w:ascii="仿宋_GB2312" w:hAnsi="仿宋_GB2312" w:cs="仿宋_GB2312" w:eastAsia="仿宋_GB2312"/>
        </w:rPr>
        <w:t>电话：</w:t>
      </w:r>
      <w:r>
        <w:rPr>
          <w:rFonts w:ascii="仿宋_GB2312" w:hAnsi="仿宋_GB2312" w:cs="仿宋_GB2312" w:eastAsia="仿宋_GB2312"/>
        </w:rPr>
        <w:t>0917-3326311</w:t>
      </w:r>
    </w:p>
    <w:p>
      <w:pPr>
        <w:pStyle w:val="null3"/>
        <w:jc w:val="right"/>
      </w:pPr>
      <w:r>
        <w:rPr>
          <w:rFonts w:ascii="仿宋_GB2312" w:hAnsi="仿宋_GB2312" w:cs="仿宋_GB2312" w:eastAsia="仿宋_GB2312"/>
        </w:rPr>
        <w:t>陕西中睿信达项目管理有限公司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