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版本号：SZB-2026-013-0320260519001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2026年《陕西省知识产权》杂志编制项目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SZB-2026-013-03</w:t>
      </w:r>
      <w:r>
        <w:br/>
      </w:r>
      <w:r>
        <w:br/>
      </w:r>
      <w:r>
        <w:br/>
      </w:r>
    </w:p>
    <w:p>
      <w:pPr>
        <w:pStyle w:val="null3"/>
        <w:jc w:val="center"/>
        <w:outlineLvl w:val="2"/>
      </w:pPr>
      <w:r>
        <w:rPr>
          <w:rFonts w:ascii="仿宋_GB2312" w:hAnsi="仿宋_GB2312" w:cs="仿宋_GB2312" w:eastAsia="仿宋_GB2312"/>
          <w:sz w:val="28"/>
          <w:b/>
        </w:rPr>
        <w:t>陕西省知识产权局机关</w:t>
      </w:r>
    </w:p>
    <w:p>
      <w:pPr>
        <w:pStyle w:val="null3"/>
        <w:jc w:val="center"/>
        <w:outlineLvl w:val="2"/>
      </w:pPr>
      <w:r>
        <w:rPr>
          <w:rFonts w:ascii="仿宋_GB2312" w:hAnsi="仿宋_GB2312" w:cs="仿宋_GB2312" w:eastAsia="仿宋_GB2312"/>
          <w:sz w:val="28"/>
          <w:b/>
        </w:rPr>
        <w:t>陕西众恒项目管理有限公司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陕西省知识产权局机关</w:t>
      </w:r>
      <w:r>
        <w:rPr>
          <w:rFonts w:ascii="仿宋_GB2312" w:hAnsi="仿宋_GB2312" w:cs="仿宋_GB2312" w:eastAsia="仿宋_GB2312"/>
        </w:rPr>
        <w:t>委托，拟对</w:t>
      </w:r>
      <w:r>
        <w:rPr>
          <w:rFonts w:ascii="仿宋_GB2312" w:hAnsi="仿宋_GB2312" w:cs="仿宋_GB2312" w:eastAsia="仿宋_GB2312"/>
        </w:rPr>
        <w:t>2026年《陕西省知识产权》杂志编制项目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SZB-2026-013-03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2026年《陕西省知识产权》杂志编制项目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知识产权局计划采购《陕西知识产权》期刊编制服务，所编期刊将精准解读各级知识产权政策法规，深度剖析行业发展动态，宣传知识产权工作，展示全球、国内、陕西在产业发展方面的最新动态，分析产业发展方向，通过知识产权大数据和案例分析研究提供产业发展和技术路径参考，全面呈现陕西知识产权工作助力全省产业发展成就，为知识产权相关单位搭建高效信息交流平台，推动知识产权工作迈向新高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采购包1（2026年《陕西知识产权》杂志编制项目）：属于专门面向中小企业采购。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1、营业执照：具有独立承担民事责任能力的法人、其他组织或自然人，提供合法有效的统一社会信用代码营业执照（其他组织提供相关证明资料，自然人应提供身份证）</w:t>
      </w:r>
    </w:p>
    <w:p>
      <w:pPr>
        <w:pStyle w:val="null3"/>
      </w:pPr>
      <w:r>
        <w:rPr>
          <w:rFonts w:ascii="仿宋_GB2312" w:hAnsi="仿宋_GB2312" w:cs="仿宋_GB2312" w:eastAsia="仿宋_GB2312"/>
        </w:rPr>
        <w:t>2、法定代表人授权书：提供法定代表人授权委托书原件（附法定代表人身份证复印件）及被授权委托人身份证（法定代表人参加投标时只须提供法定代表人身份证）</w:t>
      </w:r>
    </w:p>
    <w:p>
      <w:pPr>
        <w:pStyle w:val="null3"/>
      </w:pPr>
      <w:r>
        <w:rPr>
          <w:rFonts w:ascii="仿宋_GB2312" w:hAnsi="仿宋_GB2312" w:cs="仿宋_GB2312" w:eastAsia="仿宋_GB2312"/>
        </w:rPr>
        <w:t>3、财务状况报告：提供经审计的2024年度或2025年度的财务报告或提供开标日期前六个月内其基本账户开户银行出具的资信证明；其他组织和自然人提供银行出具的资信证明或财务报表</w:t>
      </w:r>
    </w:p>
    <w:p>
      <w:pPr>
        <w:pStyle w:val="null3"/>
      </w:pPr>
      <w:r>
        <w:rPr>
          <w:rFonts w:ascii="仿宋_GB2312" w:hAnsi="仿宋_GB2312" w:cs="仿宋_GB2312" w:eastAsia="仿宋_GB2312"/>
        </w:rPr>
        <w:t>4、税收缴纳证明：提供已缴纳的本年度或上年度任一月份的缴税凭证。依法免税的供应商应提供相关文件证明</w:t>
      </w:r>
    </w:p>
    <w:p>
      <w:pPr>
        <w:pStyle w:val="null3"/>
      </w:pPr>
      <w:r>
        <w:rPr>
          <w:rFonts w:ascii="仿宋_GB2312" w:hAnsi="仿宋_GB2312" w:cs="仿宋_GB2312" w:eastAsia="仿宋_GB2312"/>
        </w:rPr>
        <w:t>5、社会保障资金缴纳证明：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p>
      <w:pPr>
        <w:pStyle w:val="null3"/>
      </w:pPr>
      <w:r>
        <w:rPr>
          <w:rFonts w:ascii="仿宋_GB2312" w:hAnsi="仿宋_GB2312" w:cs="仿宋_GB2312" w:eastAsia="仿宋_GB2312"/>
        </w:rPr>
        <w:t>6、信用记录：参加本次政府采购活动前3年内在经营活动中没有重大违纪，以及未被列入失信被执行人、重大税收违法案件当事人名单、政府采购严重违法失信行为记录名单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7、信用主体查询：供应商通过“信用中国”网站(www.creditchina.gov.cn)查询相关主体信用记录，查询时间须在采购文件发售期至开标截止时间之间，并将网页截图附在响应文件中</w:t>
      </w:r>
    </w:p>
    <w:p>
      <w:pPr>
        <w:pStyle w:val="null3"/>
      </w:pPr>
      <w:r>
        <w:rPr>
          <w:rFonts w:ascii="仿宋_GB2312" w:hAnsi="仿宋_GB2312" w:cs="仿宋_GB2312" w:eastAsia="仿宋_GB2312"/>
        </w:rPr>
        <w:t>8、书面声明：具有履行合同所必需的专业技术和行业组织协调能力的承诺函</w:t>
      </w:r>
    </w:p>
    <w:p>
      <w:pPr>
        <w:pStyle w:val="null3"/>
      </w:pPr>
      <w:r>
        <w:rPr>
          <w:rFonts w:ascii="仿宋_GB2312" w:hAnsi="仿宋_GB2312" w:cs="仿宋_GB2312" w:eastAsia="仿宋_GB2312"/>
        </w:rPr>
        <w:t>9、《非联合体不分包投标声明》：本项目不接受联合体投标，不允许分包：供应商提供《非联合体不分包投标声明》，视为独立响应，不分包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西安市雁翔路99号交大博源科技广场C座12楼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代理服务费收费标准：招标代理服务费由中标人在领取中标通知书前向招标代理机构支付 ，参照国家计委计价格【2002】 1980号文支付，一次性收取。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陕西省知识产权局机关</w:t>
      </w:r>
      <w:r>
        <w:rPr>
          <w:rFonts w:ascii="仿宋_GB2312" w:hAnsi="仿宋_GB2312" w:cs="仿宋_GB2312" w:eastAsia="仿宋_GB2312"/>
        </w:rPr>
        <w:t>和</w:t>
      </w:r>
      <w:r>
        <w:rPr>
          <w:rFonts w:ascii="仿宋_GB2312" w:hAnsi="仿宋_GB2312" w:cs="仿宋_GB2312" w:eastAsia="仿宋_GB2312"/>
        </w:rPr>
        <w:t>陕西众恒项目管理有限公司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联系人：李楠</w:t>
      </w:r>
    </w:p>
    <w:p>
      <w:pPr>
        <w:pStyle w:val="null3"/>
      </w:pPr>
      <w:r>
        <w:rPr>
          <w:rFonts w:ascii="仿宋_GB2312" w:hAnsi="仿宋_GB2312" w:cs="仿宋_GB2312" w:eastAsia="仿宋_GB2312"/>
        </w:rPr>
        <w:t>联系电话：18821775788</w:t>
      </w:r>
    </w:p>
    <w:p>
      <w:pPr>
        <w:pStyle w:val="null3"/>
      </w:pPr>
      <w:r>
        <w:rPr>
          <w:rFonts w:ascii="仿宋_GB2312" w:hAnsi="仿宋_GB2312" w:cs="仿宋_GB2312" w:eastAsia="仿宋_GB2312"/>
        </w:rPr>
        <w:t>地址：西安市雁翔路99号交大博源科技广场C座12楼</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知识产权局计划采购《陕西知识产权》期刊编制服务，所编期刊将精准解读各级知识产权政策法规，深度剖析行业发展动态，宣传知识产权工作，展示全球、国内、陕西在产业发展方面的最新动态，分析产业发展方向，通过知识产权大数据和案例分析研究提供产业发展和技术路径参考，全面呈现陕西知识产权工作助力全省产业发展成就，为知识产权相关单位搭建高效信息交流平台，推动知识产权工作迈向新高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1）每期杂志聚焦一个重点产业，透过知识产权信息分析解码行业技术现状，预测产业发展趋势。</w:t>
            </w:r>
            <w:r>
              <w:rPr>
                <w:rFonts w:ascii="仿宋_GB2312" w:hAnsi="仿宋_GB2312" w:cs="仿宋_GB2312" w:eastAsia="仿宋_GB2312"/>
                <w:sz w:val="24"/>
              </w:rPr>
              <w:t>（</w:t>
            </w:r>
            <w:r>
              <w:rPr>
                <w:rFonts w:ascii="仿宋_GB2312" w:hAnsi="仿宋_GB2312" w:cs="仿宋_GB2312" w:eastAsia="仿宋_GB2312"/>
                <w:sz w:val="24"/>
              </w:rPr>
              <w:t>2）对各级政策法规解读部分，引用政策原文需准确且最新，解读文字清晰明了，确保无歧义。</w:t>
            </w:r>
            <w:r>
              <w:rPr>
                <w:rFonts w:ascii="仿宋_GB2312" w:hAnsi="仿宋_GB2312" w:cs="仿宋_GB2312" w:eastAsia="仿宋_GB2312"/>
                <w:sz w:val="24"/>
              </w:rPr>
              <w:t>（</w:t>
            </w:r>
            <w:r>
              <w:rPr>
                <w:rFonts w:ascii="仿宋_GB2312" w:hAnsi="仿宋_GB2312" w:cs="仿宋_GB2312" w:eastAsia="仿宋_GB2312"/>
                <w:sz w:val="24"/>
              </w:rPr>
              <w:t>3）产业动态报道要及时，信息来源可靠。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1）整体设计风格需符合陕西省知识产权局的品牌形象，色彩搭配协调，页面布局合理，具有较高的可读性和视觉美感。排版格式要统一规范，字体、字号、行距、页边距等符合出版行业标准。</w:t>
            </w:r>
            <w:r>
              <w:rPr>
                <w:rFonts w:ascii="仿宋_GB2312" w:hAnsi="仿宋_GB2312" w:cs="仿宋_GB2312" w:eastAsia="仿宋_GB2312"/>
                <w:sz w:val="24"/>
              </w:rPr>
              <w:t>（</w:t>
            </w:r>
            <w:r>
              <w:rPr>
                <w:rFonts w:ascii="仿宋_GB2312" w:hAnsi="仿宋_GB2312" w:cs="仿宋_GB2312" w:eastAsia="仿宋_GB2312"/>
                <w:sz w:val="24"/>
              </w:rPr>
              <w:t>2）图片、图表等元素清晰、美观，且与文字内容紧密配合，能有效辅助读者理解相关信息。</w:t>
            </w:r>
            <w:r>
              <w:rPr>
                <w:rFonts w:ascii="仿宋_GB2312" w:hAnsi="仿宋_GB2312" w:cs="仿宋_GB2312" w:eastAsia="仿宋_GB2312"/>
                <w:sz w:val="24"/>
              </w:rPr>
              <w:t>（</w:t>
            </w:r>
            <w:r>
              <w:rPr>
                <w:rFonts w:ascii="仿宋_GB2312" w:hAnsi="仿宋_GB2312" w:cs="仿宋_GB2312" w:eastAsia="仿宋_GB2312"/>
                <w:sz w:val="24"/>
              </w:rPr>
              <w:t>3）刊物需具备良好的印刷适应性，排版文件需按照印刷标准进行制作，交付时需提供可直接用于印刷的源文件，同时提供一份清晰的预览文件。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1）纸张优质，印刷符合国标。</w:t>
            </w:r>
            <w:r>
              <w:rPr>
                <w:rFonts w:ascii="仿宋_GB2312" w:hAnsi="仿宋_GB2312" w:cs="仿宋_GB2312" w:eastAsia="仿宋_GB2312"/>
                <w:sz w:val="24"/>
              </w:rPr>
              <w:t>（</w:t>
            </w:r>
            <w:r>
              <w:rPr>
                <w:rFonts w:ascii="仿宋_GB2312" w:hAnsi="仿宋_GB2312" w:cs="仿宋_GB2312" w:eastAsia="仿宋_GB2312"/>
                <w:sz w:val="24"/>
              </w:rPr>
              <w:t>2）本刊为双月刊，每期第二月25日前交付，如遇特殊情况导致延迟出版，需提前5个工作日书面通知甲方，并说明原因及解决方案。</w:t>
            </w:r>
            <w:r>
              <w:rPr>
                <w:rFonts w:ascii="仿宋_GB2312" w:hAnsi="仿宋_GB2312" w:cs="仿宋_GB2312" w:eastAsia="仿宋_GB2312"/>
                <w:sz w:val="24"/>
              </w:rPr>
              <w:t>（</w:t>
            </w:r>
            <w:r>
              <w:rPr>
                <w:rFonts w:ascii="仿宋_GB2312" w:hAnsi="仿宋_GB2312" w:cs="仿宋_GB2312" w:eastAsia="仿宋_GB2312"/>
                <w:sz w:val="24"/>
              </w:rPr>
              <w:t>3）提供印刷厂商的资质证明文件及合作协议。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期刊的知识产权归陕西省知识产权局所有，服务供应方不得擅自使用刊物内容进行商业活动或其他用途。在期刊创作过程中所产生的所有稿件、设计方案、图片等资料的知识产权也归甲方所有，服务供应方需在项目结束后将所有资料完整交付给甲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进度款，项目完成后，达到付款条件起7个工作日内，支付合同总金额的20.0%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按《民法典》相关规定执行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具有独立承担民事责任能力的法人、其他组织或自然人，提供合法有效的统一社会信用代码营业执照（其他组织提供相关证明资料，自然人应提供身份证）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提供法定代表人授权委托书原件（附法定代表人身份证复印件）及被授权委托人身份证（法定代表人参加投标时只须提供法定代表人身份证）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提供经审计的2024年度或2025年度的财务报告或提供开标日期前六个月内其基本账户开户银行出具的资信证明；其他组织和自然人提供银行出具的资信证明或财务报表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提供已缴纳的本年度或上年度任一月份的缴税凭证。依法免税的供应商应提供相关文件证明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供应商通过“信用中国”网站(www.creditchina.gov.cn)查询相关主体信用记录，查询时间须在采购文件发售期至开标截止时间之间，并将网页截图附在响应文件中</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具有履行合同所必需的专业技术和行业组织协调能力的承诺函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本项目不接受联合体投标，不允许分包：供应商提供《非联合体不分包投标声明》，视为独立响应，不分包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项目理解和需求分析</w:t>
            </w:r>
          </w:p>
        </w:tc>
        <w:tc>
          <w:tcPr>
            <w:tcW w:type="dxa" w:w="2492"/>
          </w:tcPr>
          <w:p>
            <w:pPr>
              <w:pStyle w:val="null3"/>
            </w:pPr>
            <w:r>
              <w:rPr>
                <w:rFonts w:ascii="仿宋_GB2312" w:hAnsi="仿宋_GB2312" w:cs="仿宋_GB2312" w:eastAsia="仿宋_GB2312"/>
              </w:rPr>
              <w:t>根据供应商对本项目的理解及分析程度进行赋分，对本项目的理解程度及需求分析思路是否清晰、内容是否全面、对项目总体情况是否熟悉，且能否高质量完成期刊稿件撰写、组稿（含稿费）、编辑、设计、排版、校对、发行等相关工作。 1.针对本项目服务内容理解全面、需求分析明确，能够紧扣项目实际情况分析，关键内容把握得当，计6-10分； 2.针对本项目理解单一、需求分析含糊，描述较详细，关键内容可行性不足，计3-6分； 3.针对本项目理解需求分析有偏差、关键内容阐述不明确，计1-3分； 4.未提供不计分。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围绕本项目工作主题，对本项目的各项服务内容提供具体详细的实施方案。 1.实施方案内容完整，可行性且专业度强，有较强针对性，实施方案总体思路清晰，实施步骤合理，响应机制完整且快，方案能充分体现供应商独立完成及处理问题的能力，计30-45分； 2. 实施方案较为全面, 可行性较高，基本合理,重点内容明确，计10-30分； 3. 实施方案内容有欠缺、可行性一般、合理性较差，服务内容过于简单，计1-10分； 4.未提供不计分。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供应商结合本项目实际情况制定合理、可行、完整的总体进度计划及保障措施。 1.进度计划及保障措施内容完整且时效性强，能够切合本项目实际情况对进度关键节点的控制和保障措施详细描述，完全满足采购要求，计6-10分； 2.进度计划及保障措施内容单一，基本可行，计3-6分； 3.进度计划及保障措施有偏差，项目实施起来有困难，计1-3分； 4.未提供不计分。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供应商结合本项目的服务内容，提供切实可行的售后服务承诺，并提供拟投入售后服务人员配置情况、具体可行的售后服务承诺等。 1.售后服务方案完善、科学合理，针对性强，计4-5分； 2.售后服务方案内容单一，基本可行，计2-4分； 3.售后服务承诺没有针对性，不够详细，计1-2分；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项目保障团队</w:t>
            </w:r>
          </w:p>
        </w:tc>
        <w:tc>
          <w:tcPr>
            <w:tcW w:type="dxa" w:w="2492"/>
          </w:tcPr>
          <w:p>
            <w:pPr>
              <w:pStyle w:val="null3"/>
            </w:pPr>
            <w:r>
              <w:rPr>
                <w:rFonts w:ascii="仿宋_GB2312" w:hAnsi="仿宋_GB2312" w:cs="仿宋_GB2312" w:eastAsia="仿宋_GB2312"/>
              </w:rPr>
              <w:t>投标人团队应具备知识产权、期刊杂志等从业背景，应符合专业性强、资历好，项目组织机构健全，技术支持体系完善，能做到实时响应，人员配备合理职责分工明确。 1.人员配备科学、专业能力强，项目组织合理体系完善、职责分工明确，得6-10 分; 2.人员配备较合理、可行，项目组织保障一般，职责分工一般，得3-6分; 3.人员配备较差，组织保证较差，职责分工不明确，得 1-3分。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供应商提供近三年（自 2023 年 01 月 01 日至今知识产权、期刊杂志等）类似项目业绩，每提供一个得 2分，最高得10分。 注：须提供合同复印件，加盖供应商公章(（合同用应提供首页，服务内容页及盖章签字页）。日期以签订合同时间为准，否则不予认可。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采用低价优先法计算，即满足磋商文件要求且最后报价最低的供应商的价格为磋商基准价，其报价得分为满分。其他供应商的价格分统一按照下列公式计算：磋商报价得分=（磋商基准价/最后磋商报价）×10 （保留小数点后两位,小数点后第三位四舍五入）项目评审过程中，不得去掉最后报价中的最高报价和最低报价。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