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2CB3B">
      <w:pPr>
        <w:pStyle w:val="4"/>
        <w:spacing w:line="440" w:lineRule="exact"/>
        <w:ind w:firstLine="723" w:firstLineChars="300"/>
        <w:rPr>
          <w:b/>
          <w:bCs/>
          <w:sz w:val="24"/>
        </w:rPr>
      </w:pPr>
      <w:r>
        <w:rPr>
          <w:rFonts w:hint="eastAsia"/>
          <w:b/>
          <w:bCs/>
          <w:sz w:val="24"/>
        </w:rPr>
        <w:t>注：本章节的采购合同仅供参考，正式合同以甲乙方双签订的为准。</w:t>
      </w:r>
    </w:p>
    <w:p w14:paraId="0A266627">
      <w:pPr>
        <w:jc w:val="center"/>
        <w:rPr>
          <w:sz w:val="36"/>
          <w:szCs w:val="36"/>
        </w:rPr>
      </w:pPr>
      <w:r>
        <w:rPr>
          <w:rFonts w:hint="eastAsia"/>
          <w:sz w:val="36"/>
          <w:szCs w:val="36"/>
        </w:rPr>
        <w:t>2</w:t>
      </w:r>
      <w:r>
        <w:rPr>
          <w:sz w:val="36"/>
          <w:szCs w:val="36"/>
        </w:rPr>
        <w:t>026</w:t>
      </w:r>
      <w:r>
        <w:rPr>
          <w:rFonts w:hint="eastAsia"/>
          <w:sz w:val="36"/>
          <w:szCs w:val="36"/>
        </w:rPr>
        <w:t>年</w:t>
      </w:r>
      <w:r>
        <w:rPr>
          <w:sz w:val="36"/>
          <w:szCs w:val="36"/>
        </w:rPr>
        <w:t>-2027</w:t>
      </w:r>
      <w:r>
        <w:rPr>
          <w:rFonts w:hint="eastAsia"/>
          <w:sz w:val="36"/>
          <w:szCs w:val="36"/>
        </w:rPr>
        <w:t>年勉县城区</w:t>
      </w:r>
    </w:p>
    <w:p w14:paraId="7F0C9983">
      <w:pPr>
        <w:jc w:val="center"/>
        <w:rPr>
          <w:rFonts w:hint="eastAsia"/>
          <w:sz w:val="36"/>
          <w:szCs w:val="36"/>
        </w:rPr>
      </w:pPr>
      <w:r>
        <w:rPr>
          <w:rFonts w:hint="eastAsia"/>
          <w:sz w:val="36"/>
          <w:szCs w:val="36"/>
        </w:rPr>
        <w:t xml:space="preserve">公共绿地养护服务采购项目（ </w:t>
      </w:r>
      <w:r>
        <w:rPr>
          <w:sz w:val="36"/>
          <w:szCs w:val="36"/>
        </w:rPr>
        <w:t xml:space="preserve">  </w:t>
      </w:r>
      <w:r>
        <w:rPr>
          <w:rFonts w:hint="eastAsia"/>
          <w:sz w:val="36"/>
          <w:szCs w:val="36"/>
        </w:rPr>
        <w:t>标段）施工合同书</w:t>
      </w:r>
    </w:p>
    <w:p w14:paraId="0DD10AE6">
      <w:pPr>
        <w:pStyle w:val="12"/>
        <w:widowControl/>
        <w:snapToGrid w:val="0"/>
        <w:spacing w:line="440" w:lineRule="exact"/>
        <w:ind w:firstLine="480"/>
        <w:rPr>
          <w:rStyle w:val="10"/>
          <w:rFonts w:ascii="宋体" w:hAnsi="宋体" w:cs="宋体"/>
        </w:rPr>
      </w:pPr>
      <w:r>
        <w:rPr>
          <w:rStyle w:val="10"/>
          <w:rFonts w:hint="eastAsia" w:ascii="宋体" w:hAnsi="宋体" w:cs="宋体"/>
        </w:rPr>
        <w:t xml:space="preserve">合同编号： </w:t>
      </w:r>
    </w:p>
    <w:p w14:paraId="61A61A49">
      <w:pPr>
        <w:pStyle w:val="12"/>
        <w:widowControl/>
        <w:snapToGrid w:val="0"/>
        <w:spacing w:line="440" w:lineRule="exact"/>
        <w:ind w:firstLine="480"/>
        <w:rPr>
          <w:rStyle w:val="10"/>
          <w:rFonts w:ascii="宋体" w:hAnsi="宋体" w:cs="宋体"/>
        </w:rPr>
      </w:pPr>
      <w:r>
        <w:rPr>
          <w:rStyle w:val="10"/>
          <w:rFonts w:hint="eastAsia" w:ascii="宋体" w:hAnsi="宋体" w:cs="宋体"/>
        </w:rPr>
        <w:t xml:space="preserve">签订地点： </w:t>
      </w:r>
    </w:p>
    <w:p w14:paraId="33658B05">
      <w:pPr>
        <w:pStyle w:val="12"/>
        <w:widowControl/>
        <w:snapToGrid w:val="0"/>
        <w:spacing w:line="440" w:lineRule="exact"/>
        <w:ind w:firstLine="480"/>
        <w:rPr>
          <w:rStyle w:val="10"/>
          <w:rFonts w:ascii="宋体" w:hAnsi="宋体" w:cs="宋体"/>
        </w:rPr>
      </w:pPr>
      <w:r>
        <w:rPr>
          <w:rStyle w:val="10"/>
          <w:rFonts w:hint="eastAsia" w:ascii="宋体" w:hAnsi="宋体" w:cs="宋体"/>
        </w:rPr>
        <w:t>签订时间:</w:t>
      </w:r>
    </w:p>
    <w:p w14:paraId="64D3A0A1">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为了强化勉县城区公共绿地养护管理工作，确保花草树木生长繁茂，给广大人民群众提供良好的生产生活环境。根据《中华人民共和国民法典》 、《城市绿化条例》 、《陕西省城镇绿化条例》等有关法律法规的规定和上级相关绿化养护工作要求，经过公开招标，甲乙双方就202</w:t>
      </w:r>
      <w:r>
        <w:rPr>
          <w:rStyle w:val="10"/>
          <w:rFonts w:ascii="宋体" w:hAnsi="宋体" w:cs="宋体"/>
          <w:sz w:val="24"/>
        </w:rPr>
        <w:t>6</w:t>
      </w:r>
      <w:r>
        <w:rPr>
          <w:rStyle w:val="10"/>
          <w:rFonts w:hint="eastAsia" w:ascii="宋体" w:hAnsi="宋体" w:cs="宋体"/>
          <w:sz w:val="24"/>
        </w:rPr>
        <w:t>年-202</w:t>
      </w:r>
      <w:r>
        <w:rPr>
          <w:rStyle w:val="10"/>
          <w:rFonts w:ascii="宋体" w:hAnsi="宋体" w:cs="宋体"/>
          <w:sz w:val="24"/>
        </w:rPr>
        <w:t>7</w:t>
      </w:r>
      <w:r>
        <w:rPr>
          <w:rStyle w:val="10"/>
          <w:rFonts w:hint="eastAsia" w:ascii="宋体" w:hAnsi="宋体" w:cs="宋体"/>
          <w:sz w:val="24"/>
        </w:rPr>
        <w:t>年度勉县城区公共绿地养护服务采购项目（   ）标段施工事宜，协商订立如下合同：</w:t>
      </w:r>
    </w:p>
    <w:p w14:paraId="2832EEB5">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一、绿化养护内容</w:t>
      </w:r>
    </w:p>
    <w:p w14:paraId="22CA9B70">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甲方委托乙方实施</w:t>
      </w:r>
      <w:r>
        <w:rPr>
          <w:rStyle w:val="10"/>
          <w:rFonts w:hint="eastAsia" w:ascii="宋体" w:hAnsi="宋体" w:cs="宋体"/>
          <w:sz w:val="24"/>
        </w:rPr>
        <w:t>202</w:t>
      </w:r>
      <w:r>
        <w:rPr>
          <w:rStyle w:val="10"/>
          <w:rFonts w:ascii="宋体" w:hAnsi="宋体" w:cs="宋体"/>
          <w:sz w:val="24"/>
        </w:rPr>
        <w:t>6</w:t>
      </w:r>
      <w:r>
        <w:rPr>
          <w:rStyle w:val="10"/>
          <w:rFonts w:hint="eastAsia" w:ascii="宋体" w:hAnsi="宋体" w:cs="宋体"/>
          <w:sz w:val="24"/>
        </w:rPr>
        <w:t>年-202</w:t>
      </w:r>
      <w:r>
        <w:rPr>
          <w:rStyle w:val="10"/>
          <w:rFonts w:ascii="宋体" w:hAnsi="宋体" w:cs="宋体"/>
          <w:sz w:val="24"/>
        </w:rPr>
        <w:t>7</w:t>
      </w:r>
      <w:r>
        <w:rPr>
          <w:rStyle w:val="10"/>
          <w:rFonts w:hint="eastAsia" w:ascii="宋体" w:hAnsi="宋体" w:cs="宋体"/>
          <w:sz w:val="24"/>
        </w:rPr>
        <w:t>年度勉县城区公共绿地养护服务采购项目（   ）</w:t>
      </w:r>
      <w:r>
        <w:rPr>
          <w:rStyle w:val="10"/>
          <w:rFonts w:hint="eastAsia" w:ascii="宋体" w:hAnsi="宋体" w:cs="宋体"/>
          <w:color w:val="FF0000"/>
          <w:sz w:val="24"/>
        </w:rPr>
        <w:t>标段</w:t>
      </w:r>
      <w:r>
        <w:rPr>
          <w:rStyle w:val="10"/>
          <w:rFonts w:hint="eastAsia" w:ascii="宋体" w:hAnsi="宋体" w:cs="宋体"/>
          <w:sz w:val="24"/>
        </w:rPr>
        <w:t>施工</w:t>
      </w:r>
      <w:r>
        <w:rPr>
          <w:rStyle w:val="10"/>
          <w:rFonts w:hint="eastAsia" w:ascii="宋体" w:hAnsi="宋体" w:cs="宋体"/>
          <w:bCs/>
          <w:sz w:val="24"/>
        </w:rPr>
        <w:t>，同时乙方须向甲方提供如下配套服务：</w:t>
      </w:r>
    </w:p>
    <w:p w14:paraId="052190ED">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bCs/>
          <w:sz w:val="24"/>
        </w:rPr>
        <w:t>完成该项工作所需的人工、材料、机械、管理、维护、保险、利润、税金、政策性文件规定及合同包含的所有风险、责任等。</w:t>
      </w:r>
    </w:p>
    <w:p w14:paraId="56ED1A64">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二、绿化养护时限及面积</w:t>
      </w:r>
    </w:p>
    <w:p w14:paraId="59654EBC">
      <w:pPr>
        <w:snapToGrid w:val="0"/>
        <w:spacing w:line="440" w:lineRule="exact"/>
        <w:ind w:left="420" w:leftChars="200"/>
        <w:textAlignment w:val="baseline"/>
        <w:rPr>
          <w:rStyle w:val="10"/>
          <w:rFonts w:ascii="宋体" w:hAnsi="宋体" w:cs="宋体"/>
          <w:bCs/>
          <w:sz w:val="24"/>
        </w:rPr>
      </w:pPr>
      <w:r>
        <w:rPr>
          <w:rStyle w:val="10"/>
          <w:rFonts w:hint="eastAsia" w:ascii="宋体" w:hAnsi="宋体" w:cs="宋体"/>
          <w:b/>
          <w:bCs/>
          <w:sz w:val="24"/>
        </w:rPr>
        <w:t>（一）养护时限：</w:t>
      </w:r>
      <w:r>
        <w:rPr>
          <w:rStyle w:val="10"/>
          <w:rFonts w:hint="eastAsia" w:ascii="宋体" w:hAnsi="宋体" w:cs="宋体"/>
          <w:sz w:val="24"/>
        </w:rPr>
        <w:t>合同期限为1</w:t>
      </w:r>
      <w:r>
        <w:rPr>
          <w:rStyle w:val="10"/>
          <w:rFonts w:ascii="宋体" w:hAnsi="宋体" w:cs="宋体"/>
          <w:sz w:val="24"/>
        </w:rPr>
        <w:t>8</w:t>
      </w:r>
      <w:r>
        <w:rPr>
          <w:rStyle w:val="10"/>
          <w:rFonts w:hint="eastAsia" w:ascii="宋体" w:hAnsi="宋体" w:cs="宋体"/>
          <w:sz w:val="24"/>
        </w:rPr>
        <w:t>个月，即从2</w:t>
      </w:r>
      <w:r>
        <w:rPr>
          <w:rStyle w:val="10"/>
          <w:rFonts w:ascii="宋体" w:hAnsi="宋体" w:cs="宋体"/>
          <w:sz w:val="24"/>
        </w:rPr>
        <w:t>026</w:t>
      </w:r>
      <w:r>
        <w:rPr>
          <w:rStyle w:val="10"/>
          <w:rFonts w:hint="eastAsia" w:ascii="宋体" w:hAnsi="宋体" w:cs="宋体"/>
          <w:bCs/>
          <w:sz w:val="24"/>
        </w:rPr>
        <w:t>年</w:t>
      </w:r>
      <w:r>
        <w:rPr>
          <w:rStyle w:val="10"/>
          <w:rFonts w:hint="eastAsia" w:ascii="宋体" w:hAnsi="宋体" w:cs="宋体"/>
          <w:bCs/>
          <w:sz w:val="24"/>
          <w:u w:val="single" w:color="000000"/>
        </w:rPr>
        <w:t xml:space="preserve"> </w:t>
      </w:r>
      <w:r>
        <w:rPr>
          <w:rStyle w:val="10"/>
          <w:rFonts w:ascii="宋体" w:hAnsi="宋体" w:cs="宋体"/>
          <w:bCs/>
          <w:sz w:val="24"/>
          <w:u w:val="single" w:color="000000"/>
        </w:rPr>
        <w:t>7</w:t>
      </w:r>
      <w:r>
        <w:rPr>
          <w:rStyle w:val="10"/>
          <w:rFonts w:hint="eastAsia" w:ascii="宋体" w:hAnsi="宋体" w:cs="宋体"/>
          <w:bCs/>
          <w:sz w:val="24"/>
        </w:rPr>
        <w:t>月</w:t>
      </w:r>
      <w:r>
        <w:rPr>
          <w:rStyle w:val="10"/>
          <w:rFonts w:hint="eastAsia" w:ascii="宋体" w:hAnsi="宋体" w:cs="宋体"/>
          <w:bCs/>
          <w:sz w:val="24"/>
          <w:u w:val="single" w:color="000000"/>
        </w:rPr>
        <w:t xml:space="preserve"> </w:t>
      </w:r>
      <w:r>
        <w:rPr>
          <w:rStyle w:val="10"/>
          <w:rFonts w:ascii="宋体" w:hAnsi="宋体" w:cs="宋体"/>
          <w:bCs/>
          <w:sz w:val="24"/>
          <w:u w:val="single" w:color="000000"/>
        </w:rPr>
        <w:t>1</w:t>
      </w:r>
      <w:r>
        <w:rPr>
          <w:rStyle w:val="10"/>
          <w:rFonts w:hint="eastAsia" w:ascii="宋体" w:hAnsi="宋体" w:cs="宋体"/>
          <w:bCs/>
          <w:sz w:val="24"/>
          <w:u w:val="single" w:color="000000"/>
        </w:rPr>
        <w:t xml:space="preserve"> </w:t>
      </w:r>
      <w:r>
        <w:rPr>
          <w:rStyle w:val="10"/>
          <w:rFonts w:hint="eastAsia" w:ascii="宋体" w:hAnsi="宋体" w:cs="宋体"/>
          <w:bCs/>
          <w:sz w:val="24"/>
        </w:rPr>
        <w:t>日至2</w:t>
      </w:r>
      <w:r>
        <w:rPr>
          <w:rStyle w:val="10"/>
          <w:rFonts w:ascii="宋体" w:hAnsi="宋体" w:cs="宋体"/>
          <w:bCs/>
          <w:sz w:val="24"/>
        </w:rPr>
        <w:t>027</w:t>
      </w:r>
      <w:r>
        <w:rPr>
          <w:rStyle w:val="10"/>
          <w:rFonts w:hint="eastAsia" w:ascii="宋体" w:hAnsi="宋体" w:cs="宋体"/>
          <w:bCs/>
          <w:sz w:val="24"/>
        </w:rPr>
        <w:t>年</w:t>
      </w:r>
      <w:r>
        <w:rPr>
          <w:rStyle w:val="10"/>
          <w:rFonts w:hint="eastAsia" w:ascii="宋体" w:hAnsi="宋体" w:cs="宋体"/>
          <w:bCs/>
          <w:sz w:val="24"/>
          <w:u w:val="single" w:color="000000"/>
        </w:rPr>
        <w:t xml:space="preserve"> </w:t>
      </w:r>
      <w:r>
        <w:rPr>
          <w:rStyle w:val="10"/>
          <w:rFonts w:ascii="宋体" w:hAnsi="宋体" w:cs="宋体"/>
          <w:bCs/>
          <w:sz w:val="24"/>
          <w:u w:val="single" w:color="000000"/>
        </w:rPr>
        <w:t>12</w:t>
      </w:r>
      <w:r>
        <w:rPr>
          <w:rStyle w:val="10"/>
          <w:rFonts w:hint="eastAsia" w:ascii="宋体" w:hAnsi="宋体" w:cs="宋体"/>
          <w:bCs/>
          <w:sz w:val="24"/>
          <w:u w:val="single" w:color="000000"/>
        </w:rPr>
        <w:t xml:space="preserve"> </w:t>
      </w:r>
      <w:r>
        <w:rPr>
          <w:rStyle w:val="10"/>
          <w:rFonts w:hint="eastAsia" w:ascii="宋体" w:hAnsi="宋体" w:cs="宋体"/>
          <w:bCs/>
          <w:sz w:val="24"/>
        </w:rPr>
        <w:t>月</w:t>
      </w:r>
      <w:r>
        <w:rPr>
          <w:rStyle w:val="10"/>
          <w:rFonts w:hint="eastAsia" w:ascii="宋体" w:hAnsi="宋体" w:cs="宋体"/>
          <w:bCs/>
          <w:sz w:val="24"/>
          <w:u w:val="single" w:color="000000"/>
        </w:rPr>
        <w:t xml:space="preserve"> </w:t>
      </w:r>
      <w:r>
        <w:rPr>
          <w:rStyle w:val="10"/>
          <w:rFonts w:ascii="宋体" w:hAnsi="宋体" w:cs="宋体"/>
          <w:bCs/>
          <w:sz w:val="24"/>
          <w:u w:val="single" w:color="000000"/>
        </w:rPr>
        <w:t>31</w:t>
      </w:r>
      <w:r>
        <w:rPr>
          <w:rStyle w:val="10"/>
          <w:rFonts w:hint="eastAsia" w:ascii="宋体" w:hAnsi="宋体" w:cs="宋体"/>
          <w:bCs/>
          <w:sz w:val="24"/>
          <w:u w:val="single" w:color="000000"/>
        </w:rPr>
        <w:t xml:space="preserve"> </w:t>
      </w:r>
      <w:r>
        <w:rPr>
          <w:rStyle w:val="10"/>
          <w:rFonts w:hint="eastAsia" w:ascii="宋体" w:hAnsi="宋体" w:cs="宋体"/>
          <w:bCs/>
          <w:sz w:val="24"/>
        </w:rPr>
        <w:t>日止</w:t>
      </w:r>
    </w:p>
    <w:p w14:paraId="7BE2F9D8">
      <w:pPr>
        <w:snapToGrid w:val="0"/>
        <w:spacing w:line="440" w:lineRule="exact"/>
        <w:ind w:firstLine="482" w:firstLineChars="200"/>
        <w:textAlignment w:val="baseline"/>
        <w:rPr>
          <w:rStyle w:val="10"/>
          <w:rFonts w:ascii="宋体" w:hAnsi="宋体" w:cs="宋体"/>
          <w:bCs/>
          <w:sz w:val="24"/>
        </w:rPr>
      </w:pPr>
      <w:r>
        <w:rPr>
          <w:rStyle w:val="10"/>
          <w:rFonts w:hint="eastAsia" w:ascii="宋体" w:hAnsi="宋体" w:cs="宋体"/>
          <w:b/>
          <w:bCs/>
          <w:sz w:val="24"/>
        </w:rPr>
        <w:t>（二）养护区域：</w:t>
      </w:r>
      <w:r>
        <w:rPr>
          <w:rStyle w:val="10"/>
          <w:rFonts w:hint="eastAsia" w:ascii="宋体" w:hAnsi="宋体" w:cs="宋体"/>
          <w:bCs/>
          <w:sz w:val="24"/>
        </w:rPr>
        <w:t>乔木约</w:t>
      </w:r>
      <w:r>
        <w:rPr>
          <w:rStyle w:val="10"/>
          <w:rFonts w:hint="eastAsia" w:ascii="宋体" w:hAnsi="宋体" w:cs="宋体"/>
          <w:bCs/>
          <w:sz w:val="24"/>
          <w:u w:val="single" w:color="000000"/>
        </w:rPr>
        <w:t>　　</w:t>
      </w:r>
      <w:r>
        <w:rPr>
          <w:rStyle w:val="10"/>
          <w:rFonts w:hint="eastAsia" w:ascii="宋体" w:hAnsi="宋体" w:cs="宋体"/>
          <w:bCs/>
          <w:sz w:val="24"/>
        </w:rPr>
        <w:t>株，绿地面积约</w:t>
      </w:r>
      <w:r>
        <w:rPr>
          <w:rStyle w:val="10"/>
          <w:rFonts w:hint="eastAsia" w:ascii="宋体" w:hAnsi="宋体" w:cs="宋体"/>
          <w:bCs/>
          <w:sz w:val="24"/>
          <w:u w:val="single" w:color="000000"/>
        </w:rPr>
        <w:t>　　</w:t>
      </w:r>
      <w:r>
        <w:rPr>
          <w:rStyle w:val="10"/>
          <w:rFonts w:hint="eastAsia" w:ascii="宋体" w:hAnsi="宋体" w:cs="宋体"/>
          <w:bCs/>
          <w:sz w:val="24"/>
        </w:rPr>
        <w:t>平方米；施工范围</w:t>
      </w:r>
      <w:r>
        <w:rPr>
          <w:rStyle w:val="10"/>
          <w:rFonts w:hint="eastAsia" w:ascii="宋体" w:hAnsi="宋体" w:cs="宋体"/>
          <w:bCs/>
          <w:sz w:val="24"/>
          <w:u w:val="single" w:color="000000"/>
        </w:rPr>
        <w:t>　　　　　　　　</w:t>
      </w:r>
      <w:r>
        <w:rPr>
          <w:rStyle w:val="10"/>
          <w:rFonts w:hint="eastAsia" w:ascii="宋体" w:hAnsi="宋体" w:cs="宋体"/>
          <w:sz w:val="24"/>
        </w:rPr>
        <w:t>。</w:t>
      </w:r>
    </w:p>
    <w:p w14:paraId="1DB0BD2A">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 xml:space="preserve">三、绿化养护基本要求 </w:t>
      </w:r>
    </w:p>
    <w:p w14:paraId="3A141FD3">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（一）为确保养护质量，乙方需对成交后的绿地落实专人进行动态养护管理，着工装上岗，全天侯作业。</w:t>
      </w:r>
    </w:p>
    <w:p w14:paraId="05595EEF">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（二）养护过程中，乙方必须采取周密的安全措施，以避免对人身和财产的损害。如因乙方操作不当、养护不当、管理不善而造成人身伤害或财产损失的，由乙方自行承担责任。</w:t>
      </w:r>
    </w:p>
    <w:p w14:paraId="3451EBFF">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（三）因不可抗力（如遇狂风暴雨、大雪等自然灾害引起树木突然倒伏，碰线、碰屋、非养护原因造成的树枝伤人伤物），乙方在接到甲方通知后应迅速组织力量，</w:t>
      </w:r>
      <w:r>
        <w:rPr>
          <w:rStyle w:val="10"/>
          <w:rFonts w:hint="eastAsia" w:ascii="宋体" w:hAnsi="宋体" w:cs="宋体"/>
          <w:bCs/>
          <w:sz w:val="24"/>
          <w:lang w:val="en-US" w:eastAsia="zh-CN"/>
        </w:rPr>
        <w:t>1</w:t>
      </w:r>
      <w:r>
        <w:rPr>
          <w:rStyle w:val="10"/>
          <w:rFonts w:hint="eastAsia" w:ascii="宋体" w:hAnsi="宋体" w:cs="宋体"/>
          <w:bCs/>
          <w:sz w:val="24"/>
        </w:rPr>
        <w:t>小时内到达现场并及时处理，处理费用由甲方据实另行结算。</w:t>
      </w:r>
    </w:p>
    <w:p w14:paraId="4B9C0053">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（四）对乙方养护期间由于养护工作不能及时完成，且造成较大影响的，甲方有权安排第三方进行养护，所发生的费用从乙方养护费中扣除。</w:t>
      </w:r>
    </w:p>
    <w:p w14:paraId="13CB6075">
      <w:pPr>
        <w:snapToGrid w:val="0"/>
        <w:spacing w:line="440" w:lineRule="exact"/>
        <w:ind w:left="720"/>
        <w:textAlignment w:val="baseline"/>
        <w:rPr>
          <w:rStyle w:val="10"/>
          <w:rFonts w:ascii="宋体" w:hAnsi="宋体" w:cs="宋体"/>
          <w:sz w:val="24"/>
        </w:rPr>
      </w:pPr>
      <w:r>
        <w:rPr>
          <w:rStyle w:val="10"/>
          <w:rFonts w:hint="eastAsia" w:ascii="宋体" w:hAnsi="宋体" w:cs="宋体"/>
          <w:sz w:val="24"/>
        </w:rPr>
        <w:t xml:space="preserve">四、绿化养护标准 </w:t>
      </w:r>
    </w:p>
    <w:p w14:paraId="3C281472">
      <w:pPr>
        <w:ind w:firstLine="720" w:firstLineChars="300"/>
        <w:rPr>
          <w:rFonts w:ascii="宋体" w:hAnsi="宋体"/>
          <w:sz w:val="24"/>
        </w:rPr>
      </w:pPr>
      <w:r>
        <w:rPr>
          <w:rFonts w:hint="eastAsia" w:ascii="宋体" w:hAnsi="宋体"/>
          <w:sz w:val="24"/>
        </w:rPr>
        <w:t>绿化养护期间，乙方应按照《园林绿化养护标准》（CJJ/T287-2018）操作规程合理组织，精心施工，保质保量完成以下任务：</w:t>
      </w:r>
    </w:p>
    <w:p w14:paraId="3FA43949">
      <w:pPr>
        <w:snapToGrid w:val="0"/>
        <w:spacing w:line="440" w:lineRule="exact"/>
        <w:ind w:firstLine="527" w:firstLineChars="250"/>
        <w:jc w:val="left"/>
        <w:textAlignment w:val="baseline"/>
        <w:rPr>
          <w:rStyle w:val="10"/>
          <w:rFonts w:ascii="宋体" w:hAnsi="宋体" w:cs="宋体"/>
          <w:bCs/>
        </w:rPr>
      </w:pPr>
      <w:r>
        <w:rPr>
          <w:rStyle w:val="10"/>
          <w:rFonts w:hint="eastAsia" w:ascii="宋体" w:hAnsi="宋体" w:cs="宋体"/>
          <w:b/>
          <w:bCs/>
        </w:rPr>
        <w:t>（一）乔木修剪：</w:t>
      </w:r>
      <w:r>
        <w:rPr>
          <w:rStyle w:val="10"/>
          <w:rFonts w:hint="eastAsia" w:ascii="宋体" w:hAnsi="宋体" w:cs="宋体"/>
          <w:bCs/>
        </w:rPr>
        <w:t>根据紫薇和高杆石楠的生长特点、立地环境、景观要求，按照操作规程适时进行。紫薇和高杆石楠每年秋季至少修剪1次，通过修剪使树木做到遮荫大，上不撞线，下不碍车，侧不碰窗；疏剪过密枝、重叠枝、徒长枝、内膛枯枝、病虫枝。重剪主侧枝、延长枝，压缩老枝及扰乱树形的枝条，使树木生长旺盛，保持树形整齐美观，骨架均匀，树干基本挺直，使春季萌芽分枝多，开花早。</w:t>
      </w:r>
    </w:p>
    <w:p w14:paraId="71AD94B5">
      <w:pPr>
        <w:snapToGrid w:val="0"/>
        <w:spacing w:line="440" w:lineRule="exact"/>
        <w:ind w:firstLine="527" w:firstLineChars="250"/>
        <w:jc w:val="left"/>
        <w:textAlignment w:val="baseline"/>
        <w:rPr>
          <w:rStyle w:val="10"/>
          <w:rFonts w:ascii="宋体" w:hAnsi="宋体" w:cs="宋体"/>
          <w:bCs/>
        </w:rPr>
      </w:pPr>
      <w:r>
        <w:rPr>
          <w:rStyle w:val="10"/>
          <w:rFonts w:hint="eastAsia" w:ascii="宋体" w:hAnsi="宋体" w:cs="宋体"/>
          <w:b/>
          <w:bCs/>
        </w:rPr>
        <w:t>（二）乔木涂白：</w:t>
      </w:r>
      <w:r>
        <w:rPr>
          <w:rStyle w:val="10"/>
          <w:rFonts w:hint="eastAsia" w:ascii="宋体" w:hAnsi="宋体" w:cs="宋体"/>
          <w:bCs/>
        </w:rPr>
        <w:t>树木涂白要均匀严密，龙其是树木缝隙、洞孔等重复涂刷，边界要整齐，涂白均匀，上口平齐，以不流、干后不翘、不脱落为准。</w:t>
      </w:r>
    </w:p>
    <w:p w14:paraId="5D916B83">
      <w:pPr>
        <w:snapToGrid w:val="0"/>
        <w:spacing w:line="440" w:lineRule="exact"/>
        <w:ind w:firstLine="482" w:firstLineChars="200"/>
        <w:jc w:val="left"/>
        <w:textAlignment w:val="baseline"/>
        <w:rPr>
          <w:rStyle w:val="10"/>
          <w:rFonts w:ascii="宋体" w:hAnsi="宋体" w:cs="宋体"/>
          <w:bCs/>
          <w:sz w:val="24"/>
        </w:rPr>
      </w:pPr>
      <w:r>
        <w:rPr>
          <w:rStyle w:val="10"/>
          <w:rFonts w:hint="eastAsia" w:ascii="宋体" w:hAnsi="宋体" w:cs="宋体"/>
          <w:b/>
          <w:bCs/>
          <w:sz w:val="24"/>
        </w:rPr>
        <w:t>（三）松土除草：</w:t>
      </w:r>
      <w:r>
        <w:rPr>
          <w:rStyle w:val="10"/>
          <w:rFonts w:hint="eastAsia" w:ascii="宋体" w:hAnsi="宋体" w:cs="宋体"/>
          <w:bCs/>
          <w:sz w:val="24"/>
        </w:rPr>
        <w:t>各类绿地、绿化带要结合松土及时清理各类杂草，确保无明显杂草。中耕锄草、松土保墒深度在5cm以内，保持土壤疏松，严防过深引起断根，影响花灌木及绿篱正常生长，中耕松土保墒后，及时用钉耙平整土地，清除杂草、落叶、砖石、垃圾等。草坪内树穴与绿篱及时切边，草坪与树木、绿篱、草花要有分隔沟。</w:t>
      </w:r>
    </w:p>
    <w:p w14:paraId="63A5893C">
      <w:pPr>
        <w:snapToGrid w:val="0"/>
        <w:spacing w:line="440" w:lineRule="exact"/>
        <w:ind w:firstLine="361" w:firstLineChars="150"/>
        <w:jc w:val="left"/>
        <w:textAlignment w:val="baseline"/>
        <w:rPr>
          <w:rStyle w:val="10"/>
          <w:rFonts w:ascii="宋体" w:hAnsi="宋体" w:cs="宋体"/>
          <w:bCs/>
          <w:sz w:val="24"/>
        </w:rPr>
      </w:pPr>
      <w:r>
        <w:rPr>
          <w:rStyle w:val="10"/>
          <w:rFonts w:hint="eastAsia" w:ascii="宋体" w:hAnsi="宋体" w:cs="宋体"/>
          <w:b/>
          <w:bCs/>
          <w:sz w:val="24"/>
        </w:rPr>
        <w:t>（四）灌木、绿篱、竹类、球形植物、地被植物和草坪整形修剪：</w:t>
      </w:r>
      <w:r>
        <w:rPr>
          <w:rStyle w:val="10"/>
          <w:rFonts w:hint="eastAsia" w:ascii="宋体" w:hAnsi="宋体" w:cs="宋体"/>
          <w:bCs/>
          <w:sz w:val="24"/>
        </w:rPr>
        <w:t>修剪及时规范，要求整齐美观，曲线润畅，轮廓明显，不脱脚，不缺损，三面整齐平整，球类修剪圆整，通风透光良好。生长季每月至少修剪1次，新梢高度控制在20公分以内，修剪时一并清除病、死、枯、残枝。修剪绿篱要拉线，要及时精细修剪。草坪要适时进行修剪并打孔疏草，保持一定高度，修剪面平整，边角无遗留，草屑及时扫尽运出。特殊植物造型按具体要求进行修剪，宜勤不宜懒，宜细不宜粗，宜轻不宜重。</w:t>
      </w:r>
    </w:p>
    <w:p w14:paraId="0CE10014">
      <w:pPr>
        <w:spacing w:line="500" w:lineRule="exact"/>
        <w:ind w:firstLine="472" w:firstLineChars="196"/>
        <w:rPr>
          <w:rFonts w:ascii="宋体" w:hAnsi="宋体" w:cs="宋体"/>
          <w:bCs/>
          <w:sz w:val="24"/>
        </w:rPr>
      </w:pPr>
      <w:r>
        <w:rPr>
          <w:rFonts w:hint="eastAsia" w:ascii="宋体" w:hAnsi="宋体" w:cs="宋体"/>
          <w:b/>
          <w:bCs/>
          <w:sz w:val="24"/>
        </w:rPr>
        <w:t>（五）浇水灌溉：</w:t>
      </w:r>
      <w:r>
        <w:rPr>
          <w:rFonts w:hint="eastAsia" w:ascii="宋体" w:hAnsi="宋体" w:cs="宋体"/>
          <w:bCs/>
          <w:sz w:val="24"/>
        </w:rPr>
        <w:t>自然灾害前积极预防，旱季要及时进行灌溉，防止植物因脱水而造成枯死。在干旱少雨季节不定期冲洗浇灌，冲洗树叶覆盖泥垢，疏通树叶气孔，促进植物进行气体交换和水分蒸腾。减轻城区地面扬尘、尾气等原因对苗木生长的影响，提升城市园林绿化</w:t>
      </w:r>
      <w:r>
        <w:fldChar w:fldCharType="begin"/>
      </w:r>
      <w:r>
        <w:instrText xml:space="preserve"> HYPERLINK "http://www.yuanlin.com/B2B/Sell/Detail/113257.shtml" </w:instrText>
      </w:r>
      <w:r>
        <w:fldChar w:fldCharType="separate"/>
      </w:r>
      <w:r>
        <w:rPr>
          <w:rFonts w:hint="eastAsia"/>
          <w:sz w:val="24"/>
        </w:rPr>
        <w:t>景观</w:t>
      </w:r>
      <w:r>
        <w:rPr>
          <w:rFonts w:hint="eastAsia"/>
          <w:sz w:val="24"/>
        </w:rPr>
        <w:fldChar w:fldCharType="end"/>
      </w:r>
      <w:r>
        <w:rPr>
          <w:rFonts w:hint="eastAsia" w:ascii="宋体" w:hAnsi="宋体" w:cs="宋体"/>
          <w:bCs/>
          <w:sz w:val="24"/>
        </w:rPr>
        <w:t>效果，改善城市绿化环境及植物生长环境。视天气和甲方要求，及时冲洗灌溉绿化苗木。</w:t>
      </w:r>
    </w:p>
    <w:p w14:paraId="374E1273">
      <w:pPr>
        <w:spacing w:line="360" w:lineRule="auto"/>
        <w:ind w:firstLine="482" w:firstLineChars="200"/>
        <w:rPr>
          <w:sz w:val="24"/>
        </w:rPr>
      </w:pPr>
      <w:r>
        <w:rPr>
          <w:rFonts w:hint="eastAsia"/>
          <w:b/>
          <w:sz w:val="24"/>
        </w:rPr>
        <w:t>（六）零星维护：</w:t>
      </w:r>
      <w:r>
        <w:rPr>
          <w:rFonts w:hint="eastAsia"/>
          <w:sz w:val="24"/>
        </w:rPr>
        <w:t>乙方根据甲方工作要求，完成行道树修剪、病虫害及有害生物防治、抗旱排涝、防寒防冻、死亡或损毁苗木补植、园林小品维护、立体绿化养护、经甲方批准需要移植苗木的移栽、补栽苗木用工及养护并确保成活、施肥用工、花境养护、滴灌及喷雾设备的运行维护维修、园林垃圾收集并运送至甲方指定地点、绿地内基础设施维护管理及迎检环境整治等；管护范围内古树名木的保护、市民热线工单处理、自然灾害及应急突发情况的紧急处置和其他临时性、阶段性交办任务；各类检查、突击整治、城市创先争优等重大活动。</w:t>
      </w:r>
    </w:p>
    <w:p w14:paraId="794C842C">
      <w:pPr>
        <w:spacing w:line="500" w:lineRule="exact"/>
        <w:ind w:firstLine="472" w:firstLineChars="196"/>
        <w:rPr>
          <w:rFonts w:ascii="宋体" w:hAnsi="宋体" w:cs="宋体"/>
          <w:bCs/>
          <w:sz w:val="24"/>
        </w:rPr>
      </w:pPr>
      <w:r>
        <w:rPr>
          <w:rFonts w:hint="eastAsia" w:ascii="宋体" w:hAnsi="宋体" w:cs="宋体"/>
          <w:b/>
          <w:bCs/>
          <w:sz w:val="24"/>
        </w:rPr>
        <w:t>（七）更换草花：</w:t>
      </w:r>
      <w:r>
        <w:rPr>
          <w:rFonts w:hint="eastAsia" w:ascii="宋体" w:hAnsi="宋体" w:cs="宋体"/>
          <w:bCs/>
          <w:sz w:val="24"/>
        </w:rPr>
        <w:t>乙方根据甲方要求，提前做好栽植前的准备工作，对城区花钵、花墙、花箱和花坛的种植土进行清理残花和杂物、除草、松土、施肥、消毒、翻晒等工作，并提供花色艳丽、无损坏、无枯叶、无焦边的容器苗草花运输到现场进行栽植。后期浇水工作由甲方负责，乙方只需将草花栽植到位。</w:t>
      </w:r>
    </w:p>
    <w:p w14:paraId="00C512D0">
      <w:pPr>
        <w:snapToGrid w:val="0"/>
        <w:spacing w:line="440" w:lineRule="exact"/>
        <w:ind w:firstLine="482" w:firstLineChars="200"/>
        <w:textAlignment w:val="baseline"/>
        <w:rPr>
          <w:rStyle w:val="10"/>
          <w:rFonts w:ascii="宋体" w:hAnsi="宋体" w:cs="宋体"/>
          <w:bCs/>
          <w:sz w:val="24"/>
        </w:rPr>
      </w:pPr>
      <w:r>
        <w:rPr>
          <w:rStyle w:val="10"/>
          <w:rFonts w:hint="eastAsia" w:ascii="宋体" w:hAnsi="宋体" w:cs="宋体"/>
          <w:b/>
          <w:bCs/>
          <w:sz w:val="24"/>
        </w:rPr>
        <w:t>（八）其它要求：</w:t>
      </w:r>
      <w:r>
        <w:rPr>
          <w:rStyle w:val="10"/>
          <w:rFonts w:hint="eastAsia" w:ascii="宋体" w:hAnsi="宋体" w:cs="宋体"/>
          <w:bCs/>
          <w:sz w:val="24"/>
        </w:rPr>
        <w:t>管护组织制度健全，工作有台帐，记录齐全，内容真实并及时上报甲方。着装统一、仪容整洁上岗，严格按安全生产操作规程组织作业，养护管理规范，遵守各项管理制度。按要求准时参加各类会议、活动及业务培训。及时完成重要活动、参观接待、环境整治、应急抢险等临时性突击工作。养护管理负责人到位，通讯畅通，承包绿化养护工程无转包现象；发现破坏绿化现象能及时制止上报。无上级领导及相关部门、市民、游客反映管护存在问题。</w:t>
      </w:r>
    </w:p>
    <w:p w14:paraId="1096BB82">
      <w:pPr>
        <w:snapToGrid w:val="0"/>
        <w:spacing w:line="440" w:lineRule="exact"/>
        <w:textAlignment w:val="baseline"/>
        <w:rPr>
          <w:rStyle w:val="10"/>
          <w:rFonts w:ascii="宋体" w:hAnsi="宋体" w:cs="宋体"/>
          <w:sz w:val="24"/>
        </w:rPr>
      </w:pPr>
      <w:r>
        <w:rPr>
          <w:rStyle w:val="10"/>
          <w:rFonts w:hint="eastAsia" w:ascii="宋体" w:hAnsi="宋体" w:cs="宋体"/>
          <w:sz w:val="24"/>
        </w:rPr>
        <w:tab/>
      </w:r>
      <w:r>
        <w:rPr>
          <w:rStyle w:val="10"/>
          <w:rFonts w:hint="eastAsia" w:ascii="宋体" w:hAnsi="宋体" w:cs="宋体"/>
          <w:sz w:val="24"/>
        </w:rPr>
        <w:t xml:space="preserve">  五、绿化养护费结算及付款方式</w:t>
      </w:r>
    </w:p>
    <w:p w14:paraId="0E6AEE9A">
      <w:pPr>
        <w:snapToGrid w:val="0"/>
        <w:spacing w:line="440" w:lineRule="exact"/>
        <w:ind w:firstLine="472" w:firstLineChars="196"/>
        <w:textAlignment w:val="baseline"/>
        <w:rPr>
          <w:rStyle w:val="10"/>
          <w:rFonts w:ascii="宋体" w:hAnsi="宋体" w:cs="宋体"/>
          <w:b/>
          <w:sz w:val="24"/>
        </w:rPr>
      </w:pPr>
      <w:r>
        <w:rPr>
          <w:rStyle w:val="10"/>
          <w:rFonts w:hint="eastAsia" w:ascii="宋体" w:hAnsi="宋体" w:cs="宋体"/>
          <w:b/>
          <w:sz w:val="24"/>
        </w:rPr>
        <w:t>(一)费用计算方法</w:t>
      </w:r>
    </w:p>
    <w:p w14:paraId="1DAB19B9">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1、合同价格按成交价格执行，合同总金额为</w:t>
      </w:r>
      <w:r>
        <w:rPr>
          <w:rStyle w:val="10"/>
          <w:rFonts w:hint="eastAsia" w:ascii="宋体" w:hAnsi="宋体" w:cs="宋体"/>
          <w:bCs/>
          <w:sz w:val="24"/>
          <w:u w:val="single" w:color="000000"/>
        </w:rPr>
        <w:t>　　</w:t>
      </w:r>
      <w:r>
        <w:rPr>
          <w:rStyle w:val="10"/>
          <w:rFonts w:hint="eastAsia" w:ascii="宋体" w:hAnsi="宋体" w:cs="宋体"/>
          <w:bCs/>
          <w:sz w:val="24"/>
        </w:rPr>
        <w:t>。投标总价包括完成本项工作所需的人工、材料、机械、管理、维护、保险、利润、</w:t>
      </w:r>
      <w:r>
        <w:rPr>
          <w:rStyle w:val="10"/>
          <w:rFonts w:hint="eastAsia" w:ascii="宋体" w:hAnsi="宋体" w:cs="宋体"/>
          <w:bCs/>
          <w:color w:val="000000"/>
          <w:sz w:val="24"/>
        </w:rPr>
        <w:t>税金、政策性文件规定及合同包含的所有风险、责任等各项应有费用，即为按量计价一次性包干。同时</w:t>
      </w:r>
      <w:r>
        <w:rPr>
          <w:rStyle w:val="10"/>
          <w:rFonts w:hint="eastAsia" w:ascii="宋体" w:hAnsi="宋体" w:cs="宋体"/>
          <w:bCs/>
          <w:sz w:val="24"/>
        </w:rPr>
        <w:t>，除非合同条款中另有规定；否则，乙方所报价格在合同实施期间不因市场变化因素而变动。</w:t>
      </w:r>
    </w:p>
    <w:p w14:paraId="7F34D893">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2、</w:t>
      </w:r>
      <w:r>
        <w:rPr>
          <w:rStyle w:val="10"/>
          <w:rFonts w:hint="eastAsia" w:ascii="宋体" w:hAnsi="宋体" w:cs="宋体"/>
          <w:bCs/>
          <w:sz w:val="24"/>
        </w:rPr>
        <w:t>按照园林绿化工程量清单计价方法进行计价核算，每个分项工程完工并经过甲乙双方验收合格后，双方签证确认工程量和工程造价，并以此作为拨付绿化养护费的依据据实核算</w:t>
      </w:r>
      <w:r>
        <w:rPr>
          <w:rStyle w:val="10"/>
          <w:rFonts w:hint="eastAsia" w:ascii="宋体" w:hAnsi="宋体" w:cs="宋体"/>
          <w:sz w:val="24"/>
        </w:rPr>
        <w:t>。</w:t>
      </w:r>
    </w:p>
    <w:p w14:paraId="75F437E4">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3、</w:t>
      </w:r>
      <w:r>
        <w:rPr>
          <w:rStyle w:val="10"/>
          <w:rFonts w:hint="eastAsia" w:ascii="宋体" w:hAnsi="宋体" w:cs="宋体"/>
          <w:bCs/>
          <w:sz w:val="24"/>
        </w:rPr>
        <w:t>合同签订时因实际绿化养护面积与采购文件中所述面积有差异，以实际养护面积为准，且不再因此调整合同金额。</w:t>
      </w:r>
    </w:p>
    <w:p w14:paraId="6B8A4607">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4、在合同履行过程中，若绿化养护面积出现重大变化时，以原分项工程综合单价和实际增减面积据实调整养护工程款金额。</w:t>
      </w:r>
    </w:p>
    <w:p w14:paraId="369E6E59">
      <w:pPr>
        <w:snapToGrid w:val="0"/>
        <w:spacing w:line="440" w:lineRule="exact"/>
        <w:textAlignment w:val="baseline"/>
        <w:rPr>
          <w:rStyle w:val="10"/>
          <w:rFonts w:ascii="宋体" w:hAnsi="宋体" w:cs="宋体"/>
          <w:sz w:val="24"/>
        </w:rPr>
      </w:pPr>
      <w:r>
        <w:rPr>
          <w:rStyle w:val="10"/>
          <w:rFonts w:hint="eastAsia" w:ascii="宋体" w:hAnsi="宋体" w:cs="宋体"/>
          <w:sz w:val="24"/>
        </w:rPr>
        <w:t>　  5、更新、改造绿地，非乙方责任补栽、移栽苗木，逢重大节假日或活动，乙方根据甲方要求合理布置花坛、园林小品等费用由甲方按实际工程量另行支付工程款。</w:t>
      </w:r>
    </w:p>
    <w:p w14:paraId="2B1BFC8E">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6、</w:t>
      </w:r>
      <w:r>
        <w:rPr>
          <w:rStyle w:val="10"/>
          <w:rFonts w:hint="eastAsia" w:ascii="宋体" w:hAnsi="宋体" w:cs="宋体"/>
          <w:bCs/>
          <w:sz w:val="24"/>
        </w:rPr>
        <w:t xml:space="preserve">根据国家现行税法对甲方征收的与本合同有关的税费均由甲方承担；根据国家现行税法对乙方征收的与本合同有关的一切税费均由乙方承担。 </w:t>
      </w:r>
    </w:p>
    <w:p w14:paraId="756E9EC6">
      <w:pPr>
        <w:snapToGrid w:val="0"/>
        <w:spacing w:line="440" w:lineRule="exact"/>
        <w:ind w:firstLine="361" w:firstLineChars="150"/>
        <w:textAlignment w:val="baseline"/>
        <w:rPr>
          <w:rStyle w:val="10"/>
          <w:rFonts w:ascii="宋体" w:hAnsi="宋体" w:cs="宋体"/>
          <w:b/>
          <w:sz w:val="24"/>
        </w:rPr>
      </w:pPr>
      <w:r>
        <w:rPr>
          <w:rStyle w:val="10"/>
          <w:rFonts w:hint="eastAsia" w:ascii="宋体" w:hAnsi="宋体" w:cs="宋体"/>
          <w:b/>
          <w:sz w:val="24"/>
        </w:rPr>
        <w:t>（二）付款方式</w:t>
      </w:r>
    </w:p>
    <w:p w14:paraId="1C9AF9B0">
      <w:pPr>
        <w:pStyle w:val="15"/>
        <w:ind w:firstLine="480" w:firstLineChars="200"/>
        <w:jc w:val="both"/>
        <w:rPr>
          <w:rFonts w:hint="default" w:ascii="宋体" w:hAnsi="宋体" w:eastAsia="宋体"/>
          <w:sz w:val="24"/>
          <w:szCs w:val="24"/>
        </w:rPr>
      </w:pPr>
      <w:r>
        <w:rPr>
          <w:rStyle w:val="10"/>
          <w:rFonts w:ascii="宋体" w:hAnsi="宋体" w:eastAsia="宋体" w:cs="宋体"/>
          <w:sz w:val="24"/>
          <w:szCs w:val="24"/>
        </w:rPr>
        <w:t>1、绿化养护费按进度结算：</w:t>
      </w:r>
      <w:r>
        <w:rPr>
          <w:rFonts w:ascii="宋体" w:hAnsi="宋体" w:eastAsia="宋体" w:cs="仿宋_GB2312"/>
          <w:sz w:val="24"/>
          <w:szCs w:val="24"/>
        </w:rPr>
        <w:t>绿化养护履约满6个月，结算一次，达到付款条件起30个工作日内，支付合同总金额的30.0%；绿化养护履约满12个月，结算一次，达到付款条件起30个工作日内，支付合同总金额的30.0%；履约结束，经核算整个合同期实际发生工程量的总造价－前两次已支付的合同价款－整个合同期违约罚金，达到付款条件起30个工作日内，支付合同总金额的40.0%。</w:t>
      </w:r>
    </w:p>
    <w:p w14:paraId="431678E0">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2、施工作业区域内的绿化更新、改造，非乙方责任补栽、移栽苗木，以及布置节日花坛、设置园林小品等甲方要求新增项目费用，在竣工验收合格后按合同约定条款支付工程款。</w:t>
      </w:r>
    </w:p>
    <w:p w14:paraId="303CA333">
      <w:pPr>
        <w:snapToGrid w:val="0"/>
        <w:spacing w:line="440" w:lineRule="exact"/>
        <w:textAlignment w:val="baseline"/>
        <w:rPr>
          <w:rStyle w:val="10"/>
          <w:rFonts w:ascii="宋体" w:hAnsi="宋体" w:cs="宋体"/>
          <w:sz w:val="24"/>
        </w:rPr>
      </w:pPr>
      <w:r>
        <w:rPr>
          <w:rStyle w:val="10"/>
          <w:rFonts w:hint="eastAsia" w:ascii="宋体" w:hAnsi="宋体" w:cs="宋体"/>
          <w:sz w:val="24"/>
        </w:rPr>
        <w:t xml:space="preserve">    六、甲乙双方</w:t>
      </w:r>
      <w:r>
        <w:rPr>
          <w:rStyle w:val="10"/>
          <w:rFonts w:hint="eastAsia" w:ascii="宋体" w:hAnsi="宋体" w:cs="宋体"/>
          <w:bCs/>
          <w:sz w:val="24"/>
        </w:rPr>
        <w:t>的权利和义务</w:t>
      </w:r>
    </w:p>
    <w:p w14:paraId="64D71048">
      <w:pPr>
        <w:snapToGrid w:val="0"/>
        <w:spacing w:line="440" w:lineRule="exact"/>
        <w:ind w:firstLine="361" w:firstLineChars="150"/>
        <w:textAlignment w:val="baseline"/>
        <w:rPr>
          <w:rStyle w:val="10"/>
          <w:rFonts w:ascii="宋体" w:hAnsi="宋体" w:cs="宋体"/>
          <w:b/>
          <w:sz w:val="24"/>
        </w:rPr>
      </w:pPr>
      <w:r>
        <w:rPr>
          <w:rStyle w:val="10"/>
          <w:rFonts w:hint="eastAsia" w:ascii="宋体" w:hAnsi="宋体" w:cs="宋体"/>
          <w:b/>
          <w:sz w:val="24"/>
        </w:rPr>
        <w:t>（一）</w:t>
      </w:r>
      <w:r>
        <w:rPr>
          <w:rStyle w:val="10"/>
          <w:rFonts w:hint="eastAsia" w:ascii="宋体" w:hAnsi="宋体" w:cs="宋体"/>
          <w:b/>
          <w:bCs/>
          <w:sz w:val="24"/>
        </w:rPr>
        <w:t>甲方的权利和义务</w:t>
      </w:r>
    </w:p>
    <w:p w14:paraId="754B3A2F">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1、根据甲方绿化养护要求及乙方投标文件中的承诺，对乙方提供的服务及履行本合同情况实行验收考核。</w:t>
      </w:r>
      <w:r>
        <w:rPr>
          <w:rStyle w:val="10"/>
          <w:rFonts w:hint="eastAsia" w:ascii="宋体" w:hAnsi="宋体" w:cs="宋体"/>
          <w:sz w:val="24"/>
        </w:rPr>
        <w:t>每月不定期采取普查与随机抽查相结合的办法，对乙方施工质量进行监督、指导、检查、验收。发现问题及时通知乙方，要求乙方及时进行处理，对乙方提出的合理建议和要求予以采纳或提供帮助。</w:t>
      </w:r>
    </w:p>
    <w:p w14:paraId="39C282C1">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bCs/>
          <w:sz w:val="24"/>
        </w:rPr>
        <w:t>2、因突发事件及重大活动，甲方需调动乙方人员、设备时，乙方应服从安排予以配合，但因此发生的费用由甲方承担。</w:t>
      </w:r>
      <w:r>
        <w:rPr>
          <w:rStyle w:val="10"/>
          <w:rFonts w:hint="eastAsia" w:ascii="宋体" w:hAnsi="宋体" w:cs="宋体"/>
          <w:sz w:val="24"/>
        </w:rPr>
        <w:t>如遇绿化特殊工作需求时（如各种重大接待、参观、检查等），需提前通知乙方安排人员进行修剪、除草等绿化养护或恢复工作。</w:t>
      </w:r>
    </w:p>
    <w:p w14:paraId="3855BFAB">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3、甲方有权制定相应管理措施、监督检查标准等，以保证乙方按照合同及其他双方议定的要求进行作业。</w:t>
      </w:r>
    </w:p>
    <w:p w14:paraId="29C6C5B7">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4、甲方安排专人负责从事衔接、协调和检查乙方工作，签证工程量。甲方接到乙方呈报的工作计划和总结后，由专人签署书面回执意见和检查意见。</w:t>
      </w:r>
    </w:p>
    <w:p w14:paraId="1C6BF833">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5、在检查乙方养护工作中如发现有不合格之处，在口头通知整改不力的情况下，应以《绿化养护施工整改通知书》的形式及时书面通知乙方进行整改。</w:t>
      </w:r>
    </w:p>
    <w:p w14:paraId="7A1FA067">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6、每月初，核对乙方上月养护工作完成工程量签证和未按要求完成养护工作的处罚情况，并汇总形成书面意见，甲乙双方代表确认无误后签字盖章各自留存一份，做为最终结算养护费的依据。</w:t>
      </w:r>
    </w:p>
    <w:p w14:paraId="4C8F9ABB">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7、及时为乙方办理结算，按时支付工程款。</w:t>
      </w:r>
    </w:p>
    <w:p w14:paraId="7DE39DCD">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 xml:space="preserve">8、加大园林绿化执法力度，及时依法查处各种破坏绿化的违法行为。 </w:t>
      </w:r>
    </w:p>
    <w:p w14:paraId="18B0F0AE">
      <w:pPr>
        <w:snapToGrid w:val="0"/>
        <w:spacing w:line="440" w:lineRule="exact"/>
        <w:ind w:firstLine="361" w:firstLineChars="150"/>
        <w:textAlignment w:val="baseline"/>
        <w:rPr>
          <w:rStyle w:val="10"/>
          <w:rFonts w:ascii="宋体" w:hAnsi="宋体" w:cs="宋体"/>
          <w:b/>
          <w:sz w:val="24"/>
        </w:rPr>
      </w:pPr>
      <w:r>
        <w:rPr>
          <w:rStyle w:val="10"/>
          <w:rFonts w:hint="eastAsia" w:ascii="宋体" w:hAnsi="宋体" w:cs="宋体"/>
          <w:b/>
          <w:sz w:val="24"/>
        </w:rPr>
        <w:t>（二）</w:t>
      </w:r>
      <w:r>
        <w:rPr>
          <w:rStyle w:val="10"/>
          <w:rFonts w:hint="eastAsia" w:ascii="宋体" w:hAnsi="宋体" w:cs="宋体"/>
          <w:b/>
          <w:bCs/>
          <w:sz w:val="24"/>
        </w:rPr>
        <w:t>乙方的权利和义务</w:t>
      </w:r>
    </w:p>
    <w:p w14:paraId="254787A9">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bCs/>
          <w:sz w:val="24"/>
        </w:rPr>
        <w:t>1、乙方根据绿地养护技术规范、绿化养护质量标准和有关要求</w:t>
      </w:r>
      <w:r>
        <w:rPr>
          <w:rStyle w:val="10"/>
          <w:rFonts w:hint="eastAsia" w:ascii="宋体" w:hAnsi="宋体" w:cs="宋体"/>
          <w:sz w:val="24"/>
        </w:rPr>
        <w:t>做好绿化养护工作，乙方必须配备至少1辆绿化垃圾清运车和绿篱修剪机、割灌机、草坪修剪机等辅助设备。按绿地养护管理标准和甲方的要求开展清运垃圾和修剪苗木等工作</w:t>
      </w:r>
      <w:r>
        <w:rPr>
          <w:rStyle w:val="10"/>
          <w:rFonts w:hint="eastAsia" w:ascii="宋体" w:hAnsi="宋体" w:cs="宋体"/>
          <w:bCs/>
          <w:sz w:val="24"/>
        </w:rPr>
        <w:t>，积极主动保质保量地完成绿化养护工作。</w:t>
      </w:r>
    </w:p>
    <w:p w14:paraId="150524EF">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sz w:val="24"/>
        </w:rPr>
        <w:t>2、乙方应严格按照本合同约定及其承诺养护管理城区公共绿地；严格教育、培训和管理从事本绿化施工项目的员工。遵守甲方制定的各项规章制度，服从甲方的管理,爱护城区绿化苗木和设施，维护甲方良好形象，</w:t>
      </w:r>
      <w:r>
        <w:rPr>
          <w:rStyle w:val="10"/>
          <w:rFonts w:hint="eastAsia" w:ascii="宋体" w:hAnsi="宋体" w:cs="宋体"/>
          <w:bCs/>
          <w:sz w:val="24"/>
        </w:rPr>
        <w:t>接受并主动配合甲方及行业管理部门的</w:t>
      </w:r>
      <w:r>
        <w:rPr>
          <w:rStyle w:val="10"/>
          <w:rFonts w:hint="eastAsia" w:ascii="宋体" w:hAnsi="宋体" w:cs="宋体"/>
          <w:sz w:val="24"/>
        </w:rPr>
        <w:t>监督</w:t>
      </w:r>
      <w:r>
        <w:rPr>
          <w:rStyle w:val="10"/>
          <w:rFonts w:hint="eastAsia" w:ascii="宋体" w:hAnsi="宋体" w:cs="宋体"/>
          <w:bCs/>
          <w:sz w:val="24"/>
        </w:rPr>
        <w:t>检查。</w:t>
      </w:r>
    </w:p>
    <w:p w14:paraId="5CC6A4AC">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3、为保证管理到位，乙方应配备绿化养护管理人员全面负责绿化施工工作（至少有1名项目经理），并保证24小时通讯畅通，负责与甲方代表及时进行沟通联络。工作时间，乙方应选择技术娴熟、训练有素、身体健康、吃苦耐劳的绿化养护工人穿着具有醒目标志的工作服装进场作业。</w:t>
      </w:r>
    </w:p>
    <w:p w14:paraId="543E3B84">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4、每月初，乙方以书面形式向甲方上报本月养护管理计划及有关措施，并按计划组织实施。每个分项工程完工后，乙方项目经理应及时联系甲方管理人员进行考核验收，对甲方下发的《绿化养护施工整改通知书》整改要求，乙方应严格按时限进行整改，并积极征询甲方意见，加强沟通，不断提高服务质量。</w:t>
      </w:r>
    </w:p>
    <w:p w14:paraId="45CF12FA">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5、建立绿化养护技术档案。每月底，乙方以书面形式向甲方报送本月养护工作开展情况总结和下月开展养护工作计划,涉及内容包括施工日期、地点、项目名称、用工数量、完成情况、后期计划等供甲方汇总养护情况，安排后期工作。</w:t>
      </w:r>
    </w:p>
    <w:p w14:paraId="44C6663B">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6、乙方在绿化养护作业期间，不得因其他绿化工作的需要等原因，随意将养护人员调离。如因特殊情况需调离现场负责管理人员的，需提前3个工作日告知甲方，并经同意后方可调离。</w:t>
      </w:r>
    </w:p>
    <w:p w14:paraId="452F945A">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7、日常工作中，乙方绿化养护巡查人员若发现绿化苗木和设施被损坏,绿化用地被擅自围圈、硬化、占用时，要及时通知甲方，并有义务阻止。</w:t>
      </w:r>
    </w:p>
    <w:p w14:paraId="6A4AF657">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8、乙方应科学、合理安排进驻甲方绿化养护工作现场人员的工作时间和计划，并负责承担派驻人员的工资、食宿、福利及其他一切费用。因乙方员工发生劳务争议而影响或有可能影响到本合同的履行，乙方应及时作出调整，保证本合同约定的绿化施工质量不变。</w:t>
      </w:r>
    </w:p>
    <w:p w14:paraId="35D64757">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9、文明作业，做到工完场清，及时将绿化垃圾清运至环卫部门指定的地点堆放，不造成二次污染。</w:t>
      </w:r>
    </w:p>
    <w:p w14:paraId="20E152D9">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sz w:val="24"/>
        </w:rPr>
        <w:t>10、</w:t>
      </w:r>
      <w:r>
        <w:rPr>
          <w:rStyle w:val="10"/>
          <w:rFonts w:hint="eastAsia" w:ascii="宋体" w:hAnsi="宋体" w:cs="宋体"/>
          <w:bCs/>
          <w:sz w:val="24"/>
        </w:rPr>
        <w:t>养护范围之外的突击性、突发性工作，乙方必须服从甲方的安排，不得无故拖延。</w:t>
      </w:r>
      <w:r>
        <w:rPr>
          <w:rStyle w:val="10"/>
          <w:rFonts w:hint="eastAsia" w:ascii="宋体" w:hAnsi="宋体" w:cs="宋体"/>
          <w:sz w:val="24"/>
        </w:rPr>
        <w:t>乙方应积极听取甲方对绿化管理工作的意见，认真配合并按要求时限完成甲方派给的上级检查等特殊绿化作业事项。如遇上级检查验收，乙方必须保证修剪、除草等绿化养护措施到位，如因乙方失误或失职未通过相关检查验收，乙方必须承担相关违约责任。</w:t>
      </w:r>
    </w:p>
    <w:p w14:paraId="41C59884">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七、安全责任</w:t>
      </w:r>
    </w:p>
    <w:p w14:paraId="34232496">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乙方必须加强安全生产管理，规范操作程序,采取切实有效措施，确保全年不发生安全责任事故。施工期间，不论任何原因造成的人员、设备安全责任事故，均由乙方承担一切责任及损失，甲方概不负责。</w:t>
      </w:r>
    </w:p>
    <w:p w14:paraId="7188AE28">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八、考核验收</w:t>
      </w:r>
    </w:p>
    <w:p w14:paraId="7C1D09E1">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甲方每月不定期采取普查与随机抽查相结合的办法，对乙方养护质量进行考核验收，考核办法以《园林绿化养护标准》（CJJ/T287-2018）中的三级标准为依据，如发现不符合标准的在甲方下发书面《绿化养护施工整改通知书》规定时限内仍未整改到位的，按照《绿化养护施工整改通知书》中所列具体问题，每处每次处罚金人民币叁佰元整（￥300.00），并从当月养护管理费中扣除。</w:t>
      </w:r>
    </w:p>
    <w:p w14:paraId="6692C778">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乙方因未按照合同施工要求承担养护工作，并被甲方处罚金达到合同总价的5%以上，甲方以书面形式告知乙方终止履行合同，并有权拒绝乙方参加后期甲方组织的各类园林绿化工程项目招投标，乙方在合同期内考核最终确定为不合格。</w:t>
      </w:r>
    </w:p>
    <w:p w14:paraId="080BE26E">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九、违约责任及合同解除</w:t>
      </w:r>
    </w:p>
    <w:p w14:paraId="1515DF18">
      <w:pPr>
        <w:snapToGrid w:val="0"/>
        <w:spacing w:line="440" w:lineRule="exact"/>
        <w:ind w:firstLine="360" w:firstLineChars="150"/>
        <w:textAlignment w:val="baseline"/>
        <w:rPr>
          <w:rStyle w:val="10"/>
          <w:rFonts w:ascii="宋体" w:hAnsi="宋体" w:cs="宋体"/>
          <w:sz w:val="24"/>
        </w:rPr>
      </w:pPr>
      <w:r>
        <w:rPr>
          <w:rStyle w:val="10"/>
          <w:rFonts w:hint="eastAsia" w:ascii="宋体" w:hAnsi="宋体" w:cs="宋体"/>
          <w:sz w:val="24"/>
        </w:rPr>
        <w:t>（一）如遇自然灾害、重大活动等特殊情况需要乙方搞好突击性绿化养护工作的，乙方项目经理在接到甲方工作人员通知后2小时内，立即开展养护工作，确保完成任务。否则，甲方可自行或委托他人搞好相关工作。</w:t>
      </w:r>
    </w:p>
    <w:p w14:paraId="7B3B19DE">
      <w:pPr>
        <w:snapToGrid w:val="0"/>
        <w:spacing w:line="440" w:lineRule="exact"/>
        <w:ind w:firstLine="360" w:firstLineChars="150"/>
        <w:textAlignment w:val="baseline"/>
        <w:rPr>
          <w:rStyle w:val="10"/>
          <w:rFonts w:ascii="宋体" w:hAnsi="宋体" w:cs="宋体"/>
          <w:sz w:val="24"/>
        </w:rPr>
      </w:pPr>
      <w:r>
        <w:rPr>
          <w:rStyle w:val="10"/>
          <w:rFonts w:hint="eastAsia" w:ascii="宋体" w:hAnsi="宋体" w:cs="宋体"/>
          <w:sz w:val="24"/>
        </w:rPr>
        <w:t>（二）乙方未按照合同施工要求承担养护工作，按以下规定进行处罚，罚金从当月绿化养护管理费中扣除：</w:t>
      </w:r>
    </w:p>
    <w:p w14:paraId="5A6B386E">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1、未按照园林绿化养护操作规程要求和时限搞好养护管理工作，造成经济损失和负面影响的，甲方按规定并视其造成损害程度扣除经济损失并处罚金。</w:t>
      </w:r>
    </w:p>
    <w:p w14:paraId="3E7D9C18">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2、修剪、除草等养护工作产生的绿化垃圾要及时打扫干净，运输到指定垃圾堆放点，沿途不得抛洒遗漏，违反1次处罚金人民币叁佰元整（￥300.00）。</w:t>
      </w:r>
    </w:p>
    <w:p w14:paraId="7A50246F">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3、甲方发现养护问题后书面通知乙方，乙方应在接到甲方正式书面通知规定的时限内及时整改，并书面回复整改情况。未在规定时限内回复并无故不完成整改任务的，甲方有权拒绝对该分项工程进行签证确认工程量；情节严重的甲方有权终止合同，乙方工作失误造成的一切损失由乙方自负。</w:t>
      </w:r>
    </w:p>
    <w:p w14:paraId="2D7A9C4D">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４、乙方在作业过程中，如果违反国家法律法规，受到惩戒造成负面影响的，每次处罚金人民币壹仟元整（￥1000.00）。</w:t>
      </w:r>
    </w:p>
    <w:p w14:paraId="7A3E55C4">
      <w:pPr>
        <w:snapToGrid w:val="0"/>
        <w:spacing w:line="440" w:lineRule="exact"/>
        <w:ind w:firstLine="645"/>
        <w:textAlignment w:val="baseline"/>
        <w:rPr>
          <w:rStyle w:val="10"/>
          <w:rFonts w:ascii="宋体" w:hAnsi="宋体" w:cs="宋体"/>
          <w:sz w:val="24"/>
        </w:rPr>
      </w:pPr>
      <w:r>
        <w:rPr>
          <w:rStyle w:val="10"/>
          <w:rFonts w:hint="eastAsia" w:ascii="宋体" w:hAnsi="宋体" w:cs="宋体"/>
          <w:sz w:val="24"/>
        </w:rPr>
        <w:t>十、组成合同的要件</w:t>
      </w:r>
    </w:p>
    <w:p w14:paraId="69F61066">
      <w:pPr>
        <w:snapToGrid w:val="0"/>
        <w:spacing w:line="440" w:lineRule="exact"/>
        <w:textAlignment w:val="baseline"/>
        <w:rPr>
          <w:rStyle w:val="10"/>
          <w:rFonts w:ascii="宋体" w:hAnsi="宋体" w:cs="宋体"/>
          <w:sz w:val="24"/>
        </w:rPr>
      </w:pPr>
      <w:r>
        <w:rPr>
          <w:rStyle w:val="10"/>
          <w:rFonts w:hint="eastAsia" w:ascii="宋体" w:hAnsi="宋体" w:cs="宋体"/>
          <w:sz w:val="24"/>
        </w:rPr>
        <w:t xml:space="preserve">   （一）本合同书；</w:t>
      </w:r>
    </w:p>
    <w:p w14:paraId="3664179D">
      <w:pPr>
        <w:snapToGrid w:val="0"/>
        <w:spacing w:line="440" w:lineRule="exact"/>
        <w:textAlignment w:val="baseline"/>
        <w:rPr>
          <w:rStyle w:val="10"/>
          <w:rFonts w:ascii="宋体" w:hAnsi="宋体" w:cs="宋体"/>
          <w:sz w:val="24"/>
        </w:rPr>
      </w:pPr>
      <w:r>
        <w:rPr>
          <w:rStyle w:val="10"/>
          <w:rFonts w:hint="eastAsia" w:ascii="宋体" w:hAnsi="宋体" w:cs="宋体"/>
          <w:sz w:val="24"/>
        </w:rPr>
        <w:t xml:space="preserve">   （二）《202</w:t>
      </w:r>
      <w:r>
        <w:rPr>
          <w:rStyle w:val="10"/>
          <w:rFonts w:ascii="宋体" w:hAnsi="宋体" w:cs="宋体"/>
          <w:sz w:val="24"/>
        </w:rPr>
        <w:t>6</w:t>
      </w:r>
      <w:r>
        <w:rPr>
          <w:rStyle w:val="10"/>
          <w:rFonts w:hint="eastAsia" w:ascii="宋体" w:hAnsi="宋体" w:cs="宋体"/>
          <w:sz w:val="24"/>
        </w:rPr>
        <w:t>年-202</w:t>
      </w:r>
      <w:r>
        <w:rPr>
          <w:rStyle w:val="10"/>
          <w:rFonts w:ascii="宋体" w:hAnsi="宋体" w:cs="宋体"/>
          <w:sz w:val="24"/>
        </w:rPr>
        <w:t>7</w:t>
      </w:r>
      <w:r>
        <w:rPr>
          <w:rStyle w:val="10"/>
          <w:rFonts w:hint="eastAsia" w:ascii="宋体" w:hAnsi="宋体" w:cs="宋体"/>
          <w:sz w:val="24"/>
        </w:rPr>
        <w:t xml:space="preserve">年度勉县城区公共绿地养护服务（  </w:t>
      </w:r>
      <w:r>
        <w:rPr>
          <w:rStyle w:val="10"/>
          <w:rFonts w:hint="eastAsia" w:ascii="宋体" w:hAnsi="宋体" w:cs="宋体"/>
          <w:color w:val="FF0000"/>
          <w:sz w:val="24"/>
        </w:rPr>
        <w:t xml:space="preserve"> </w:t>
      </w:r>
      <w:r>
        <w:rPr>
          <w:rStyle w:val="10"/>
          <w:rFonts w:hint="eastAsia" w:ascii="宋体" w:hAnsi="宋体" w:cs="宋体"/>
          <w:color w:val="auto"/>
          <w:sz w:val="24"/>
        </w:rPr>
        <w:t>标段</w:t>
      </w:r>
      <w:r>
        <w:rPr>
          <w:rStyle w:val="10"/>
          <w:rFonts w:hint="eastAsia" w:ascii="宋体" w:hAnsi="宋体" w:cs="宋体"/>
          <w:sz w:val="24"/>
        </w:rPr>
        <w:t>）乔木及绿地面积数量清单》；</w:t>
      </w:r>
    </w:p>
    <w:p w14:paraId="39624D65">
      <w:pPr>
        <w:snapToGrid w:val="0"/>
        <w:spacing w:line="440" w:lineRule="exact"/>
        <w:ind w:firstLine="360" w:firstLineChars="150"/>
        <w:textAlignment w:val="baseline"/>
        <w:rPr>
          <w:rStyle w:val="10"/>
          <w:rFonts w:ascii="宋体" w:hAnsi="宋体" w:cs="宋体"/>
          <w:sz w:val="24"/>
        </w:rPr>
      </w:pPr>
      <w:r>
        <w:rPr>
          <w:rStyle w:val="10"/>
          <w:rFonts w:hint="eastAsia" w:ascii="宋体" w:hAnsi="宋体" w:cs="宋体"/>
          <w:sz w:val="24"/>
        </w:rPr>
        <w:t>（三）分项工程报价表；</w:t>
      </w:r>
      <w:bookmarkStart w:id="0" w:name="_GoBack"/>
      <w:bookmarkEnd w:id="0"/>
    </w:p>
    <w:p w14:paraId="3E834AFB">
      <w:pPr>
        <w:snapToGrid w:val="0"/>
        <w:spacing w:line="440" w:lineRule="exact"/>
        <w:ind w:firstLine="360" w:firstLineChars="150"/>
        <w:textAlignment w:val="baseline"/>
        <w:rPr>
          <w:rStyle w:val="10"/>
          <w:rFonts w:ascii="宋体" w:hAnsi="宋体" w:cs="宋体"/>
          <w:sz w:val="24"/>
        </w:rPr>
      </w:pPr>
      <w:r>
        <w:rPr>
          <w:rStyle w:val="10"/>
          <w:rFonts w:hint="eastAsia" w:ascii="宋体" w:hAnsi="宋体" w:cs="宋体"/>
          <w:sz w:val="24"/>
        </w:rPr>
        <w:t>（四）《成交通知书》（复印件）。</w:t>
      </w:r>
    </w:p>
    <w:p w14:paraId="6426F278">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十一、不可抗力</w:t>
      </w:r>
    </w:p>
    <w:p w14:paraId="05C22B1A">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（一）因不可抗力不能履行合同的，根据不可抗力的影响，部分或全部免除责任。但合同一方迟延履行后发生严重后果的，不能免除责任。</w:t>
      </w:r>
    </w:p>
    <w:p w14:paraId="46AF0D71">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（二）合同一方因不可抗力不能履行合同的，应当及时通知对方，以减轻可能给对方造成的损失，并应当在合理期限内提供证明。</w:t>
      </w:r>
    </w:p>
    <w:p w14:paraId="1E64D805">
      <w:pPr>
        <w:snapToGrid w:val="0"/>
        <w:spacing w:line="440" w:lineRule="exact"/>
        <w:ind w:firstLine="600" w:firstLineChars="250"/>
        <w:textAlignment w:val="baseline"/>
        <w:rPr>
          <w:rStyle w:val="10"/>
          <w:rFonts w:ascii="宋体" w:hAnsi="宋体" w:cs="宋体"/>
          <w:bCs/>
          <w:sz w:val="24"/>
        </w:rPr>
      </w:pPr>
      <w:r>
        <w:rPr>
          <w:rStyle w:val="10"/>
          <w:rFonts w:hint="eastAsia" w:ascii="宋体" w:hAnsi="宋体" w:cs="宋体"/>
          <w:bCs/>
          <w:sz w:val="24"/>
        </w:rPr>
        <w:t>十二、合同的解除与转让</w:t>
      </w:r>
    </w:p>
    <w:p w14:paraId="2929CCCB">
      <w:pPr>
        <w:snapToGrid w:val="0"/>
        <w:spacing w:line="440" w:lineRule="exact"/>
        <w:ind w:firstLine="482" w:firstLineChars="200"/>
        <w:textAlignment w:val="baseline"/>
        <w:rPr>
          <w:rStyle w:val="10"/>
          <w:rFonts w:ascii="宋体" w:hAnsi="宋体" w:cs="宋体"/>
          <w:b/>
          <w:bCs/>
          <w:sz w:val="24"/>
        </w:rPr>
      </w:pPr>
      <w:r>
        <w:rPr>
          <w:rStyle w:val="10"/>
          <w:rFonts w:hint="eastAsia" w:ascii="宋体" w:hAnsi="宋体" w:cs="宋体"/>
          <w:b/>
          <w:bCs/>
          <w:sz w:val="24"/>
        </w:rPr>
        <w:t>（一）合同的解除</w:t>
      </w:r>
    </w:p>
    <w:p w14:paraId="052887AF">
      <w:pPr>
        <w:snapToGrid w:val="0"/>
        <w:spacing w:line="440" w:lineRule="exact"/>
        <w:ind w:firstLine="600" w:firstLineChars="250"/>
        <w:textAlignment w:val="baseline"/>
        <w:rPr>
          <w:rStyle w:val="10"/>
          <w:rFonts w:ascii="宋体" w:hAnsi="宋体" w:cs="宋体"/>
          <w:bCs/>
          <w:sz w:val="24"/>
        </w:rPr>
      </w:pPr>
      <w:r>
        <w:rPr>
          <w:rStyle w:val="10"/>
          <w:rFonts w:hint="eastAsia" w:ascii="宋体" w:hAnsi="宋体" w:cs="宋体"/>
          <w:bCs/>
          <w:sz w:val="24"/>
        </w:rPr>
        <w:t>1、甲方和乙方协商一致，可以解除合同，并报政府采购监管部门审查备案。</w:t>
      </w:r>
    </w:p>
    <w:p w14:paraId="4325E07D">
      <w:pPr>
        <w:snapToGrid w:val="0"/>
        <w:spacing w:line="440" w:lineRule="exact"/>
        <w:ind w:firstLine="600" w:firstLineChars="250"/>
        <w:textAlignment w:val="baseline"/>
        <w:rPr>
          <w:rStyle w:val="10"/>
          <w:rFonts w:ascii="宋体" w:hAnsi="宋体" w:cs="宋体"/>
          <w:bCs/>
          <w:sz w:val="24"/>
        </w:rPr>
      </w:pPr>
      <w:r>
        <w:rPr>
          <w:rStyle w:val="10"/>
          <w:rFonts w:hint="eastAsia" w:ascii="宋体" w:hAnsi="宋体" w:cs="宋体"/>
          <w:bCs/>
          <w:sz w:val="24"/>
        </w:rPr>
        <w:t>2、有下列情形之一，合同一方可以解除合同：</w:t>
      </w:r>
    </w:p>
    <w:p w14:paraId="6B997433">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（1）因合同一方违约导致合同不能履行，另一方有权解除合同；</w:t>
      </w:r>
    </w:p>
    <w:p w14:paraId="3DB49F91">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（2）有权解除合同的一方，应当在违约事实或不可抗力发生后三十天内书面通知对方以主张解除合同，合同在书面通知到达对方时解除。</w:t>
      </w:r>
    </w:p>
    <w:p w14:paraId="7881A957">
      <w:pPr>
        <w:snapToGrid w:val="0"/>
        <w:spacing w:line="440" w:lineRule="exact"/>
        <w:ind w:firstLine="480"/>
        <w:textAlignment w:val="baseline"/>
        <w:rPr>
          <w:rStyle w:val="10"/>
          <w:rFonts w:ascii="宋体" w:hAnsi="宋体" w:cs="宋体"/>
          <w:b/>
          <w:bCs/>
          <w:sz w:val="24"/>
        </w:rPr>
      </w:pPr>
      <w:r>
        <w:rPr>
          <w:rStyle w:val="10"/>
          <w:rFonts w:hint="eastAsia" w:ascii="宋体" w:hAnsi="宋体" w:cs="宋体"/>
          <w:b/>
          <w:bCs/>
          <w:sz w:val="24"/>
        </w:rPr>
        <w:t>（二）合同的转让</w:t>
      </w:r>
    </w:p>
    <w:p w14:paraId="3DE603EB">
      <w:pPr>
        <w:snapToGrid w:val="0"/>
        <w:spacing w:line="440" w:lineRule="exact"/>
        <w:ind w:firstLine="480"/>
        <w:textAlignment w:val="baseline"/>
        <w:rPr>
          <w:rStyle w:val="10"/>
          <w:rFonts w:ascii="宋体" w:hAnsi="宋体" w:cs="宋体"/>
          <w:bCs/>
          <w:sz w:val="24"/>
        </w:rPr>
      </w:pPr>
      <w:r>
        <w:rPr>
          <w:rStyle w:val="10"/>
          <w:rFonts w:hint="eastAsia" w:ascii="宋体" w:hAnsi="宋体" w:cs="宋体"/>
          <w:bCs/>
          <w:sz w:val="24"/>
        </w:rPr>
        <w:t>合同的部分和全部都不得转让。</w:t>
      </w:r>
    </w:p>
    <w:p w14:paraId="0706E4AE">
      <w:pPr>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十三、合同的生效与终止</w:t>
      </w:r>
    </w:p>
    <w:p w14:paraId="3083E873">
      <w:pPr>
        <w:tabs>
          <w:tab w:val="left" w:pos="900"/>
        </w:tabs>
        <w:snapToGrid w:val="0"/>
        <w:spacing w:line="440" w:lineRule="exact"/>
        <w:ind w:firstLine="480" w:firstLineChars="200"/>
        <w:textAlignment w:val="baseline"/>
        <w:rPr>
          <w:rStyle w:val="10"/>
          <w:rFonts w:ascii="宋体" w:hAnsi="宋体" w:cs="宋体"/>
          <w:sz w:val="24"/>
        </w:rPr>
      </w:pPr>
      <w:r>
        <w:rPr>
          <w:rStyle w:val="10"/>
          <w:rFonts w:hint="eastAsia" w:ascii="宋体" w:hAnsi="宋体" w:cs="宋体"/>
          <w:sz w:val="24"/>
        </w:rPr>
        <w:t>本合同一式肆份，具有同等法律效力，甲乙双方各执一份，一份报送政府采购监督管理部门备案，一份采购代理机构存档，自甲方、乙方、代理机构三方法人代表签字盖章后生效。竣工决算后，甲方支付完工程款，乙方将工程项目交付甲方后条款终止。</w:t>
      </w:r>
    </w:p>
    <w:p w14:paraId="735F2C40">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十四、争议解决</w:t>
      </w:r>
    </w:p>
    <w:p w14:paraId="5F52B8D7">
      <w:pPr>
        <w:snapToGrid w:val="0"/>
        <w:spacing w:line="440" w:lineRule="exact"/>
        <w:ind w:firstLine="480" w:firstLineChars="200"/>
        <w:textAlignment w:val="baseline"/>
        <w:rPr>
          <w:rStyle w:val="10"/>
          <w:rFonts w:ascii="宋体" w:hAnsi="宋体" w:cs="宋体"/>
          <w:bCs/>
          <w:sz w:val="24"/>
        </w:rPr>
      </w:pPr>
      <w:r>
        <w:rPr>
          <w:rStyle w:val="10"/>
          <w:rFonts w:hint="eastAsia" w:ascii="宋体" w:hAnsi="宋体" w:cs="宋体"/>
          <w:bCs/>
          <w:sz w:val="24"/>
        </w:rPr>
        <w:t>甲乙双方因合同发生争议，签约双方应友好协商解决。协商不成，任何一方可以向甲方所在地人民法院起诉。</w:t>
      </w:r>
    </w:p>
    <w:p w14:paraId="76F9BDB2">
      <w:pPr>
        <w:snapToGrid w:val="0"/>
        <w:spacing w:line="440" w:lineRule="exact"/>
        <w:textAlignment w:val="baseline"/>
        <w:rPr>
          <w:rStyle w:val="10"/>
          <w:rFonts w:ascii="宋体" w:hAnsi="宋体" w:cs="宋体"/>
          <w:sz w:val="24"/>
        </w:rPr>
      </w:pPr>
      <w:r>
        <w:rPr>
          <w:rStyle w:val="10"/>
          <w:rFonts w:hint="eastAsia" w:ascii="宋体" w:hAnsi="宋体" w:cs="宋体"/>
          <w:sz w:val="24"/>
        </w:rPr>
        <w:t xml:space="preserve">    十五、 其他事项</w:t>
      </w:r>
    </w:p>
    <w:p w14:paraId="62F3C663">
      <w:pPr>
        <w:snapToGrid w:val="0"/>
        <w:spacing w:line="440" w:lineRule="exact"/>
        <w:ind w:firstLine="456" w:firstLineChars="200"/>
        <w:textAlignment w:val="baseline"/>
        <w:rPr>
          <w:rStyle w:val="10"/>
          <w:rFonts w:ascii="宋体" w:hAnsi="宋体" w:cs="宋体"/>
          <w:spacing w:val="-6"/>
          <w:sz w:val="24"/>
        </w:rPr>
      </w:pPr>
      <w:r>
        <w:rPr>
          <w:rStyle w:val="10"/>
          <w:rFonts w:hint="eastAsia" w:ascii="宋体" w:hAnsi="宋体" w:cs="宋体"/>
          <w:spacing w:val="-6"/>
          <w:sz w:val="24"/>
        </w:rPr>
        <w:t>（一）除本合同约定的条款外，甲方不再对乙方进行额外取费。</w:t>
      </w:r>
    </w:p>
    <w:p w14:paraId="7D2BBF00">
      <w:pPr>
        <w:snapToGrid w:val="0"/>
        <w:spacing w:line="440" w:lineRule="exact"/>
        <w:ind w:firstLine="456" w:firstLineChars="200"/>
        <w:textAlignment w:val="baseline"/>
        <w:rPr>
          <w:rStyle w:val="10"/>
          <w:rFonts w:ascii="宋体" w:hAnsi="宋体" w:cs="宋体"/>
          <w:spacing w:val="-6"/>
          <w:sz w:val="24"/>
        </w:rPr>
      </w:pPr>
      <w:r>
        <w:rPr>
          <w:rStyle w:val="10"/>
          <w:rFonts w:hint="eastAsia" w:ascii="宋体" w:hAnsi="宋体" w:cs="宋体"/>
          <w:spacing w:val="-6"/>
          <w:sz w:val="24"/>
        </w:rPr>
        <w:t>（二）本合同未尽事宜，经双方协商同意，签订补充协议作为合同附件，与本合同具有同等法律效力。</w:t>
      </w:r>
    </w:p>
    <w:tbl>
      <w:tblPr>
        <w:tblStyle w:val="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13"/>
        <w:gridCol w:w="3212"/>
        <w:gridCol w:w="3213"/>
      </w:tblGrid>
      <w:tr w14:paraId="7E34E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45D89F74">
            <w:pPr>
              <w:spacing w:line="360" w:lineRule="exact"/>
              <w:jc w:val="center"/>
              <w:rPr>
                <w:rFonts w:ascii="宋体" w:hAnsi="宋体" w:cs="宋体"/>
                <w:sz w:val="24"/>
              </w:rPr>
            </w:pPr>
            <w:r>
              <w:rPr>
                <w:rFonts w:hint="eastAsia" w:ascii="宋体" w:hAnsi="宋体" w:cs="宋体"/>
                <w:sz w:val="24"/>
              </w:rPr>
              <w:t>甲  方</w:t>
            </w:r>
          </w:p>
        </w:tc>
        <w:tc>
          <w:tcPr>
            <w:tcW w:w="3212" w:type="dxa"/>
          </w:tcPr>
          <w:p w14:paraId="5ED46499">
            <w:pPr>
              <w:spacing w:line="360" w:lineRule="exact"/>
              <w:jc w:val="center"/>
              <w:rPr>
                <w:rFonts w:ascii="宋体" w:hAnsi="宋体" w:cs="宋体"/>
                <w:sz w:val="24"/>
              </w:rPr>
            </w:pPr>
            <w:r>
              <w:rPr>
                <w:rFonts w:hint="eastAsia" w:ascii="宋体" w:hAnsi="宋体" w:cs="宋体"/>
                <w:sz w:val="24"/>
              </w:rPr>
              <w:t>乙  方</w:t>
            </w:r>
          </w:p>
        </w:tc>
        <w:tc>
          <w:tcPr>
            <w:tcW w:w="3213" w:type="dxa"/>
          </w:tcPr>
          <w:p w14:paraId="1B29351D">
            <w:pPr>
              <w:spacing w:line="360" w:lineRule="exact"/>
              <w:jc w:val="center"/>
              <w:rPr>
                <w:rFonts w:ascii="宋体" w:hAnsi="宋体" w:cs="宋体"/>
                <w:sz w:val="24"/>
              </w:rPr>
            </w:pPr>
            <w:r>
              <w:rPr>
                <w:rFonts w:hint="eastAsia" w:ascii="宋体" w:hAnsi="宋体" w:cs="宋体"/>
                <w:sz w:val="24"/>
              </w:rPr>
              <w:t>确 认 方</w:t>
            </w:r>
          </w:p>
        </w:tc>
      </w:tr>
      <w:tr w14:paraId="1DF39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3213" w:type="dxa"/>
            <w:vAlign w:val="center"/>
          </w:tcPr>
          <w:p w14:paraId="3973AB27">
            <w:pPr>
              <w:spacing w:line="360" w:lineRule="exact"/>
              <w:ind w:firstLine="960" w:firstLineChars="400"/>
              <w:rPr>
                <w:rFonts w:ascii="宋体" w:hAnsi="宋体" w:cs="宋体"/>
                <w:sz w:val="24"/>
              </w:rPr>
            </w:pPr>
            <w:r>
              <w:rPr>
                <w:rFonts w:hint="eastAsia" w:ascii="宋体" w:hAnsi="宋体" w:cs="宋体"/>
                <w:sz w:val="24"/>
              </w:rPr>
              <w:t>（盖章）</w:t>
            </w:r>
          </w:p>
        </w:tc>
        <w:tc>
          <w:tcPr>
            <w:tcW w:w="3212" w:type="dxa"/>
            <w:vAlign w:val="center"/>
          </w:tcPr>
          <w:p w14:paraId="723146DC">
            <w:pPr>
              <w:spacing w:line="360" w:lineRule="exact"/>
              <w:rPr>
                <w:rFonts w:ascii="宋体" w:hAnsi="宋体" w:cs="宋体"/>
                <w:sz w:val="24"/>
              </w:rPr>
            </w:pPr>
            <w:r>
              <w:rPr>
                <w:rFonts w:hint="eastAsia" w:ascii="宋体" w:hAnsi="宋体" w:cs="宋体"/>
                <w:sz w:val="24"/>
              </w:rPr>
              <w:t>中标供应商全称（盖章）</w:t>
            </w:r>
          </w:p>
        </w:tc>
        <w:tc>
          <w:tcPr>
            <w:tcW w:w="3213" w:type="dxa"/>
            <w:vAlign w:val="center"/>
          </w:tcPr>
          <w:p w14:paraId="279B7351">
            <w:pPr>
              <w:spacing w:line="360" w:lineRule="exact"/>
              <w:jc w:val="center"/>
              <w:rPr>
                <w:rFonts w:ascii="宋体" w:hAnsi="宋体" w:cs="宋体"/>
                <w:sz w:val="24"/>
              </w:rPr>
            </w:pPr>
            <w:r>
              <w:rPr>
                <w:rFonts w:hint="eastAsia" w:ascii="宋体" w:hAnsi="宋体" w:cs="宋体"/>
                <w:sz w:val="24"/>
              </w:rPr>
              <w:t>（盖章）</w:t>
            </w:r>
          </w:p>
        </w:tc>
      </w:tr>
      <w:tr w14:paraId="0E704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6FC02372">
            <w:pPr>
              <w:spacing w:line="360" w:lineRule="exact"/>
              <w:rPr>
                <w:rFonts w:ascii="宋体" w:hAnsi="宋体" w:cs="宋体"/>
                <w:sz w:val="24"/>
              </w:rPr>
            </w:pPr>
            <w:r>
              <w:rPr>
                <w:rFonts w:hint="eastAsia" w:ascii="宋体" w:hAnsi="宋体" w:cs="宋体"/>
                <w:sz w:val="24"/>
              </w:rPr>
              <w:t xml:space="preserve">地址： </w:t>
            </w:r>
          </w:p>
        </w:tc>
        <w:tc>
          <w:tcPr>
            <w:tcW w:w="3212" w:type="dxa"/>
          </w:tcPr>
          <w:p w14:paraId="79F41CFD">
            <w:pPr>
              <w:spacing w:line="360" w:lineRule="exact"/>
              <w:rPr>
                <w:rFonts w:ascii="宋体" w:hAnsi="宋体" w:cs="宋体"/>
                <w:sz w:val="24"/>
              </w:rPr>
            </w:pPr>
            <w:r>
              <w:rPr>
                <w:rFonts w:hint="eastAsia" w:ascii="宋体" w:hAnsi="宋体" w:cs="宋体"/>
                <w:sz w:val="24"/>
              </w:rPr>
              <w:t>地址：</w:t>
            </w:r>
          </w:p>
        </w:tc>
        <w:tc>
          <w:tcPr>
            <w:tcW w:w="3213" w:type="dxa"/>
          </w:tcPr>
          <w:p w14:paraId="1489EECA">
            <w:pPr>
              <w:spacing w:line="360" w:lineRule="exact"/>
              <w:rPr>
                <w:rFonts w:ascii="宋体" w:hAnsi="宋体" w:cs="宋体"/>
                <w:sz w:val="24"/>
              </w:rPr>
            </w:pPr>
            <w:r>
              <w:rPr>
                <w:rFonts w:hint="eastAsia" w:ascii="宋体" w:hAnsi="宋体" w:cs="宋体"/>
                <w:sz w:val="24"/>
              </w:rPr>
              <w:t>地址：</w:t>
            </w:r>
          </w:p>
        </w:tc>
      </w:tr>
      <w:tr w14:paraId="13730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2FA0FA3F">
            <w:pPr>
              <w:spacing w:line="360" w:lineRule="exact"/>
              <w:rPr>
                <w:rFonts w:ascii="宋体" w:hAnsi="宋体" w:cs="宋体"/>
                <w:sz w:val="24"/>
              </w:rPr>
            </w:pPr>
            <w:r>
              <w:rPr>
                <w:rFonts w:hint="eastAsia" w:ascii="宋体" w:hAnsi="宋体" w:cs="宋体"/>
                <w:sz w:val="24"/>
              </w:rPr>
              <w:t>邮编：</w:t>
            </w:r>
          </w:p>
        </w:tc>
        <w:tc>
          <w:tcPr>
            <w:tcW w:w="3212" w:type="dxa"/>
          </w:tcPr>
          <w:p w14:paraId="566DE06A">
            <w:pPr>
              <w:spacing w:line="360" w:lineRule="exact"/>
              <w:rPr>
                <w:rFonts w:ascii="宋体" w:hAnsi="宋体" w:cs="宋体"/>
                <w:sz w:val="24"/>
              </w:rPr>
            </w:pPr>
            <w:r>
              <w:rPr>
                <w:rFonts w:hint="eastAsia" w:ascii="宋体" w:hAnsi="宋体" w:cs="宋体"/>
                <w:sz w:val="24"/>
              </w:rPr>
              <w:t>邮编：</w:t>
            </w:r>
          </w:p>
        </w:tc>
        <w:tc>
          <w:tcPr>
            <w:tcW w:w="3213" w:type="dxa"/>
          </w:tcPr>
          <w:p w14:paraId="1C5BC528">
            <w:pPr>
              <w:spacing w:line="360" w:lineRule="exact"/>
              <w:rPr>
                <w:rFonts w:ascii="宋体" w:hAnsi="宋体" w:cs="宋体"/>
                <w:sz w:val="24"/>
              </w:rPr>
            </w:pPr>
            <w:r>
              <w:rPr>
                <w:rFonts w:hint="eastAsia" w:ascii="宋体" w:hAnsi="宋体" w:cs="宋体"/>
                <w:sz w:val="24"/>
              </w:rPr>
              <w:t>邮编：</w:t>
            </w:r>
          </w:p>
        </w:tc>
      </w:tr>
      <w:tr w14:paraId="60A60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67538C48">
            <w:pPr>
              <w:spacing w:line="360" w:lineRule="exact"/>
              <w:rPr>
                <w:rFonts w:ascii="宋体" w:hAnsi="宋体" w:cs="宋体"/>
                <w:sz w:val="24"/>
              </w:rPr>
            </w:pPr>
            <w:r>
              <w:rPr>
                <w:rFonts w:hint="eastAsia" w:ascii="宋体" w:hAnsi="宋体" w:cs="宋体"/>
                <w:sz w:val="24"/>
              </w:rPr>
              <w:t xml:space="preserve">法定代表人： </w:t>
            </w:r>
          </w:p>
        </w:tc>
        <w:tc>
          <w:tcPr>
            <w:tcW w:w="3212" w:type="dxa"/>
          </w:tcPr>
          <w:p w14:paraId="3ADD0F7C">
            <w:pPr>
              <w:spacing w:line="360" w:lineRule="exact"/>
              <w:rPr>
                <w:rFonts w:ascii="宋体" w:hAnsi="宋体" w:cs="宋体"/>
                <w:sz w:val="24"/>
              </w:rPr>
            </w:pPr>
            <w:r>
              <w:rPr>
                <w:rFonts w:hint="eastAsia" w:ascii="宋体" w:hAnsi="宋体" w:cs="宋体"/>
                <w:sz w:val="24"/>
              </w:rPr>
              <w:t>法定代表人：</w:t>
            </w:r>
          </w:p>
        </w:tc>
        <w:tc>
          <w:tcPr>
            <w:tcW w:w="3213" w:type="dxa"/>
          </w:tcPr>
          <w:p w14:paraId="19B23896">
            <w:pPr>
              <w:spacing w:line="360" w:lineRule="exact"/>
              <w:rPr>
                <w:rFonts w:ascii="宋体" w:hAnsi="宋体" w:cs="宋体"/>
                <w:sz w:val="24"/>
              </w:rPr>
            </w:pPr>
            <w:r>
              <w:rPr>
                <w:rFonts w:hint="eastAsia" w:ascii="宋体" w:hAnsi="宋体" w:cs="宋体"/>
                <w:sz w:val="24"/>
              </w:rPr>
              <w:t>法定代表人：</w:t>
            </w:r>
          </w:p>
        </w:tc>
      </w:tr>
      <w:tr w14:paraId="61A38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67D3EB28">
            <w:pPr>
              <w:spacing w:line="360" w:lineRule="exact"/>
              <w:rPr>
                <w:rFonts w:ascii="宋体" w:hAnsi="宋体" w:cs="宋体"/>
                <w:sz w:val="24"/>
              </w:rPr>
            </w:pPr>
            <w:r>
              <w:rPr>
                <w:rFonts w:hint="eastAsia" w:ascii="宋体" w:hAnsi="宋体" w:cs="宋体"/>
                <w:sz w:val="24"/>
              </w:rPr>
              <w:t>被授权代表：（签字）</w:t>
            </w:r>
          </w:p>
        </w:tc>
        <w:tc>
          <w:tcPr>
            <w:tcW w:w="3212" w:type="dxa"/>
          </w:tcPr>
          <w:p w14:paraId="52B26035">
            <w:pPr>
              <w:spacing w:line="360" w:lineRule="exact"/>
              <w:rPr>
                <w:rFonts w:ascii="宋体" w:hAnsi="宋体" w:cs="宋体"/>
                <w:sz w:val="24"/>
              </w:rPr>
            </w:pPr>
            <w:r>
              <w:rPr>
                <w:rFonts w:hint="eastAsia" w:ascii="宋体" w:hAnsi="宋体" w:cs="宋体"/>
                <w:sz w:val="24"/>
              </w:rPr>
              <w:t>被授权代表：（签字）</w:t>
            </w:r>
          </w:p>
        </w:tc>
        <w:tc>
          <w:tcPr>
            <w:tcW w:w="3213" w:type="dxa"/>
          </w:tcPr>
          <w:p w14:paraId="317F169D">
            <w:pPr>
              <w:spacing w:line="360" w:lineRule="exact"/>
              <w:rPr>
                <w:rFonts w:ascii="宋体" w:hAnsi="宋体" w:cs="宋体"/>
                <w:sz w:val="24"/>
              </w:rPr>
            </w:pPr>
            <w:r>
              <w:rPr>
                <w:rFonts w:hint="eastAsia" w:ascii="宋体" w:hAnsi="宋体" w:cs="宋体"/>
                <w:sz w:val="24"/>
              </w:rPr>
              <w:t>承办人：（签字）</w:t>
            </w:r>
          </w:p>
        </w:tc>
      </w:tr>
      <w:tr w14:paraId="6F444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33BF2E8B">
            <w:pPr>
              <w:spacing w:line="360" w:lineRule="exact"/>
              <w:rPr>
                <w:rFonts w:ascii="宋体" w:hAnsi="宋体" w:cs="宋体"/>
                <w:sz w:val="24"/>
              </w:rPr>
            </w:pPr>
            <w:r>
              <w:rPr>
                <w:rFonts w:hint="eastAsia" w:ascii="宋体" w:hAnsi="宋体" w:cs="宋体"/>
                <w:sz w:val="24"/>
              </w:rPr>
              <w:t>电话：</w:t>
            </w:r>
          </w:p>
        </w:tc>
        <w:tc>
          <w:tcPr>
            <w:tcW w:w="3212" w:type="dxa"/>
          </w:tcPr>
          <w:p w14:paraId="4D992F50">
            <w:pPr>
              <w:spacing w:line="360" w:lineRule="exact"/>
              <w:rPr>
                <w:rFonts w:ascii="宋体" w:hAnsi="宋体" w:cs="宋体"/>
                <w:sz w:val="24"/>
              </w:rPr>
            </w:pPr>
            <w:r>
              <w:rPr>
                <w:rFonts w:hint="eastAsia" w:ascii="宋体" w:hAnsi="宋体" w:cs="宋体"/>
                <w:sz w:val="24"/>
              </w:rPr>
              <w:t>电话：</w:t>
            </w:r>
          </w:p>
        </w:tc>
        <w:tc>
          <w:tcPr>
            <w:tcW w:w="3213" w:type="dxa"/>
          </w:tcPr>
          <w:p w14:paraId="02C4AC49">
            <w:pPr>
              <w:spacing w:line="360" w:lineRule="exact"/>
              <w:rPr>
                <w:rFonts w:ascii="宋体" w:hAnsi="宋体" w:cs="宋体"/>
                <w:sz w:val="24"/>
              </w:rPr>
            </w:pPr>
            <w:r>
              <w:rPr>
                <w:rFonts w:hint="eastAsia" w:ascii="宋体" w:hAnsi="宋体" w:cs="宋体"/>
                <w:sz w:val="24"/>
              </w:rPr>
              <w:t>电话：</w:t>
            </w:r>
          </w:p>
        </w:tc>
      </w:tr>
      <w:tr w14:paraId="77973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58856D52">
            <w:pPr>
              <w:spacing w:line="360" w:lineRule="exact"/>
              <w:rPr>
                <w:rFonts w:ascii="宋体" w:hAnsi="宋体" w:cs="宋体"/>
                <w:sz w:val="24"/>
              </w:rPr>
            </w:pPr>
            <w:r>
              <w:rPr>
                <w:rFonts w:hint="eastAsia" w:ascii="宋体" w:hAnsi="宋体" w:cs="宋体"/>
                <w:sz w:val="24"/>
              </w:rPr>
              <w:t>传真：</w:t>
            </w:r>
          </w:p>
        </w:tc>
        <w:tc>
          <w:tcPr>
            <w:tcW w:w="3212" w:type="dxa"/>
          </w:tcPr>
          <w:p w14:paraId="23B3A6B3">
            <w:pPr>
              <w:spacing w:line="360" w:lineRule="exact"/>
              <w:rPr>
                <w:rFonts w:ascii="宋体" w:hAnsi="宋体" w:cs="宋体"/>
                <w:sz w:val="24"/>
              </w:rPr>
            </w:pPr>
            <w:r>
              <w:rPr>
                <w:rFonts w:hint="eastAsia" w:ascii="宋体" w:hAnsi="宋体" w:cs="宋体"/>
                <w:sz w:val="24"/>
              </w:rPr>
              <w:t>传真：</w:t>
            </w:r>
          </w:p>
        </w:tc>
        <w:tc>
          <w:tcPr>
            <w:tcW w:w="3213" w:type="dxa"/>
          </w:tcPr>
          <w:p w14:paraId="20C24295">
            <w:pPr>
              <w:spacing w:line="360" w:lineRule="exact"/>
              <w:rPr>
                <w:rFonts w:ascii="宋体" w:hAnsi="宋体" w:cs="宋体"/>
                <w:sz w:val="24"/>
              </w:rPr>
            </w:pPr>
            <w:r>
              <w:rPr>
                <w:rFonts w:hint="eastAsia" w:ascii="宋体" w:hAnsi="宋体" w:cs="宋体"/>
                <w:sz w:val="24"/>
              </w:rPr>
              <w:t>传真：</w:t>
            </w:r>
          </w:p>
        </w:tc>
      </w:tr>
      <w:tr w14:paraId="3FC72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28CFF2C4">
            <w:pPr>
              <w:spacing w:line="360" w:lineRule="exact"/>
              <w:rPr>
                <w:rFonts w:ascii="宋体" w:hAnsi="宋体" w:cs="宋体"/>
                <w:sz w:val="24"/>
              </w:rPr>
            </w:pPr>
          </w:p>
        </w:tc>
        <w:tc>
          <w:tcPr>
            <w:tcW w:w="3212" w:type="dxa"/>
          </w:tcPr>
          <w:p w14:paraId="46A58522">
            <w:pPr>
              <w:spacing w:line="360" w:lineRule="exact"/>
              <w:rPr>
                <w:rFonts w:ascii="宋体" w:hAnsi="宋体" w:cs="宋体"/>
                <w:sz w:val="24"/>
              </w:rPr>
            </w:pPr>
            <w:r>
              <w:rPr>
                <w:rFonts w:hint="eastAsia" w:ascii="宋体" w:hAnsi="宋体" w:cs="宋体"/>
                <w:sz w:val="24"/>
              </w:rPr>
              <w:t>开户银行：</w:t>
            </w:r>
          </w:p>
        </w:tc>
        <w:tc>
          <w:tcPr>
            <w:tcW w:w="3213" w:type="dxa"/>
          </w:tcPr>
          <w:p w14:paraId="27165382">
            <w:pPr>
              <w:spacing w:line="360" w:lineRule="exact"/>
              <w:rPr>
                <w:rFonts w:ascii="宋体" w:hAnsi="宋体" w:cs="宋体"/>
                <w:sz w:val="24"/>
              </w:rPr>
            </w:pPr>
          </w:p>
        </w:tc>
      </w:tr>
      <w:tr w14:paraId="71412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3213" w:type="dxa"/>
          </w:tcPr>
          <w:p w14:paraId="41CD235F">
            <w:pPr>
              <w:spacing w:line="360" w:lineRule="exact"/>
              <w:rPr>
                <w:rFonts w:ascii="宋体" w:hAnsi="宋体" w:cs="宋体"/>
                <w:sz w:val="24"/>
              </w:rPr>
            </w:pPr>
          </w:p>
        </w:tc>
        <w:tc>
          <w:tcPr>
            <w:tcW w:w="3212" w:type="dxa"/>
          </w:tcPr>
          <w:p w14:paraId="12B62AD5">
            <w:pPr>
              <w:spacing w:line="360" w:lineRule="exact"/>
              <w:rPr>
                <w:rFonts w:ascii="宋体" w:hAnsi="宋体" w:cs="宋体"/>
                <w:sz w:val="24"/>
              </w:rPr>
            </w:pPr>
            <w:r>
              <w:rPr>
                <w:rFonts w:hint="eastAsia" w:ascii="宋体" w:hAnsi="宋体" w:cs="宋体"/>
                <w:sz w:val="24"/>
              </w:rPr>
              <w:t>帐号：</w:t>
            </w:r>
          </w:p>
        </w:tc>
        <w:tc>
          <w:tcPr>
            <w:tcW w:w="3213" w:type="dxa"/>
          </w:tcPr>
          <w:p w14:paraId="298A544B">
            <w:pPr>
              <w:spacing w:line="360" w:lineRule="exact"/>
              <w:rPr>
                <w:rFonts w:ascii="宋体" w:hAnsi="宋体" w:cs="宋体"/>
                <w:sz w:val="24"/>
              </w:rPr>
            </w:pPr>
          </w:p>
        </w:tc>
      </w:tr>
      <w:tr w14:paraId="7D49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213" w:type="dxa"/>
          </w:tcPr>
          <w:p w14:paraId="49423F2C">
            <w:pPr>
              <w:spacing w:line="360" w:lineRule="exact"/>
              <w:rPr>
                <w:rFonts w:ascii="宋体" w:hAnsi="宋体" w:cs="宋体"/>
                <w:sz w:val="24"/>
              </w:rPr>
            </w:pPr>
            <w:r>
              <w:rPr>
                <w:rFonts w:hint="eastAsia" w:ascii="宋体" w:hAnsi="宋体" w:cs="宋体"/>
                <w:sz w:val="24"/>
              </w:rPr>
              <w:t>日期：    年   月   日</w:t>
            </w:r>
          </w:p>
        </w:tc>
        <w:tc>
          <w:tcPr>
            <w:tcW w:w="3212" w:type="dxa"/>
          </w:tcPr>
          <w:p w14:paraId="53E263A8">
            <w:pPr>
              <w:spacing w:line="360" w:lineRule="exact"/>
              <w:rPr>
                <w:rFonts w:ascii="宋体" w:hAnsi="宋体" w:cs="宋体"/>
                <w:sz w:val="24"/>
              </w:rPr>
            </w:pPr>
            <w:r>
              <w:rPr>
                <w:rFonts w:hint="eastAsia" w:ascii="宋体" w:hAnsi="宋体" w:cs="宋体"/>
                <w:sz w:val="24"/>
              </w:rPr>
              <w:t>日期：    年   月   日</w:t>
            </w:r>
          </w:p>
        </w:tc>
        <w:tc>
          <w:tcPr>
            <w:tcW w:w="3213" w:type="dxa"/>
          </w:tcPr>
          <w:p w14:paraId="4DE3ACBF">
            <w:pPr>
              <w:spacing w:line="360" w:lineRule="exact"/>
              <w:rPr>
                <w:rFonts w:ascii="宋体" w:hAnsi="宋体" w:cs="宋体"/>
                <w:sz w:val="24"/>
              </w:rPr>
            </w:pPr>
            <w:r>
              <w:rPr>
                <w:rFonts w:hint="eastAsia" w:ascii="宋体" w:hAnsi="宋体" w:cs="宋体"/>
                <w:sz w:val="24"/>
              </w:rPr>
              <w:t>日期：    年   月   日</w:t>
            </w:r>
          </w:p>
        </w:tc>
      </w:tr>
    </w:tbl>
    <w:p w14:paraId="375E7837">
      <w:pPr>
        <w:pStyle w:val="4"/>
        <w:rPr>
          <w:rFonts w:ascii="宋体" w:hAnsi="宋体" w:cs="宋体"/>
          <w:b/>
          <w:color w:val="0000FF"/>
          <w:sz w:val="36"/>
          <w:szCs w:val="36"/>
        </w:rPr>
      </w:pPr>
    </w:p>
    <w:p w14:paraId="6B3C98CB">
      <w:pPr>
        <w:pStyle w:val="8"/>
        <w:rPr>
          <w:rFonts w:ascii="宋体" w:hAnsi="宋体" w:cs="宋体"/>
          <w:b/>
          <w:sz w:val="36"/>
        </w:rPr>
      </w:pPr>
    </w:p>
    <w:p w14:paraId="48FA8842">
      <w:pPr>
        <w:pStyle w:val="8"/>
        <w:rPr>
          <w:rFonts w:ascii="宋体" w:hAnsi="宋体" w:cs="宋体"/>
          <w:b/>
          <w:sz w:val="36"/>
        </w:rPr>
      </w:pPr>
    </w:p>
    <w:p w14:paraId="5FD2FDE1">
      <w:pPr>
        <w:pStyle w:val="8"/>
        <w:rPr>
          <w:rFonts w:ascii="宋体" w:hAnsi="宋体" w:cs="宋体"/>
          <w:b/>
          <w:sz w:val="36"/>
        </w:rPr>
      </w:pPr>
    </w:p>
    <w:p w14:paraId="6AE6D510">
      <w:pPr>
        <w:rPr>
          <w:rFonts w:ascii="宋体" w:hAnsi="宋体" w:cs="宋体"/>
          <w:b/>
          <w:sz w:val="36"/>
        </w:rPr>
      </w:pPr>
    </w:p>
    <w:p w14:paraId="204AE1AA">
      <w:pPr>
        <w:pStyle w:val="8"/>
        <w:rPr>
          <w:rFonts w:ascii="宋体" w:hAnsi="宋体" w:cs="宋体"/>
          <w:b/>
          <w:sz w:val="36"/>
        </w:rPr>
      </w:pPr>
    </w:p>
    <w:p w14:paraId="1F8921B8">
      <w:pPr>
        <w:rPr>
          <w:rFonts w:ascii="宋体" w:hAnsi="宋体" w:cs="宋体"/>
          <w:b/>
          <w:sz w:val="36"/>
        </w:rPr>
      </w:pPr>
    </w:p>
    <w:p w14:paraId="0E1C7533">
      <w:pPr>
        <w:pStyle w:val="8"/>
        <w:rPr>
          <w:rFonts w:ascii="宋体" w:hAnsi="宋体" w:cs="宋体"/>
          <w:b/>
          <w:sz w:val="36"/>
        </w:rPr>
      </w:pPr>
    </w:p>
    <w:p w14:paraId="7F0A7737">
      <w:pPr>
        <w:rPr>
          <w:rFonts w:ascii="宋体" w:hAnsi="宋体" w:cs="宋体"/>
          <w:b/>
          <w:sz w:val="36"/>
        </w:rPr>
      </w:pPr>
    </w:p>
    <w:p w14:paraId="79AA10B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6B5"/>
    <w:rsid w:val="000D662B"/>
    <w:rsid w:val="00462257"/>
    <w:rsid w:val="00492260"/>
    <w:rsid w:val="006E1B4D"/>
    <w:rsid w:val="007916B5"/>
    <w:rsid w:val="008C1C78"/>
    <w:rsid w:val="00934740"/>
    <w:rsid w:val="00E50352"/>
    <w:rsid w:val="78613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14"/>
    <w:semiHidden/>
    <w:unhideWhenUsed/>
    <w:uiPriority w:val="99"/>
    <w:pPr>
      <w:ind w:firstLine="420" w:firstLineChars="200"/>
    </w:pPr>
  </w:style>
  <w:style w:type="paragraph" w:styleId="3">
    <w:name w:val="Body Text Indent"/>
    <w:basedOn w:val="1"/>
    <w:link w:val="13"/>
    <w:semiHidden/>
    <w:unhideWhenUsed/>
    <w:qFormat/>
    <w:uiPriority w:val="99"/>
    <w:pPr>
      <w:spacing w:after="120"/>
      <w:ind w:left="420" w:leftChars="200"/>
    </w:pPr>
  </w:style>
  <w:style w:type="paragraph" w:styleId="4">
    <w:name w:val="Body Text"/>
    <w:basedOn w:val="1"/>
    <w:next w:val="1"/>
    <w:link w:val="9"/>
    <w:qFormat/>
    <w:uiPriority w:val="0"/>
    <w:pPr>
      <w:spacing w:line="320" w:lineRule="exact"/>
    </w:pPr>
  </w:style>
  <w:style w:type="character" w:styleId="7">
    <w:name w:val="Hyperlink"/>
    <w:basedOn w:val="6"/>
    <w:unhideWhenUsed/>
    <w:uiPriority w:val="99"/>
    <w:rPr>
      <w:color w:val="0563C1" w:themeColor="hyperlink"/>
      <w:u w:val="single"/>
      <w14:textFill>
        <w14:solidFill>
          <w14:schemeClr w14:val="hlink"/>
        </w14:solidFill>
      </w14:textFill>
    </w:rPr>
  </w:style>
  <w:style w:type="paragraph" w:customStyle="1" w:styleId="8">
    <w:name w:val="_Style 3"/>
    <w:basedOn w:val="3"/>
    <w:next w:val="1"/>
    <w:qFormat/>
    <w:uiPriority w:val="0"/>
    <w:pPr>
      <w:autoSpaceDE w:val="0"/>
      <w:autoSpaceDN w:val="0"/>
      <w:adjustRightInd w:val="0"/>
      <w:spacing w:after="0" w:line="600" w:lineRule="exact"/>
      <w:ind w:left="0" w:leftChars="0" w:firstLine="420"/>
    </w:pPr>
    <w:rPr>
      <w:kern w:val="0"/>
      <w:sz w:val="28"/>
    </w:rPr>
  </w:style>
  <w:style w:type="character" w:customStyle="1" w:styleId="9">
    <w:name w:val="正文文本 字符"/>
    <w:basedOn w:val="6"/>
    <w:link w:val="4"/>
    <w:uiPriority w:val="0"/>
    <w:rPr>
      <w:rFonts w:ascii="Times New Roman" w:hAnsi="Times New Roman" w:eastAsia="宋体" w:cs="Times New Roman"/>
      <w:szCs w:val="24"/>
    </w:rPr>
  </w:style>
  <w:style w:type="character" w:customStyle="1" w:styleId="10">
    <w:name w:val="NormalCharacter"/>
    <w:semiHidden/>
    <w:qFormat/>
    <w:uiPriority w:val="0"/>
  </w:style>
  <w:style w:type="paragraph" w:customStyle="1" w:styleId="11">
    <w:name w:val="BodyText"/>
    <w:basedOn w:val="1"/>
    <w:next w:val="1"/>
    <w:qFormat/>
    <w:uiPriority w:val="0"/>
    <w:pPr>
      <w:spacing w:line="320" w:lineRule="exact"/>
      <w:textAlignment w:val="baseline"/>
    </w:pPr>
  </w:style>
  <w:style w:type="paragraph" w:customStyle="1" w:styleId="12">
    <w:name w:val="UserStyle_33"/>
    <w:basedOn w:val="1"/>
    <w:qFormat/>
    <w:uiPriority w:val="0"/>
    <w:pPr>
      <w:spacing w:line="400" w:lineRule="exact"/>
      <w:ind w:firstLine="200" w:firstLineChars="200"/>
      <w:textAlignment w:val="baseline"/>
    </w:pPr>
    <w:rPr>
      <w:sz w:val="24"/>
    </w:rPr>
  </w:style>
  <w:style w:type="character" w:customStyle="1" w:styleId="13">
    <w:name w:val="正文文本缩进 字符"/>
    <w:basedOn w:val="6"/>
    <w:link w:val="3"/>
    <w:semiHidden/>
    <w:qFormat/>
    <w:uiPriority w:val="99"/>
    <w:rPr>
      <w:rFonts w:ascii="Times New Roman" w:hAnsi="Times New Roman" w:eastAsia="宋体" w:cs="Times New Roman"/>
      <w:szCs w:val="24"/>
    </w:rPr>
  </w:style>
  <w:style w:type="character" w:customStyle="1" w:styleId="14">
    <w:name w:val="正文文本首行缩进 2 字符"/>
    <w:basedOn w:val="13"/>
    <w:link w:val="2"/>
    <w:semiHidden/>
    <w:qFormat/>
    <w:uiPriority w:val="99"/>
    <w:rPr>
      <w:rFonts w:ascii="Times New Roman" w:hAnsi="Times New Roman" w:eastAsia="宋体" w:cs="Times New Roman"/>
      <w:szCs w:val="24"/>
    </w:rPr>
  </w:style>
  <w:style w:type="paragraph" w:customStyle="1" w:styleId="15">
    <w:name w:val="null3"/>
    <w:hidden/>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B0CAB-47C4-41FC-BED4-AF49F8E49CBA}">
  <ds:schemaRefs/>
</ds:datastoreItem>
</file>

<file path=docProps/app.xml><?xml version="1.0" encoding="utf-8"?>
<Properties xmlns="http://schemas.openxmlformats.org/officeDocument/2006/extended-properties" xmlns:vt="http://schemas.openxmlformats.org/officeDocument/2006/docPropsVTypes">
  <Template>Normal</Template>
  <Pages>8</Pages>
  <Words>6133</Words>
  <Characters>6232</Characters>
  <Lines>46</Lines>
  <Paragraphs>13</Paragraphs>
  <TotalTime>70</TotalTime>
  <ScaleCrop>false</ScaleCrop>
  <LinksUpToDate>false</LinksUpToDate>
  <CharactersWithSpaces>6332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2026-06-03T06:35:00Z</dcterms:created>
  <dc:creator>勉县园林站</dc:creator>
  <cp:lastModifiedBy>沈小琳</cp:lastModifiedBy>
  <dcterms:modified xsi:type="dcterms:W3CDTF">2026-06-03T07:55:14Z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eyJoZGlkIjoiMDAwNjU1NWZiMDNmNjAwM2Y5ZDkwYjllNTBkYWQzNmQiLCJ1c2VySWQiOiIxMjg5MjE0NjE0In0=</vt:lpwstr>
  </property>
  <property fmtid="{D5CDD505-2E9C-101B-9397-08002B2CF9AE}" pid="3" name="KSOProductBuildVer">
    <vt:lpwstr>2052-12.1.0.26375</vt:lpwstr>
  </property>
  <property fmtid="{D5CDD505-2E9C-101B-9397-08002B2CF9AE}" pid="4" name="ICV">
    <vt:lpwstr>96B7CE62C8FA4DE7A4104A0F6E385824_13</vt:lpwstr>
  </property>
</Properties>
</file>