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CF8347">
      <w:pPr>
        <w:keepNext w:val="0"/>
        <w:keepLines w:val="0"/>
        <w:pageBreakBefore w:val="0"/>
        <w:widowControl/>
        <w:kinsoku w:val="0"/>
        <w:wordWrap/>
        <w:overflowPunct/>
        <w:topLinePunct w:val="0"/>
        <w:autoSpaceDE w:val="0"/>
        <w:autoSpaceDN w:val="0"/>
        <w:bidi w:val="0"/>
        <w:adjustRightInd/>
        <w:snapToGrid/>
        <w:spacing w:line="360" w:lineRule="auto"/>
        <w:ind w:left="0"/>
        <w:textAlignment w:val="baseline"/>
        <w:rPr>
          <w:rFonts w:hint="default" w:ascii="Times New Roman" w:hAnsi="Times New Roman" w:eastAsia="方正仿宋_GBK" w:cs="Times New Roman"/>
          <w:snapToGrid w:val="0"/>
          <w:color w:val="auto"/>
          <w:spacing w:val="3"/>
          <w:kern w:val="0"/>
          <w:sz w:val="28"/>
          <w:szCs w:val="28"/>
          <w:u w:val="none"/>
          <w:lang w:val="en-US" w:eastAsia="zh-CN" w:bidi="ar-SA"/>
        </w:rPr>
      </w:pPr>
      <w:bookmarkStart w:id="17" w:name="_GoBack"/>
      <w:bookmarkEnd w:id="17"/>
      <w:r>
        <w:rPr>
          <w:rFonts w:hint="default" w:ascii="Times New Roman" w:hAnsi="Times New Roman" w:eastAsia="方正仿宋_GBK" w:cs="Times New Roman"/>
          <w:snapToGrid w:val="0"/>
          <w:color w:val="auto"/>
          <w:spacing w:val="3"/>
          <w:kern w:val="0"/>
          <w:sz w:val="28"/>
          <w:szCs w:val="28"/>
          <w:u w:val="none"/>
          <w:lang w:val="en-US" w:eastAsia="en-US" w:bidi="ar-SA"/>
        </w:rPr>
        <w:t>合同编号：</w:t>
      </w:r>
      <w:r>
        <w:rPr>
          <w:rFonts w:hint="eastAsia" w:ascii="Times New Roman" w:hAnsi="Times New Roman" w:eastAsia="方正仿宋_GBK" w:cs="Times New Roman"/>
          <w:snapToGrid w:val="0"/>
          <w:color w:val="auto"/>
          <w:spacing w:val="3"/>
          <w:kern w:val="0"/>
          <w:sz w:val="28"/>
          <w:szCs w:val="28"/>
          <w:u w:val="none"/>
          <w:lang w:val="en-US" w:eastAsia="zh-CN" w:bidi="ar-SA"/>
        </w:rPr>
        <w:t>TC</w:t>
      </w:r>
      <w:r>
        <w:rPr>
          <w:rFonts w:hint="eastAsia" w:ascii="Times New Roman" w:hAnsi="Times New Roman" w:eastAsia="方正仿宋_GBK" w:cs="Times New Roman"/>
          <w:snapToGrid w:val="0"/>
          <w:color w:val="auto"/>
          <w:spacing w:val="3"/>
          <w:kern w:val="0"/>
          <w:sz w:val="28"/>
          <w:szCs w:val="28"/>
          <w:u w:val="none"/>
          <w:lang w:val="en-US" w:eastAsia="en-US" w:bidi="ar-SA"/>
        </w:rPr>
        <w:t>XF-202</w:t>
      </w:r>
      <w:r>
        <w:rPr>
          <w:rFonts w:hint="eastAsia" w:ascii="Times New Roman" w:hAnsi="Times New Roman" w:eastAsia="方正仿宋_GBK" w:cs="Times New Roman"/>
          <w:snapToGrid w:val="0"/>
          <w:color w:val="auto"/>
          <w:spacing w:val="3"/>
          <w:kern w:val="0"/>
          <w:sz w:val="28"/>
          <w:szCs w:val="28"/>
          <w:u w:val="none"/>
          <w:lang w:val="en-US" w:eastAsia="zh-CN" w:bidi="ar-SA"/>
        </w:rPr>
        <w:t>6010X</w:t>
      </w:r>
      <w:r>
        <w:rPr>
          <w:rFonts w:hint="default" w:ascii="Times New Roman" w:hAnsi="Times New Roman" w:eastAsia="方正仿宋_GBK" w:cs="Times New Roman"/>
          <w:snapToGrid w:val="0"/>
          <w:color w:val="auto"/>
          <w:spacing w:val="3"/>
          <w:kern w:val="0"/>
          <w:sz w:val="28"/>
          <w:szCs w:val="28"/>
          <w:u w:val="none"/>
          <w:lang w:val="en-US" w:eastAsia="en-US" w:bidi="ar-SA"/>
        </w:rPr>
        <w:t>-</w:t>
      </w:r>
      <w:r>
        <w:rPr>
          <w:rFonts w:hint="eastAsia" w:ascii="Times New Roman" w:hAnsi="Times New Roman" w:eastAsia="方正仿宋_GBK" w:cs="Times New Roman"/>
          <w:snapToGrid w:val="0"/>
          <w:color w:val="auto"/>
          <w:spacing w:val="3"/>
          <w:kern w:val="0"/>
          <w:sz w:val="28"/>
          <w:szCs w:val="28"/>
          <w:u w:val="none"/>
          <w:lang w:val="en-US" w:eastAsia="zh-CN" w:bidi="ar-SA"/>
        </w:rPr>
        <w:t>XX-XXXXXX</w:t>
      </w:r>
    </w:p>
    <w:p w14:paraId="36C890EA">
      <w:pPr>
        <w:keepNext w:val="0"/>
        <w:keepLines w:val="0"/>
        <w:pageBreakBefore w:val="0"/>
        <w:widowControl/>
        <w:kinsoku w:val="0"/>
        <w:wordWrap/>
        <w:overflowPunct/>
        <w:topLinePunct w:val="0"/>
        <w:autoSpaceDE w:val="0"/>
        <w:autoSpaceDN w:val="0"/>
        <w:bidi w:val="0"/>
        <w:adjustRightInd/>
        <w:snapToGrid/>
        <w:spacing w:line="360" w:lineRule="auto"/>
        <w:ind w:left="0"/>
        <w:textAlignment w:val="baseline"/>
        <w:rPr>
          <w:rFonts w:hint="default" w:ascii="Times New Roman" w:hAnsi="Times New Roman" w:eastAsia="方正仿宋_GB2312" w:cs="Times New Roman"/>
          <w:color w:val="auto"/>
          <w:sz w:val="28"/>
          <w:szCs w:val="28"/>
          <w:lang w:val="en-US" w:eastAsia="zh-CN"/>
        </w:rPr>
      </w:pPr>
    </w:p>
    <w:p w14:paraId="787245A4">
      <w:pPr>
        <w:spacing w:line="255" w:lineRule="auto"/>
        <w:rPr>
          <w:rFonts w:hint="default" w:ascii="Times New Roman" w:hAnsi="Times New Roman" w:cs="Times New Roman"/>
          <w:color w:val="auto"/>
          <w:sz w:val="21"/>
        </w:rPr>
      </w:pPr>
    </w:p>
    <w:p w14:paraId="297BAF96">
      <w:pPr>
        <w:spacing w:line="255" w:lineRule="auto"/>
        <w:rPr>
          <w:rFonts w:hint="default" w:ascii="Times New Roman" w:hAnsi="Times New Roman" w:cs="Times New Roman"/>
          <w:color w:val="auto"/>
          <w:sz w:val="21"/>
        </w:rPr>
      </w:pPr>
    </w:p>
    <w:p w14:paraId="2ADEFEE7">
      <w:pPr>
        <w:spacing w:line="256" w:lineRule="auto"/>
        <w:rPr>
          <w:rFonts w:hint="default" w:ascii="Times New Roman" w:hAnsi="Times New Roman" w:cs="Times New Roman"/>
          <w:color w:val="auto"/>
          <w:sz w:val="21"/>
        </w:rPr>
      </w:pPr>
    </w:p>
    <w:p w14:paraId="521A15CC">
      <w:pPr>
        <w:spacing w:line="256" w:lineRule="auto"/>
        <w:rPr>
          <w:rFonts w:hint="default" w:ascii="Times New Roman" w:hAnsi="Times New Roman" w:cs="Times New Roman"/>
          <w:color w:val="auto"/>
          <w:sz w:val="21"/>
        </w:rPr>
      </w:pPr>
    </w:p>
    <w:p w14:paraId="72B0C834">
      <w:pPr>
        <w:spacing w:line="256" w:lineRule="auto"/>
        <w:rPr>
          <w:rFonts w:hint="default" w:ascii="Times New Roman" w:hAnsi="Times New Roman" w:cs="Times New Roman"/>
          <w:color w:val="auto"/>
          <w:sz w:val="21"/>
        </w:rPr>
      </w:pPr>
    </w:p>
    <w:p w14:paraId="0B5C742B">
      <w:pPr>
        <w:spacing w:line="256" w:lineRule="auto"/>
        <w:rPr>
          <w:rFonts w:hint="default" w:ascii="Times New Roman" w:hAnsi="Times New Roman" w:cs="Times New Roman"/>
          <w:color w:val="auto"/>
          <w:sz w:val="21"/>
        </w:rPr>
      </w:pPr>
    </w:p>
    <w:p w14:paraId="62E50DD6">
      <w:pPr>
        <w:pStyle w:val="3"/>
        <w:keepNext w:val="0"/>
        <w:keepLines w:val="0"/>
        <w:pageBreakBefore w:val="0"/>
        <w:widowControl/>
        <w:kinsoku w:val="0"/>
        <w:wordWrap/>
        <w:overflowPunct/>
        <w:topLinePunct w:val="0"/>
        <w:autoSpaceDE w:val="0"/>
        <w:autoSpaceDN w:val="0"/>
        <w:bidi w:val="0"/>
        <w:adjustRightInd/>
        <w:snapToGrid/>
        <w:spacing w:line="700" w:lineRule="exact"/>
        <w:ind w:left="0"/>
        <w:jc w:val="center"/>
        <w:textAlignment w:val="baseline"/>
        <w:outlineLvl w:val="9"/>
        <w:rPr>
          <w:rFonts w:hint="default" w:ascii="Times New Roman" w:hAnsi="Times New Roman" w:eastAsia="方正小标宋_GBK" w:cs="Times New Roman"/>
          <w:b w:val="0"/>
          <w:bCs w:val="0"/>
          <w:color w:val="auto"/>
          <w:spacing w:val="10"/>
          <w:sz w:val="44"/>
          <w:szCs w:val="44"/>
          <w:lang w:val="en-US" w:eastAsia="zh-CN"/>
        </w:rPr>
      </w:pPr>
      <w:r>
        <w:rPr>
          <w:rFonts w:hint="eastAsia" w:ascii="Times New Roman" w:hAnsi="Times New Roman" w:eastAsia="方正小标宋_GBK" w:cs="Times New Roman"/>
          <w:b w:val="0"/>
          <w:bCs w:val="0"/>
          <w:color w:val="auto"/>
          <w:spacing w:val="10"/>
          <w:sz w:val="44"/>
          <w:szCs w:val="44"/>
          <w:lang w:val="en-US" w:eastAsia="zh-CN"/>
        </w:rPr>
        <w:t>铜川市</w:t>
      </w:r>
      <w:r>
        <w:rPr>
          <w:rFonts w:hint="default" w:ascii="Times New Roman" w:hAnsi="Times New Roman" w:eastAsia="方正小标宋_GBK" w:cs="Times New Roman"/>
          <w:b w:val="0"/>
          <w:bCs w:val="0"/>
          <w:color w:val="auto"/>
          <w:spacing w:val="10"/>
          <w:sz w:val="44"/>
          <w:szCs w:val="44"/>
        </w:rPr>
        <w:t>消防救援</w:t>
      </w:r>
      <w:r>
        <w:rPr>
          <w:rFonts w:hint="eastAsia" w:ascii="Times New Roman" w:hAnsi="Times New Roman" w:eastAsia="方正小标宋_GBK" w:cs="Times New Roman"/>
          <w:b w:val="0"/>
          <w:bCs w:val="0"/>
          <w:color w:val="auto"/>
          <w:spacing w:val="10"/>
          <w:sz w:val="44"/>
          <w:szCs w:val="44"/>
          <w:lang w:val="en-US" w:eastAsia="zh-CN"/>
        </w:rPr>
        <w:t>支</w:t>
      </w:r>
      <w:r>
        <w:rPr>
          <w:rFonts w:hint="default" w:ascii="Times New Roman" w:hAnsi="Times New Roman" w:eastAsia="方正小标宋_GBK" w:cs="Times New Roman"/>
          <w:b w:val="0"/>
          <w:bCs w:val="0"/>
          <w:color w:val="auto"/>
          <w:spacing w:val="10"/>
          <w:sz w:val="44"/>
          <w:szCs w:val="44"/>
        </w:rPr>
        <w:t>队</w:t>
      </w:r>
      <w:r>
        <w:rPr>
          <w:rFonts w:hint="eastAsia" w:ascii="Times New Roman" w:hAnsi="Times New Roman" w:eastAsia="方正小标宋_GBK" w:cs="Times New Roman"/>
          <w:b w:val="0"/>
          <w:bCs w:val="0"/>
          <w:color w:val="auto"/>
          <w:spacing w:val="10"/>
          <w:sz w:val="44"/>
          <w:szCs w:val="44"/>
          <w:lang w:val="en-US" w:eastAsia="zh-CN"/>
        </w:rPr>
        <w:t>2025</w:t>
      </w:r>
      <w:r>
        <w:rPr>
          <w:rFonts w:hint="default" w:ascii="Times New Roman" w:hAnsi="Times New Roman" w:eastAsia="方正小标宋_GBK" w:cs="Times New Roman"/>
          <w:b w:val="0"/>
          <w:bCs w:val="0"/>
          <w:color w:val="auto"/>
          <w:spacing w:val="10"/>
          <w:sz w:val="44"/>
          <w:szCs w:val="44"/>
        </w:rPr>
        <w:t>年</w:t>
      </w:r>
      <w:r>
        <w:rPr>
          <w:rFonts w:hint="eastAsia" w:ascii="Times New Roman" w:hAnsi="Times New Roman" w:eastAsia="方正小标宋_GBK" w:cs="Times New Roman"/>
          <w:b w:val="0"/>
          <w:bCs w:val="0"/>
          <w:color w:val="auto"/>
          <w:spacing w:val="10"/>
          <w:sz w:val="44"/>
          <w:szCs w:val="44"/>
        </w:rPr>
        <w:t>消防装备</w:t>
      </w:r>
    </w:p>
    <w:p w14:paraId="76F4F5CE">
      <w:pPr>
        <w:keepNext w:val="0"/>
        <w:keepLines w:val="0"/>
        <w:pageBreakBefore w:val="0"/>
        <w:widowControl/>
        <w:kinsoku w:val="0"/>
        <w:wordWrap/>
        <w:overflowPunct/>
        <w:topLinePunct w:val="0"/>
        <w:autoSpaceDE w:val="0"/>
        <w:autoSpaceDN w:val="0"/>
        <w:bidi w:val="0"/>
        <w:spacing w:line="700" w:lineRule="exact"/>
        <w:jc w:val="center"/>
        <w:textAlignment w:val="baseline"/>
        <w:rPr>
          <w:rFonts w:hint="default" w:ascii="Times New Roman" w:hAnsi="Times New Roman" w:eastAsia="方正小标宋_GBK" w:cs="Times New Roman"/>
          <w:b w:val="0"/>
          <w:bCs w:val="0"/>
          <w:color w:val="auto"/>
          <w:spacing w:val="10"/>
          <w:sz w:val="44"/>
          <w:szCs w:val="44"/>
        </w:rPr>
      </w:pPr>
      <w:r>
        <w:rPr>
          <w:rFonts w:hint="default" w:ascii="Times New Roman" w:hAnsi="Times New Roman" w:eastAsia="方正小标宋_GBK" w:cs="Times New Roman"/>
          <w:b w:val="0"/>
          <w:bCs w:val="0"/>
          <w:color w:val="auto"/>
          <w:spacing w:val="10"/>
          <w:sz w:val="44"/>
          <w:szCs w:val="44"/>
        </w:rPr>
        <w:t>采购项目（</w:t>
      </w:r>
      <w:r>
        <w:rPr>
          <w:rFonts w:hint="eastAsia" w:ascii="Times New Roman" w:hAnsi="Times New Roman" w:eastAsia="方正小标宋_GBK" w:cs="Times New Roman"/>
          <w:b w:val="0"/>
          <w:bCs w:val="0"/>
          <w:color w:val="auto"/>
          <w:spacing w:val="10"/>
          <w:sz w:val="44"/>
          <w:szCs w:val="44"/>
        </w:rPr>
        <w:t>第</w:t>
      </w:r>
      <w:r>
        <w:rPr>
          <w:rFonts w:hint="eastAsia" w:ascii="Times New Roman" w:hAnsi="Times New Roman" w:eastAsia="方正小标宋_GBK" w:cs="Times New Roman"/>
          <w:b w:val="0"/>
          <w:bCs w:val="0"/>
          <w:color w:val="auto"/>
          <w:spacing w:val="10"/>
          <w:sz w:val="44"/>
          <w:szCs w:val="44"/>
          <w:lang w:val="en-US" w:eastAsia="zh-CN"/>
        </w:rPr>
        <w:t>X</w:t>
      </w:r>
      <w:r>
        <w:rPr>
          <w:rFonts w:hint="eastAsia" w:ascii="Times New Roman" w:hAnsi="Times New Roman" w:eastAsia="方正小标宋_GBK" w:cs="Times New Roman"/>
          <w:b w:val="0"/>
          <w:bCs w:val="0"/>
          <w:color w:val="auto"/>
          <w:spacing w:val="10"/>
          <w:sz w:val="44"/>
          <w:szCs w:val="44"/>
        </w:rPr>
        <w:t>批次</w:t>
      </w:r>
      <w:r>
        <w:rPr>
          <w:rFonts w:hint="default" w:ascii="Times New Roman" w:hAnsi="Times New Roman" w:eastAsia="方正小标宋_GBK" w:cs="Times New Roman"/>
          <w:b w:val="0"/>
          <w:bCs w:val="0"/>
          <w:color w:val="auto"/>
          <w:spacing w:val="10"/>
          <w:sz w:val="44"/>
          <w:szCs w:val="44"/>
        </w:rPr>
        <w:t>）</w:t>
      </w:r>
    </w:p>
    <w:p w14:paraId="3BD40DB9">
      <w:pPr>
        <w:spacing w:line="268" w:lineRule="auto"/>
        <w:rPr>
          <w:rFonts w:hint="default" w:ascii="Times New Roman" w:hAnsi="Times New Roman" w:cs="Times New Roman"/>
          <w:color w:val="auto"/>
          <w:sz w:val="21"/>
        </w:rPr>
      </w:pPr>
      <w:bookmarkStart w:id="0" w:name="bookmark18"/>
      <w:bookmarkEnd w:id="0"/>
    </w:p>
    <w:p w14:paraId="63526616">
      <w:pPr>
        <w:spacing w:line="269" w:lineRule="auto"/>
        <w:rPr>
          <w:rFonts w:hint="default" w:ascii="Times New Roman" w:hAnsi="Times New Roman" w:cs="Times New Roman"/>
          <w:color w:val="auto"/>
          <w:sz w:val="21"/>
        </w:rPr>
      </w:pPr>
    </w:p>
    <w:p w14:paraId="4DA6CB42">
      <w:pPr>
        <w:spacing w:line="269" w:lineRule="auto"/>
        <w:rPr>
          <w:rFonts w:hint="default" w:ascii="Times New Roman" w:hAnsi="Times New Roman" w:cs="Times New Roman"/>
          <w:color w:val="auto"/>
          <w:sz w:val="21"/>
        </w:rPr>
      </w:pPr>
    </w:p>
    <w:p w14:paraId="54CFFFE5">
      <w:pPr>
        <w:spacing w:line="269" w:lineRule="auto"/>
        <w:rPr>
          <w:rFonts w:hint="default" w:ascii="Times New Roman" w:hAnsi="Times New Roman" w:cs="Times New Roman"/>
          <w:color w:val="auto"/>
          <w:sz w:val="21"/>
        </w:rPr>
      </w:pPr>
    </w:p>
    <w:p w14:paraId="04898AEF">
      <w:pPr>
        <w:spacing w:line="269" w:lineRule="auto"/>
        <w:rPr>
          <w:rFonts w:hint="default" w:ascii="Times New Roman" w:hAnsi="Times New Roman" w:cs="Times New Roman"/>
          <w:color w:val="auto"/>
          <w:sz w:val="21"/>
        </w:rPr>
      </w:pPr>
    </w:p>
    <w:p w14:paraId="595EDDB4">
      <w:pPr>
        <w:spacing w:line="266" w:lineRule="auto"/>
        <w:rPr>
          <w:rFonts w:hint="default" w:ascii="Times New Roman" w:hAnsi="Times New Roman" w:cs="Times New Roman"/>
          <w:color w:val="auto"/>
          <w:sz w:val="21"/>
        </w:rPr>
      </w:pPr>
    </w:p>
    <w:p w14:paraId="36CAC55F">
      <w:pPr>
        <w:spacing w:line="267" w:lineRule="auto"/>
        <w:rPr>
          <w:rFonts w:hint="default" w:ascii="Times New Roman" w:hAnsi="Times New Roman" w:cs="Times New Roman"/>
          <w:color w:val="auto"/>
          <w:sz w:val="21"/>
        </w:rPr>
      </w:pPr>
    </w:p>
    <w:p w14:paraId="220F8A42">
      <w:pPr>
        <w:spacing w:line="267" w:lineRule="auto"/>
        <w:rPr>
          <w:rFonts w:hint="default" w:ascii="Times New Roman" w:hAnsi="Times New Roman" w:cs="Times New Roman"/>
          <w:color w:val="auto"/>
          <w:sz w:val="21"/>
        </w:rPr>
      </w:pPr>
    </w:p>
    <w:p w14:paraId="173BA340">
      <w:pPr>
        <w:spacing w:line="267" w:lineRule="auto"/>
        <w:rPr>
          <w:rFonts w:hint="default" w:ascii="Times New Roman" w:hAnsi="Times New Roman" w:cs="Times New Roman"/>
          <w:color w:val="auto"/>
          <w:sz w:val="21"/>
        </w:rPr>
      </w:pPr>
    </w:p>
    <w:p w14:paraId="3E541CAA">
      <w:pPr>
        <w:spacing w:before="140" w:line="222" w:lineRule="auto"/>
        <w:ind w:left="0" w:leftChars="0" w:firstLine="0" w:firstLineChars="0"/>
        <w:jc w:val="center"/>
        <w:rPr>
          <w:rFonts w:hint="default" w:ascii="Times New Roman" w:hAnsi="Times New Roman" w:eastAsia="方正小标宋_GBK" w:cs="Times New Roman"/>
          <w:b w:val="0"/>
          <w:bCs w:val="0"/>
          <w:color w:val="auto"/>
          <w:spacing w:val="-14"/>
          <w:sz w:val="43"/>
          <w:szCs w:val="43"/>
        </w:rPr>
      </w:pPr>
      <w:r>
        <w:rPr>
          <w:rFonts w:hint="default" w:ascii="Times New Roman" w:hAnsi="Times New Roman" w:eastAsia="方正小标宋_GBK" w:cs="Times New Roman"/>
          <w:b w:val="0"/>
          <w:bCs w:val="0"/>
          <w:color w:val="auto"/>
          <w:spacing w:val="-14"/>
          <w:sz w:val="43"/>
          <w:szCs w:val="43"/>
        </w:rPr>
        <w:t>供</w:t>
      </w:r>
      <w:r>
        <w:rPr>
          <w:rFonts w:hint="default" w:ascii="Times New Roman" w:hAnsi="Times New Roman" w:eastAsia="方正小标宋_GBK" w:cs="Times New Roman"/>
          <w:b w:val="0"/>
          <w:bCs w:val="0"/>
          <w:color w:val="auto"/>
          <w:spacing w:val="41"/>
          <w:sz w:val="43"/>
          <w:szCs w:val="43"/>
        </w:rPr>
        <w:t xml:space="preserve"> </w:t>
      </w:r>
      <w:r>
        <w:rPr>
          <w:rFonts w:hint="default" w:ascii="Times New Roman" w:hAnsi="Times New Roman" w:eastAsia="方正小标宋_GBK" w:cs="Times New Roman"/>
          <w:b w:val="0"/>
          <w:bCs w:val="0"/>
          <w:color w:val="auto"/>
          <w:spacing w:val="-14"/>
          <w:sz w:val="43"/>
          <w:szCs w:val="43"/>
        </w:rPr>
        <w:t>货</w:t>
      </w:r>
      <w:r>
        <w:rPr>
          <w:rFonts w:hint="default" w:ascii="Times New Roman" w:hAnsi="Times New Roman" w:eastAsia="方正小标宋_GBK" w:cs="Times New Roman"/>
          <w:b w:val="0"/>
          <w:bCs w:val="0"/>
          <w:color w:val="auto"/>
          <w:spacing w:val="34"/>
          <w:sz w:val="43"/>
          <w:szCs w:val="43"/>
        </w:rPr>
        <w:t xml:space="preserve"> </w:t>
      </w:r>
      <w:r>
        <w:rPr>
          <w:rFonts w:hint="default" w:ascii="Times New Roman" w:hAnsi="Times New Roman" w:eastAsia="方正小标宋_GBK" w:cs="Times New Roman"/>
          <w:b w:val="0"/>
          <w:bCs w:val="0"/>
          <w:color w:val="auto"/>
          <w:spacing w:val="-14"/>
          <w:sz w:val="43"/>
          <w:szCs w:val="43"/>
        </w:rPr>
        <w:t>合</w:t>
      </w:r>
      <w:r>
        <w:rPr>
          <w:rFonts w:hint="default" w:ascii="Times New Roman" w:hAnsi="Times New Roman" w:eastAsia="方正小标宋_GBK" w:cs="Times New Roman"/>
          <w:b w:val="0"/>
          <w:bCs w:val="0"/>
          <w:color w:val="auto"/>
          <w:spacing w:val="73"/>
          <w:sz w:val="43"/>
          <w:szCs w:val="43"/>
        </w:rPr>
        <w:t xml:space="preserve"> </w:t>
      </w:r>
      <w:r>
        <w:rPr>
          <w:rFonts w:hint="default" w:ascii="Times New Roman" w:hAnsi="Times New Roman" w:eastAsia="方正小标宋_GBK" w:cs="Times New Roman"/>
          <w:b w:val="0"/>
          <w:bCs w:val="0"/>
          <w:color w:val="auto"/>
          <w:spacing w:val="-14"/>
          <w:sz w:val="43"/>
          <w:szCs w:val="43"/>
        </w:rPr>
        <w:t>同</w:t>
      </w:r>
    </w:p>
    <w:p w14:paraId="0CF66F40">
      <w:pPr>
        <w:spacing w:line="260" w:lineRule="auto"/>
        <w:rPr>
          <w:rFonts w:hint="default" w:ascii="Times New Roman" w:hAnsi="Times New Roman" w:cs="Times New Roman"/>
          <w:color w:val="auto"/>
          <w:sz w:val="21"/>
        </w:rPr>
      </w:pPr>
    </w:p>
    <w:p w14:paraId="7D6C9767">
      <w:pPr>
        <w:spacing w:line="261" w:lineRule="auto"/>
        <w:rPr>
          <w:rFonts w:hint="default" w:ascii="Times New Roman" w:hAnsi="Times New Roman" w:cs="Times New Roman"/>
          <w:color w:val="auto"/>
          <w:sz w:val="21"/>
        </w:rPr>
      </w:pPr>
    </w:p>
    <w:p w14:paraId="3E39CC16">
      <w:pPr>
        <w:spacing w:line="261" w:lineRule="auto"/>
        <w:rPr>
          <w:rFonts w:hint="default" w:ascii="Times New Roman" w:hAnsi="Times New Roman" w:cs="Times New Roman"/>
          <w:color w:val="auto"/>
          <w:sz w:val="21"/>
        </w:rPr>
      </w:pPr>
    </w:p>
    <w:p w14:paraId="72637417">
      <w:pPr>
        <w:spacing w:line="261" w:lineRule="auto"/>
        <w:rPr>
          <w:rFonts w:hint="default" w:ascii="Times New Roman" w:hAnsi="Times New Roman" w:cs="Times New Roman"/>
          <w:color w:val="auto"/>
          <w:sz w:val="21"/>
        </w:rPr>
      </w:pPr>
    </w:p>
    <w:p w14:paraId="29C659F9">
      <w:pPr>
        <w:spacing w:line="261" w:lineRule="auto"/>
        <w:rPr>
          <w:rFonts w:hint="default" w:ascii="Times New Roman" w:hAnsi="Times New Roman" w:cs="Times New Roman"/>
          <w:color w:val="auto"/>
          <w:sz w:val="21"/>
        </w:rPr>
      </w:pPr>
    </w:p>
    <w:p w14:paraId="1E5EB433">
      <w:pPr>
        <w:spacing w:line="261" w:lineRule="auto"/>
        <w:jc w:val="center"/>
        <w:rPr>
          <w:rFonts w:hint="default" w:ascii="Times New Roman" w:hAnsi="Times New Roman" w:cs="Times New Roman"/>
          <w:color w:val="auto"/>
          <w:sz w:val="21"/>
        </w:rPr>
      </w:pPr>
    </w:p>
    <w:p w14:paraId="29D7A4B9">
      <w:pPr>
        <w:keepNext w:val="0"/>
        <w:keepLines w:val="0"/>
        <w:pageBreakBefore w:val="0"/>
        <w:widowControl/>
        <w:kinsoku w:val="0"/>
        <w:wordWrap/>
        <w:overflowPunct/>
        <w:topLinePunct w:val="0"/>
        <w:autoSpaceDE w:val="0"/>
        <w:autoSpaceDN w:val="0"/>
        <w:bidi w:val="0"/>
        <w:adjustRightInd/>
        <w:snapToGrid/>
        <w:spacing w:line="360" w:lineRule="auto"/>
        <w:jc w:val="center"/>
        <w:textAlignment w:val="baseline"/>
        <w:rPr>
          <w:rFonts w:hint="default" w:ascii="Times New Roman" w:hAnsi="Times New Roman" w:eastAsia="方正仿宋_GBK" w:cs="Times New Roman"/>
          <w:b w:val="0"/>
          <w:bCs w:val="0"/>
          <w:color w:val="auto"/>
          <w:spacing w:val="2"/>
          <w:sz w:val="32"/>
          <w:szCs w:val="32"/>
          <w:u w:val="single"/>
          <w:lang w:val="en-US" w:eastAsia="zh-CN"/>
        </w:rPr>
      </w:pPr>
      <w:r>
        <w:rPr>
          <w:rFonts w:hint="default" w:ascii="Times New Roman" w:hAnsi="Times New Roman" w:eastAsia="方正仿宋_GBK" w:cs="Times New Roman"/>
          <w:b w:val="0"/>
          <w:bCs w:val="0"/>
          <w:color w:val="auto"/>
          <w:spacing w:val="2"/>
          <w:sz w:val="32"/>
          <w:szCs w:val="32"/>
          <w:lang w:val="en-US" w:eastAsia="zh-CN"/>
        </w:rPr>
        <w:t>甲  方：</w:t>
      </w:r>
      <w:r>
        <w:rPr>
          <w:rFonts w:hint="eastAsia" w:ascii="Times New Roman" w:hAnsi="Times New Roman" w:eastAsia="方正仿宋_GBK" w:cs="Times New Roman"/>
          <w:b w:val="0"/>
          <w:bCs w:val="0"/>
          <w:color w:val="auto"/>
          <w:spacing w:val="2"/>
          <w:sz w:val="32"/>
          <w:szCs w:val="32"/>
          <w:u w:val="single"/>
          <w:lang w:val="en-US" w:eastAsia="zh-CN"/>
        </w:rPr>
        <w:t>铜川</w:t>
      </w:r>
      <w:r>
        <w:rPr>
          <w:rFonts w:hint="default" w:ascii="Times New Roman" w:hAnsi="Times New Roman" w:eastAsia="方正仿宋_GBK" w:cs="Times New Roman"/>
          <w:b w:val="0"/>
          <w:bCs w:val="0"/>
          <w:color w:val="auto"/>
          <w:spacing w:val="2"/>
          <w:sz w:val="32"/>
          <w:szCs w:val="32"/>
          <w:u w:val="single"/>
          <w:lang w:val="en-US" w:eastAsia="zh-CN"/>
        </w:rPr>
        <w:t>市消防救援支队</w:t>
      </w:r>
    </w:p>
    <w:p w14:paraId="40804924">
      <w:pPr>
        <w:keepNext w:val="0"/>
        <w:keepLines w:val="0"/>
        <w:pageBreakBefore w:val="0"/>
        <w:widowControl/>
        <w:kinsoku w:val="0"/>
        <w:wordWrap/>
        <w:overflowPunct/>
        <w:topLinePunct w:val="0"/>
        <w:autoSpaceDE w:val="0"/>
        <w:autoSpaceDN w:val="0"/>
        <w:bidi w:val="0"/>
        <w:adjustRightInd/>
        <w:snapToGrid/>
        <w:spacing w:line="360" w:lineRule="auto"/>
        <w:jc w:val="center"/>
        <w:textAlignment w:val="baseline"/>
        <w:rPr>
          <w:rFonts w:hint="default" w:ascii="Times New Roman" w:hAnsi="Times New Roman" w:eastAsia="方正仿宋_GBK" w:cs="Times New Roman"/>
          <w:b w:val="0"/>
          <w:bCs w:val="0"/>
          <w:color w:val="auto"/>
          <w:spacing w:val="2"/>
          <w:sz w:val="32"/>
          <w:szCs w:val="32"/>
          <w:u w:val="single"/>
          <w:lang w:val="en-US" w:eastAsia="zh-CN"/>
        </w:rPr>
      </w:pPr>
    </w:p>
    <w:p w14:paraId="21504C38">
      <w:pPr>
        <w:keepNext w:val="0"/>
        <w:keepLines w:val="0"/>
        <w:pageBreakBefore w:val="0"/>
        <w:widowControl/>
        <w:kinsoku w:val="0"/>
        <w:wordWrap/>
        <w:overflowPunct/>
        <w:topLinePunct w:val="0"/>
        <w:autoSpaceDE w:val="0"/>
        <w:autoSpaceDN w:val="0"/>
        <w:bidi w:val="0"/>
        <w:adjustRightInd/>
        <w:snapToGrid/>
        <w:spacing w:line="360" w:lineRule="auto"/>
        <w:jc w:val="center"/>
        <w:textAlignment w:val="baseline"/>
        <w:rPr>
          <w:rFonts w:hint="default" w:ascii="Times New Roman" w:hAnsi="Times New Roman" w:eastAsia="方正仿宋_GBK" w:cs="Times New Roman"/>
          <w:b w:val="0"/>
          <w:bCs w:val="0"/>
          <w:color w:val="auto"/>
          <w:spacing w:val="2"/>
          <w:sz w:val="32"/>
          <w:szCs w:val="32"/>
          <w:lang w:val="en-US" w:eastAsia="zh-CN"/>
        </w:rPr>
      </w:pPr>
      <w:r>
        <w:rPr>
          <w:rFonts w:hint="default" w:ascii="Times New Roman" w:hAnsi="Times New Roman" w:eastAsia="方正仿宋_GBK" w:cs="Times New Roman"/>
          <w:b w:val="0"/>
          <w:bCs w:val="0"/>
          <w:color w:val="auto"/>
          <w:spacing w:val="2"/>
          <w:sz w:val="32"/>
          <w:szCs w:val="32"/>
          <w:lang w:val="en-US" w:eastAsia="zh-CN"/>
        </w:rPr>
        <w:t>乙  方 ：</w:t>
      </w:r>
      <w:r>
        <w:rPr>
          <w:rFonts w:hint="eastAsia" w:ascii="Times New Roman" w:hAnsi="Times New Roman" w:eastAsia="方正仿宋_GBK" w:cs="Times New Roman"/>
          <w:color w:val="auto"/>
          <w:spacing w:val="-2"/>
          <w:sz w:val="32"/>
          <w:szCs w:val="32"/>
          <w:u w:val="single" w:color="auto"/>
          <w:lang w:val="en-US" w:eastAsia="zh-CN"/>
        </w:rPr>
        <w:t>XXXXXXXXXX</w:t>
      </w:r>
      <w:r>
        <w:rPr>
          <w:rFonts w:hint="default" w:ascii="Times New Roman" w:hAnsi="Times New Roman" w:eastAsia="方正仿宋_GBK" w:cs="Times New Roman"/>
          <w:color w:val="auto"/>
          <w:spacing w:val="-2"/>
          <w:sz w:val="32"/>
          <w:szCs w:val="32"/>
          <w:u w:val="single" w:color="auto"/>
          <w:lang w:val="en-US" w:eastAsia="zh-CN"/>
        </w:rPr>
        <w:t>公司</w:t>
      </w:r>
    </w:p>
    <w:p w14:paraId="70A80A43">
      <w:pPr>
        <w:keepNext w:val="0"/>
        <w:keepLines w:val="0"/>
        <w:pageBreakBefore w:val="0"/>
        <w:widowControl/>
        <w:kinsoku w:val="0"/>
        <w:wordWrap/>
        <w:overflowPunct/>
        <w:topLinePunct w:val="0"/>
        <w:autoSpaceDE w:val="0"/>
        <w:autoSpaceDN w:val="0"/>
        <w:bidi w:val="0"/>
        <w:adjustRightInd/>
        <w:snapToGrid/>
        <w:spacing w:line="360" w:lineRule="auto"/>
        <w:jc w:val="both"/>
        <w:textAlignment w:val="baseline"/>
        <w:rPr>
          <w:rFonts w:hint="default" w:ascii="Times New Roman" w:hAnsi="Times New Roman" w:eastAsia="方正仿宋_GBK" w:cs="Times New Roman"/>
          <w:b w:val="0"/>
          <w:bCs w:val="0"/>
          <w:color w:val="auto"/>
          <w:spacing w:val="2"/>
          <w:sz w:val="32"/>
          <w:szCs w:val="32"/>
          <w:lang w:val="en-US" w:eastAsia="zh-CN"/>
        </w:rPr>
      </w:pPr>
    </w:p>
    <w:p w14:paraId="3801C21D">
      <w:pPr>
        <w:keepNext w:val="0"/>
        <w:keepLines w:val="0"/>
        <w:pageBreakBefore w:val="0"/>
        <w:widowControl/>
        <w:kinsoku w:val="0"/>
        <w:wordWrap/>
        <w:overflowPunct/>
        <w:topLinePunct w:val="0"/>
        <w:autoSpaceDE w:val="0"/>
        <w:autoSpaceDN w:val="0"/>
        <w:bidi w:val="0"/>
        <w:adjustRightInd/>
        <w:snapToGrid/>
        <w:spacing w:line="360" w:lineRule="auto"/>
        <w:jc w:val="center"/>
        <w:textAlignment w:val="baseline"/>
        <w:rPr>
          <w:rFonts w:hint="default" w:ascii="Times New Roman" w:hAnsi="Times New Roman" w:eastAsia="方正仿宋_GBK" w:cs="Times New Roman"/>
          <w:b w:val="0"/>
          <w:bCs w:val="0"/>
          <w:color w:val="auto"/>
          <w:spacing w:val="-3"/>
          <w:sz w:val="32"/>
          <w:szCs w:val="32"/>
        </w:rPr>
      </w:pPr>
      <w:r>
        <w:rPr>
          <w:rFonts w:hint="eastAsia" w:ascii="Times New Roman" w:hAnsi="Times New Roman" w:eastAsia="方正仿宋_GBK" w:cs="Times New Roman"/>
          <w:b w:val="0"/>
          <w:bCs w:val="0"/>
          <w:color w:val="auto"/>
          <w:spacing w:val="2"/>
          <w:sz w:val="32"/>
          <w:szCs w:val="32"/>
          <w:lang w:val="en-US" w:eastAsia="zh-CN"/>
        </w:rPr>
        <w:t>2026</w:t>
      </w:r>
      <w:r>
        <w:rPr>
          <w:rFonts w:hint="default" w:ascii="Times New Roman" w:hAnsi="Times New Roman" w:eastAsia="方正仿宋_GBK" w:cs="Times New Roman"/>
          <w:b w:val="0"/>
          <w:bCs w:val="0"/>
          <w:color w:val="auto"/>
          <w:spacing w:val="2"/>
          <w:sz w:val="32"/>
          <w:szCs w:val="32"/>
          <w:lang w:val="en-US" w:eastAsia="zh-CN"/>
        </w:rPr>
        <w:t>年</w:t>
      </w:r>
      <w:r>
        <w:rPr>
          <w:rFonts w:hint="eastAsia" w:ascii="Times New Roman" w:hAnsi="Times New Roman" w:eastAsia="方正仿宋_GBK" w:cs="Times New Roman"/>
          <w:b w:val="0"/>
          <w:bCs w:val="0"/>
          <w:color w:val="auto"/>
          <w:spacing w:val="2"/>
          <w:sz w:val="32"/>
          <w:szCs w:val="32"/>
          <w:lang w:val="en-US" w:eastAsia="zh-CN"/>
        </w:rPr>
        <w:t>X</w:t>
      </w:r>
      <w:r>
        <w:rPr>
          <w:rFonts w:hint="default" w:ascii="Times New Roman" w:hAnsi="Times New Roman" w:eastAsia="方正仿宋_GBK" w:cs="Times New Roman"/>
          <w:b w:val="0"/>
          <w:bCs w:val="0"/>
          <w:color w:val="auto"/>
          <w:spacing w:val="2"/>
          <w:sz w:val="32"/>
          <w:szCs w:val="32"/>
          <w:lang w:val="en-US" w:eastAsia="zh-CN"/>
        </w:rPr>
        <w:t>月</w:t>
      </w:r>
    </w:p>
    <w:p w14:paraId="76DB25E7">
      <w:pPr>
        <w:keepNext w:val="0"/>
        <w:keepLines w:val="0"/>
        <w:pageBreakBefore w:val="0"/>
        <w:widowControl/>
        <w:kinsoku w:val="0"/>
        <w:wordWrap/>
        <w:overflowPunct/>
        <w:topLinePunct w:val="0"/>
        <w:autoSpaceDE w:val="0"/>
        <w:autoSpaceDN w:val="0"/>
        <w:bidi w:val="0"/>
        <w:adjustRightInd/>
        <w:snapToGrid/>
        <w:spacing w:line="360" w:lineRule="auto"/>
        <w:ind w:right="0"/>
        <w:textAlignment w:val="baseline"/>
        <w:rPr>
          <w:rFonts w:hint="eastAsia" w:ascii="Times New Roman" w:hAnsi="Times New Roman" w:eastAsia="华文仿宋" w:cs="Times New Roman"/>
          <w:color w:val="auto"/>
          <w:sz w:val="28"/>
          <w:szCs w:val="28"/>
          <w:highlight w:val="yellow"/>
          <w:lang w:val="en-US" w:eastAsia="zh-CN"/>
        </w:rPr>
      </w:pPr>
    </w:p>
    <w:p w14:paraId="33FFB4FD">
      <w:pPr>
        <w:pStyle w:val="3"/>
        <w:keepNext w:val="0"/>
        <w:keepLines w:val="0"/>
        <w:pageBreakBefore w:val="0"/>
        <w:widowControl/>
        <w:tabs>
          <w:tab w:val="left" w:pos="5170"/>
        </w:tabs>
        <w:kinsoku w:val="0"/>
        <w:wordWrap/>
        <w:overflowPunct/>
        <w:topLinePunct w:val="0"/>
        <w:autoSpaceDE w:val="0"/>
        <w:autoSpaceDN w:val="0"/>
        <w:bidi w:val="0"/>
        <w:adjustRightInd w:val="0"/>
        <w:snapToGrid w:val="0"/>
        <w:spacing w:before="97" w:line="560" w:lineRule="exact"/>
        <w:ind w:right="249" w:firstLine="560" w:firstLineChars="200"/>
        <w:textAlignment w:val="baseline"/>
        <w:rPr>
          <w:rFonts w:hint="default"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zh-CN" w:bidi="ar-SA"/>
        </w:rPr>
        <w:t>铜川市</w:t>
      </w:r>
      <w:r>
        <w:rPr>
          <w:rFonts w:hint="default" w:ascii="Times New Roman" w:hAnsi="Times New Roman" w:eastAsia="方正仿宋_GBK" w:cs="Times New Roman"/>
          <w:snapToGrid w:val="0"/>
          <w:color w:val="auto"/>
          <w:kern w:val="0"/>
          <w:sz w:val="28"/>
          <w:szCs w:val="28"/>
          <w:lang w:val="en-US" w:eastAsia="en-US" w:bidi="ar-SA"/>
        </w:rPr>
        <w:t>消防救援</w:t>
      </w:r>
      <w:r>
        <w:rPr>
          <w:rFonts w:hint="eastAsia" w:ascii="Times New Roman" w:hAnsi="Times New Roman" w:eastAsia="方正仿宋_GBK" w:cs="Times New Roman"/>
          <w:snapToGrid w:val="0"/>
          <w:color w:val="auto"/>
          <w:kern w:val="0"/>
          <w:sz w:val="28"/>
          <w:szCs w:val="28"/>
          <w:lang w:val="en-US" w:eastAsia="zh-CN" w:bidi="ar-SA"/>
        </w:rPr>
        <w:t>支</w:t>
      </w:r>
      <w:r>
        <w:rPr>
          <w:rFonts w:hint="default" w:ascii="Times New Roman" w:hAnsi="Times New Roman" w:eastAsia="方正仿宋_GBK" w:cs="Times New Roman"/>
          <w:snapToGrid w:val="0"/>
          <w:color w:val="auto"/>
          <w:kern w:val="0"/>
          <w:sz w:val="28"/>
          <w:szCs w:val="28"/>
          <w:lang w:val="en-US" w:eastAsia="en-US" w:bidi="ar-SA"/>
        </w:rPr>
        <w:t>队2025年消防装备采购项目（第</w:t>
      </w:r>
      <w:r>
        <w:rPr>
          <w:rFonts w:hint="eastAsia" w:ascii="Times New Roman" w:hAnsi="Times New Roman" w:eastAsia="方正仿宋_GBK" w:cs="Times New Roman"/>
          <w:snapToGrid w:val="0"/>
          <w:color w:val="auto"/>
          <w:kern w:val="0"/>
          <w:sz w:val="28"/>
          <w:szCs w:val="28"/>
          <w:lang w:val="en-US" w:eastAsia="zh-CN" w:bidi="ar-SA"/>
        </w:rPr>
        <w:t>X</w:t>
      </w:r>
      <w:r>
        <w:rPr>
          <w:rFonts w:hint="default" w:ascii="Times New Roman" w:hAnsi="Times New Roman" w:eastAsia="方正仿宋_GBK" w:cs="Times New Roman"/>
          <w:snapToGrid w:val="0"/>
          <w:color w:val="auto"/>
          <w:kern w:val="0"/>
          <w:sz w:val="28"/>
          <w:szCs w:val="28"/>
          <w:lang w:val="en-US" w:eastAsia="en-US" w:bidi="ar-SA"/>
        </w:rPr>
        <w:t>批次），在财政部</w:t>
      </w:r>
      <w:r>
        <w:rPr>
          <w:rFonts w:hint="eastAsia" w:ascii="Times New Roman" w:hAnsi="Times New Roman" w:eastAsia="方正仿宋_GBK" w:cs="Times New Roman"/>
          <w:snapToGrid w:val="0"/>
          <w:color w:val="auto"/>
          <w:kern w:val="0"/>
          <w:sz w:val="28"/>
          <w:szCs w:val="28"/>
          <w:lang w:val="en-US" w:eastAsia="zh-CN" w:bidi="ar-SA"/>
        </w:rPr>
        <w:t>门</w:t>
      </w:r>
      <w:r>
        <w:rPr>
          <w:rFonts w:hint="default" w:ascii="Times New Roman" w:hAnsi="Times New Roman" w:eastAsia="方正仿宋_GBK" w:cs="Times New Roman"/>
          <w:snapToGrid w:val="0"/>
          <w:color w:val="auto"/>
          <w:kern w:val="0"/>
          <w:sz w:val="28"/>
          <w:szCs w:val="28"/>
          <w:lang w:val="en-US" w:eastAsia="en-US" w:bidi="ar-SA"/>
        </w:rPr>
        <w:t>监督下，由</w:t>
      </w:r>
      <w:r>
        <w:rPr>
          <w:rFonts w:hint="eastAsia" w:ascii="方正仿宋_GBK" w:hAnsi="方正仿宋_GBK" w:eastAsia="方正仿宋_GBK" w:cs="方正仿宋_GBK"/>
          <w:color w:val="auto"/>
          <w:sz w:val="28"/>
          <w:szCs w:val="28"/>
          <w:u w:val="single"/>
        </w:rPr>
        <w:t>陕西省</w:t>
      </w:r>
      <w:r>
        <w:rPr>
          <w:rFonts w:hint="eastAsia" w:ascii="方正仿宋_GBK" w:hAnsi="方正仿宋_GBK" w:eastAsia="方正仿宋_GBK" w:cs="方正仿宋_GBK"/>
          <w:color w:val="auto"/>
          <w:sz w:val="28"/>
          <w:szCs w:val="28"/>
          <w:u w:val="single"/>
          <w:lang w:val="en-US" w:eastAsia="zh-CN"/>
        </w:rPr>
        <w:t>铜川市</w:t>
      </w:r>
      <w:r>
        <w:rPr>
          <w:rFonts w:hint="eastAsia" w:ascii="方正仿宋_GBK" w:hAnsi="方正仿宋_GBK" w:eastAsia="方正仿宋_GBK" w:cs="方正仿宋_GBK"/>
          <w:color w:val="auto"/>
          <w:sz w:val="28"/>
          <w:szCs w:val="28"/>
          <w:u w:val="single"/>
        </w:rPr>
        <w:t>政府采购中心</w:t>
      </w:r>
      <w:r>
        <w:rPr>
          <w:rFonts w:hint="default" w:ascii="Times New Roman" w:hAnsi="Times New Roman" w:eastAsia="方正仿宋_GBK" w:cs="Times New Roman"/>
          <w:snapToGrid w:val="0"/>
          <w:color w:val="auto"/>
          <w:kern w:val="0"/>
          <w:sz w:val="28"/>
          <w:szCs w:val="28"/>
          <w:lang w:val="en-US" w:eastAsia="en-US" w:bidi="ar-SA"/>
        </w:rPr>
        <w:t>组织公开招标，选定</w:t>
      </w:r>
      <w:r>
        <w:rPr>
          <w:rFonts w:hint="eastAsia" w:ascii="Times New Roman" w:hAnsi="Times New Roman" w:eastAsia="方正仿宋_GBK" w:cs="Times New Roman"/>
          <w:snapToGrid w:val="0"/>
          <w:color w:val="auto"/>
          <w:kern w:val="0"/>
          <w:sz w:val="28"/>
          <w:szCs w:val="28"/>
          <w:u w:val="single"/>
          <w:lang w:val="en-US" w:eastAsia="zh-CN" w:bidi="ar-SA"/>
        </w:rPr>
        <w:t>XXXXXX</w:t>
      </w:r>
      <w:r>
        <w:rPr>
          <w:rFonts w:hint="default" w:ascii="Times New Roman" w:hAnsi="Times New Roman" w:eastAsia="方正仿宋_GBK" w:cs="Times New Roman"/>
          <w:snapToGrid w:val="0"/>
          <w:color w:val="auto"/>
          <w:kern w:val="0"/>
          <w:sz w:val="28"/>
          <w:szCs w:val="28"/>
          <w:u w:val="single"/>
          <w:lang w:val="en-US" w:eastAsia="zh-CN" w:bidi="ar-SA"/>
        </w:rPr>
        <w:t>公司</w:t>
      </w:r>
      <w:r>
        <w:rPr>
          <w:rFonts w:hint="default" w:ascii="Times New Roman" w:hAnsi="Times New Roman" w:eastAsia="方正仿宋_GBK" w:cs="Times New Roman"/>
          <w:snapToGrid w:val="0"/>
          <w:color w:val="auto"/>
          <w:kern w:val="0"/>
          <w:sz w:val="28"/>
          <w:szCs w:val="28"/>
          <w:lang w:val="en-US" w:eastAsia="en-US" w:bidi="ar-SA"/>
        </w:rPr>
        <w:t>为</w:t>
      </w:r>
      <w:r>
        <w:rPr>
          <w:rFonts w:hint="eastAsia" w:ascii="Times New Roman" w:hAnsi="Times New Roman" w:eastAsia="方正仿宋_GBK" w:cs="Times New Roman"/>
          <w:snapToGrid w:val="0"/>
          <w:color w:val="auto"/>
          <w:kern w:val="0"/>
          <w:sz w:val="28"/>
          <w:szCs w:val="28"/>
          <w:lang w:val="en-US" w:eastAsia="zh-CN" w:bidi="ar-SA"/>
        </w:rPr>
        <w:t>（第X批次）</w:t>
      </w:r>
      <w:r>
        <w:rPr>
          <w:rFonts w:hint="default" w:ascii="Times New Roman" w:hAnsi="Times New Roman" w:eastAsia="方正仿宋_GBK" w:cs="Times New Roman"/>
          <w:snapToGrid w:val="0"/>
          <w:color w:val="auto"/>
          <w:kern w:val="0"/>
          <w:sz w:val="28"/>
          <w:szCs w:val="28"/>
          <w:lang w:val="en-US" w:eastAsia="en-US" w:bidi="ar-SA"/>
        </w:rPr>
        <w:t>中标人。经甲、乙双方共同协商，达成如下合同条款。</w:t>
      </w:r>
    </w:p>
    <w:p w14:paraId="13A9A7CF">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leftChars="0" w:firstLine="640" w:firstLineChars="200"/>
        <w:textAlignment w:val="baseline"/>
        <w:outlineLvl w:val="5"/>
        <w:rPr>
          <w:rFonts w:hint="default" w:ascii="Times New Roman" w:hAnsi="Times New Roman" w:eastAsia="方正黑体_GBK" w:cs="Times New Roman"/>
          <w:b w:val="0"/>
          <w:bCs w:val="0"/>
          <w:snapToGrid w:val="0"/>
          <w:color w:val="auto"/>
          <w:kern w:val="0"/>
          <w:sz w:val="32"/>
          <w:szCs w:val="32"/>
          <w:lang w:val="en-US" w:eastAsia="zh-CN" w:bidi="ar-SA"/>
        </w:rPr>
      </w:pPr>
      <w:bookmarkStart w:id="1" w:name="一、合同内容"/>
      <w:bookmarkEnd w:id="1"/>
      <w:r>
        <w:rPr>
          <w:rFonts w:hint="default" w:ascii="Times New Roman" w:hAnsi="Times New Roman" w:eastAsia="方正黑体_GBK" w:cs="Times New Roman"/>
          <w:b w:val="0"/>
          <w:bCs w:val="0"/>
          <w:snapToGrid w:val="0"/>
          <w:color w:val="auto"/>
          <w:kern w:val="0"/>
          <w:sz w:val="32"/>
          <w:szCs w:val="32"/>
          <w:lang w:val="en-US" w:eastAsia="zh-CN" w:bidi="ar-SA"/>
        </w:rPr>
        <w:t>一、合同内容</w:t>
      </w:r>
    </w:p>
    <w:p w14:paraId="417ADCE4">
      <w:pPr>
        <w:pStyle w:val="3"/>
        <w:keepNext w:val="0"/>
        <w:keepLines w:val="0"/>
        <w:pageBreakBefore w:val="0"/>
        <w:widowControl/>
        <w:tabs>
          <w:tab w:val="left" w:pos="5170"/>
        </w:tabs>
        <w:kinsoku w:val="0"/>
        <w:wordWrap/>
        <w:overflowPunct/>
        <w:topLinePunct w:val="0"/>
        <w:autoSpaceDE w:val="0"/>
        <w:autoSpaceDN w:val="0"/>
        <w:bidi w:val="0"/>
        <w:adjustRightInd w:val="0"/>
        <w:snapToGrid w:val="0"/>
        <w:spacing w:before="97" w:line="560" w:lineRule="exact"/>
        <w:ind w:right="249" w:firstLine="560" w:firstLineChars="200"/>
        <w:textAlignment w:val="baseline"/>
        <w:rPr>
          <w:rFonts w:hint="default" w:ascii="Times New Roman" w:hAnsi="Times New Roman" w:eastAsia="方正仿宋_GBK" w:cs="Times New Roman"/>
          <w:snapToGrid w:val="0"/>
          <w:color w:val="auto"/>
          <w:kern w:val="0"/>
          <w:sz w:val="28"/>
          <w:szCs w:val="28"/>
          <w:lang w:val="en-US" w:eastAsia="en-US" w:bidi="ar-SA"/>
        </w:rPr>
      </w:pPr>
      <w:r>
        <w:rPr>
          <w:rFonts w:hint="default" w:ascii="Times New Roman" w:hAnsi="Times New Roman" w:eastAsia="方正仿宋_GBK" w:cs="Times New Roman"/>
          <w:snapToGrid w:val="0"/>
          <w:color w:val="auto"/>
          <w:kern w:val="0"/>
          <w:sz w:val="28"/>
          <w:szCs w:val="28"/>
          <w:lang w:val="en-US" w:eastAsia="en-US" w:bidi="ar-SA"/>
        </w:rPr>
        <w:t>l、乙方负责按合同中确定的设备名称、设备品牌、制造商、规格型号、数量及配套内容进行供货；按时运到甲方指定的交货地点，负责产品到货后安装调试工作，达到正常使用；负责做好售后服务工作。</w:t>
      </w:r>
    </w:p>
    <w:p w14:paraId="0988A714">
      <w:pPr>
        <w:pStyle w:val="3"/>
        <w:keepNext w:val="0"/>
        <w:keepLines w:val="0"/>
        <w:pageBreakBefore w:val="0"/>
        <w:widowControl/>
        <w:tabs>
          <w:tab w:val="left" w:pos="5170"/>
        </w:tabs>
        <w:kinsoku w:val="0"/>
        <w:wordWrap/>
        <w:overflowPunct/>
        <w:topLinePunct w:val="0"/>
        <w:autoSpaceDE w:val="0"/>
        <w:autoSpaceDN w:val="0"/>
        <w:bidi w:val="0"/>
        <w:adjustRightInd w:val="0"/>
        <w:snapToGrid w:val="0"/>
        <w:spacing w:before="97" w:line="560" w:lineRule="exact"/>
        <w:ind w:right="249" w:firstLine="560" w:firstLineChars="200"/>
        <w:textAlignment w:val="baseline"/>
        <w:rPr>
          <w:rFonts w:hint="default" w:ascii="Times New Roman" w:hAnsi="Times New Roman" w:eastAsia="方正仿宋_GBK" w:cs="Times New Roman"/>
          <w:snapToGrid w:val="0"/>
          <w:color w:val="auto"/>
          <w:kern w:val="0"/>
          <w:sz w:val="28"/>
          <w:szCs w:val="28"/>
          <w:lang w:val="en-US" w:eastAsia="en-US" w:bidi="ar-SA"/>
        </w:rPr>
      </w:pPr>
      <w:r>
        <w:rPr>
          <w:rFonts w:hint="default" w:ascii="Times New Roman" w:hAnsi="Times New Roman" w:eastAsia="方正仿宋_GBK" w:cs="Times New Roman"/>
          <w:snapToGrid w:val="0"/>
          <w:color w:val="auto"/>
          <w:kern w:val="0"/>
          <w:sz w:val="28"/>
          <w:szCs w:val="28"/>
          <w:lang w:val="en-US" w:eastAsia="en-US" w:bidi="ar-SA"/>
        </w:rPr>
        <w:t>2、招标文件、乙方的投标文件及评标过程中的澄清、承诺内容均作为本合同的组成部分，具有同等法律效力。</w:t>
      </w:r>
    </w:p>
    <w:p w14:paraId="375369D4">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leftChars="0" w:firstLine="640" w:firstLineChars="200"/>
        <w:textAlignment w:val="baseline"/>
        <w:outlineLvl w:val="5"/>
        <w:rPr>
          <w:rFonts w:hint="default" w:ascii="Times New Roman" w:hAnsi="Times New Roman" w:eastAsia="方正黑体_GBK" w:cs="Times New Roman"/>
          <w:b w:val="0"/>
          <w:bCs w:val="0"/>
          <w:snapToGrid w:val="0"/>
          <w:color w:val="auto"/>
          <w:kern w:val="0"/>
          <w:sz w:val="32"/>
          <w:szCs w:val="32"/>
          <w:lang w:val="en-US" w:eastAsia="zh-CN" w:bidi="ar-SA"/>
        </w:rPr>
      </w:pPr>
      <w:bookmarkStart w:id="2" w:name="二、合同价款及质保期"/>
      <w:bookmarkEnd w:id="2"/>
      <w:r>
        <w:rPr>
          <w:rFonts w:hint="default" w:ascii="Times New Roman" w:hAnsi="Times New Roman" w:eastAsia="方正黑体_GBK" w:cs="Times New Roman"/>
          <w:b w:val="0"/>
          <w:bCs w:val="0"/>
          <w:snapToGrid w:val="0"/>
          <w:color w:val="auto"/>
          <w:kern w:val="0"/>
          <w:sz w:val="32"/>
          <w:szCs w:val="32"/>
          <w:lang w:val="en-US" w:eastAsia="zh-CN" w:bidi="ar-SA"/>
        </w:rPr>
        <w:t>二、合同价款及质保期</w:t>
      </w:r>
    </w:p>
    <w:p w14:paraId="603D8F1C">
      <w:pPr>
        <w:pStyle w:val="3"/>
        <w:keepNext w:val="0"/>
        <w:keepLines w:val="0"/>
        <w:pageBreakBefore w:val="0"/>
        <w:widowControl/>
        <w:tabs>
          <w:tab w:val="left" w:pos="5170"/>
        </w:tabs>
        <w:kinsoku w:val="0"/>
        <w:wordWrap/>
        <w:overflowPunct/>
        <w:topLinePunct w:val="0"/>
        <w:autoSpaceDE w:val="0"/>
        <w:autoSpaceDN w:val="0"/>
        <w:bidi w:val="0"/>
        <w:adjustRightInd w:val="0"/>
        <w:snapToGrid w:val="0"/>
        <w:spacing w:before="97" w:line="560" w:lineRule="exact"/>
        <w:ind w:right="249" w:firstLine="560" w:firstLineChars="200"/>
        <w:textAlignment w:val="baseline"/>
        <w:rPr>
          <w:rFonts w:hint="default" w:ascii="Times New Roman" w:hAnsi="Times New Roman" w:eastAsia="方正仿宋_GBK" w:cs="Times New Roman"/>
          <w:snapToGrid w:val="0"/>
          <w:color w:val="auto"/>
          <w:kern w:val="0"/>
          <w:sz w:val="28"/>
          <w:szCs w:val="28"/>
          <w:lang w:val="en-US" w:eastAsia="en-US" w:bidi="ar-SA"/>
        </w:rPr>
      </w:pPr>
      <w:r>
        <w:rPr>
          <w:rFonts w:hint="default" w:ascii="Times New Roman" w:hAnsi="Times New Roman" w:eastAsia="方正仿宋_GBK" w:cs="Times New Roman"/>
          <w:snapToGrid w:val="0"/>
          <w:color w:val="auto"/>
          <w:kern w:val="0"/>
          <w:sz w:val="28"/>
          <w:szCs w:val="28"/>
          <w:lang w:val="en-US" w:eastAsia="en-US" w:bidi="ar-SA"/>
        </w:rPr>
        <w:t>1、合同总价：</w:t>
      </w:r>
      <w:r>
        <w:rPr>
          <w:rFonts w:hint="eastAsia" w:ascii="Times New Roman" w:hAnsi="Times New Roman" w:eastAsia="方正仿宋_GBK" w:cs="Times New Roman"/>
          <w:snapToGrid w:val="0"/>
          <w:color w:val="auto"/>
          <w:kern w:val="0"/>
          <w:sz w:val="28"/>
          <w:szCs w:val="28"/>
          <w:lang w:val="en-US" w:eastAsia="zh-CN" w:bidi="ar-SA"/>
        </w:rPr>
        <w:t>00</w:t>
      </w:r>
      <w:r>
        <w:rPr>
          <w:rFonts w:hint="eastAsia" w:ascii="Times New Roman" w:hAnsi="Times New Roman" w:eastAsia="方正仿宋_GBK" w:cs="Times New Roman"/>
          <w:snapToGrid w:val="0"/>
          <w:color w:val="auto"/>
          <w:kern w:val="0"/>
          <w:sz w:val="28"/>
          <w:szCs w:val="28"/>
          <w:u w:val="single"/>
          <w:lang w:val="en-US" w:eastAsia="zh-CN" w:bidi="ar-SA"/>
        </w:rPr>
        <w:t>00.00元</w:t>
      </w:r>
      <w:r>
        <w:rPr>
          <w:rFonts w:hint="eastAsia" w:ascii="Times New Roman" w:hAnsi="Times New Roman" w:eastAsia="方正仿宋_GBK" w:cs="Times New Roman"/>
          <w:snapToGrid w:val="0"/>
          <w:color w:val="auto"/>
          <w:kern w:val="0"/>
          <w:sz w:val="28"/>
          <w:szCs w:val="28"/>
          <w:u w:val="none"/>
          <w:lang w:val="en-US" w:eastAsia="zh-CN" w:bidi="ar-SA"/>
        </w:rPr>
        <w:t xml:space="preserve">                               </w:t>
      </w:r>
      <w:r>
        <w:rPr>
          <w:rFonts w:hint="default" w:ascii="Times New Roman" w:hAnsi="Times New Roman" w:eastAsia="方正仿宋_GBK" w:cs="Times New Roman"/>
          <w:snapToGrid w:val="0"/>
          <w:color w:val="auto"/>
          <w:kern w:val="0"/>
          <w:sz w:val="28"/>
          <w:szCs w:val="28"/>
          <w:lang w:val="en-US" w:eastAsia="en-US" w:bidi="ar-SA"/>
        </w:rPr>
        <w:t>单位：元</w:t>
      </w:r>
    </w:p>
    <w:tbl>
      <w:tblPr>
        <w:tblStyle w:val="4"/>
        <w:tblW w:w="9417" w:type="dxa"/>
        <w:tblInd w:w="-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25"/>
        <w:gridCol w:w="1000"/>
        <w:gridCol w:w="1884"/>
        <w:gridCol w:w="1133"/>
        <w:gridCol w:w="667"/>
        <w:gridCol w:w="800"/>
        <w:gridCol w:w="633"/>
        <w:gridCol w:w="1017"/>
        <w:gridCol w:w="1058"/>
      </w:tblGrid>
      <w:tr w14:paraId="459582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42" w:hRule="atLeast"/>
        </w:trPr>
        <w:tc>
          <w:tcPr>
            <w:tcW w:w="1225" w:type="dxa"/>
            <w:vAlign w:val="center"/>
          </w:tcPr>
          <w:p w14:paraId="17F1F4C5">
            <w:pPr>
              <w:pStyle w:val="6"/>
              <w:keepNext w:val="0"/>
              <w:keepLines w:val="0"/>
              <w:pageBreakBefore w:val="0"/>
              <w:widowControl/>
              <w:kinsoku w:val="0"/>
              <w:wordWrap/>
              <w:overflowPunct/>
              <w:topLinePunct w:val="0"/>
              <w:autoSpaceDE w:val="0"/>
              <w:autoSpaceDN w:val="0"/>
              <w:bidi w:val="0"/>
              <w:spacing w:line="560" w:lineRule="exact"/>
              <w:jc w:val="center"/>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设备名称</w:t>
            </w:r>
          </w:p>
        </w:tc>
        <w:tc>
          <w:tcPr>
            <w:tcW w:w="1000" w:type="dxa"/>
            <w:vAlign w:val="center"/>
          </w:tcPr>
          <w:p w14:paraId="624CCC1D">
            <w:pPr>
              <w:pStyle w:val="6"/>
              <w:keepNext w:val="0"/>
              <w:keepLines w:val="0"/>
              <w:pageBreakBefore w:val="0"/>
              <w:widowControl/>
              <w:kinsoku w:val="0"/>
              <w:wordWrap/>
              <w:overflowPunct/>
              <w:topLinePunct w:val="0"/>
              <w:autoSpaceDE w:val="0"/>
              <w:autoSpaceDN w:val="0"/>
              <w:bidi w:val="0"/>
              <w:spacing w:before="160" w:line="560" w:lineRule="exact"/>
              <w:ind w:right="343"/>
              <w:jc w:val="center"/>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设备品牌</w:t>
            </w:r>
          </w:p>
        </w:tc>
        <w:tc>
          <w:tcPr>
            <w:tcW w:w="1884" w:type="dxa"/>
            <w:vAlign w:val="center"/>
          </w:tcPr>
          <w:p w14:paraId="2629947F">
            <w:pPr>
              <w:pStyle w:val="6"/>
              <w:keepNext w:val="0"/>
              <w:keepLines w:val="0"/>
              <w:pageBreakBefore w:val="0"/>
              <w:widowControl/>
              <w:kinsoku w:val="0"/>
              <w:wordWrap/>
              <w:overflowPunct/>
              <w:topLinePunct w:val="0"/>
              <w:autoSpaceDE w:val="0"/>
              <w:autoSpaceDN w:val="0"/>
              <w:bidi w:val="0"/>
              <w:spacing w:line="560" w:lineRule="exact"/>
              <w:jc w:val="center"/>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制造商</w:t>
            </w:r>
          </w:p>
        </w:tc>
        <w:tc>
          <w:tcPr>
            <w:tcW w:w="1133" w:type="dxa"/>
            <w:vAlign w:val="center"/>
          </w:tcPr>
          <w:p w14:paraId="15DEA0D7">
            <w:pPr>
              <w:pStyle w:val="6"/>
              <w:keepNext w:val="0"/>
              <w:keepLines w:val="0"/>
              <w:pageBreakBefore w:val="0"/>
              <w:widowControl/>
              <w:kinsoku w:val="0"/>
              <w:wordWrap/>
              <w:overflowPunct/>
              <w:topLinePunct w:val="0"/>
              <w:autoSpaceDE w:val="0"/>
              <w:autoSpaceDN w:val="0"/>
              <w:bidi w:val="0"/>
              <w:spacing w:before="160" w:line="560" w:lineRule="exact"/>
              <w:ind w:left="241" w:right="231"/>
              <w:jc w:val="center"/>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规格型号</w:t>
            </w:r>
          </w:p>
        </w:tc>
        <w:tc>
          <w:tcPr>
            <w:tcW w:w="667" w:type="dxa"/>
            <w:vAlign w:val="center"/>
          </w:tcPr>
          <w:p w14:paraId="443153E8">
            <w:pPr>
              <w:pStyle w:val="6"/>
              <w:keepNext w:val="0"/>
              <w:keepLines w:val="0"/>
              <w:pageBreakBefore w:val="0"/>
              <w:widowControl/>
              <w:kinsoku w:val="0"/>
              <w:wordWrap/>
              <w:overflowPunct/>
              <w:topLinePunct w:val="0"/>
              <w:autoSpaceDE w:val="0"/>
              <w:autoSpaceDN w:val="0"/>
              <w:bidi w:val="0"/>
              <w:spacing w:line="560" w:lineRule="exact"/>
              <w:jc w:val="center"/>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单位</w:t>
            </w:r>
          </w:p>
        </w:tc>
        <w:tc>
          <w:tcPr>
            <w:tcW w:w="800" w:type="dxa"/>
            <w:vAlign w:val="center"/>
          </w:tcPr>
          <w:p w14:paraId="30DC3900">
            <w:pPr>
              <w:pStyle w:val="6"/>
              <w:keepNext w:val="0"/>
              <w:keepLines w:val="0"/>
              <w:pageBreakBefore w:val="0"/>
              <w:widowControl/>
              <w:kinsoku w:val="0"/>
              <w:wordWrap/>
              <w:overflowPunct/>
              <w:topLinePunct w:val="0"/>
              <w:autoSpaceDE w:val="0"/>
              <w:autoSpaceDN w:val="0"/>
              <w:bidi w:val="0"/>
              <w:spacing w:line="560" w:lineRule="exact"/>
              <w:jc w:val="center"/>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数量</w:t>
            </w:r>
          </w:p>
        </w:tc>
        <w:tc>
          <w:tcPr>
            <w:tcW w:w="633" w:type="dxa"/>
            <w:vAlign w:val="center"/>
          </w:tcPr>
          <w:p w14:paraId="0D597992">
            <w:pPr>
              <w:pStyle w:val="6"/>
              <w:keepNext w:val="0"/>
              <w:keepLines w:val="0"/>
              <w:pageBreakBefore w:val="0"/>
              <w:widowControl/>
              <w:kinsoku w:val="0"/>
              <w:wordWrap/>
              <w:overflowPunct/>
              <w:topLinePunct w:val="0"/>
              <w:autoSpaceDE w:val="0"/>
              <w:autoSpaceDN w:val="0"/>
              <w:bidi w:val="0"/>
              <w:spacing w:line="560" w:lineRule="exact"/>
              <w:jc w:val="center"/>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单价</w:t>
            </w:r>
          </w:p>
        </w:tc>
        <w:tc>
          <w:tcPr>
            <w:tcW w:w="1017" w:type="dxa"/>
            <w:vAlign w:val="center"/>
          </w:tcPr>
          <w:p w14:paraId="75A0E05D">
            <w:pPr>
              <w:pStyle w:val="6"/>
              <w:keepNext w:val="0"/>
              <w:keepLines w:val="0"/>
              <w:pageBreakBefore w:val="0"/>
              <w:widowControl/>
              <w:kinsoku w:val="0"/>
              <w:wordWrap/>
              <w:overflowPunct/>
              <w:topLinePunct w:val="0"/>
              <w:autoSpaceDE w:val="0"/>
              <w:autoSpaceDN w:val="0"/>
              <w:bidi w:val="0"/>
              <w:spacing w:before="160" w:line="560" w:lineRule="exact"/>
              <w:ind w:left="168" w:right="161"/>
              <w:jc w:val="center"/>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合计</w:t>
            </w:r>
          </w:p>
        </w:tc>
        <w:tc>
          <w:tcPr>
            <w:tcW w:w="1058" w:type="dxa"/>
            <w:vAlign w:val="center"/>
          </w:tcPr>
          <w:p w14:paraId="3B387539">
            <w:pPr>
              <w:pStyle w:val="6"/>
              <w:keepNext w:val="0"/>
              <w:keepLines w:val="0"/>
              <w:pageBreakBefore w:val="0"/>
              <w:widowControl/>
              <w:kinsoku w:val="0"/>
              <w:wordWrap/>
              <w:overflowPunct/>
              <w:topLinePunct w:val="0"/>
              <w:autoSpaceDE w:val="0"/>
              <w:autoSpaceDN w:val="0"/>
              <w:bidi w:val="0"/>
              <w:spacing w:line="560" w:lineRule="exact"/>
              <w:jc w:val="center"/>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质保期</w:t>
            </w:r>
          </w:p>
        </w:tc>
      </w:tr>
      <w:tr w14:paraId="28D84A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1225" w:type="dxa"/>
            <w:vAlign w:val="center"/>
          </w:tcPr>
          <w:p w14:paraId="548DC19B">
            <w:pPr>
              <w:keepNext w:val="0"/>
              <w:keepLines w:val="0"/>
              <w:pageBreakBefore w:val="0"/>
              <w:widowControl/>
              <w:suppressLineNumbers w:val="0"/>
              <w:wordWrap/>
              <w:overflowPunct/>
              <w:topLinePunct w:val="0"/>
              <w:bidi w:val="0"/>
              <w:spacing w:line="560" w:lineRule="exact"/>
              <w:jc w:val="center"/>
              <w:rPr>
                <w:rFonts w:hint="default" w:ascii="Times New Roman" w:hAnsi="Times New Roman" w:eastAsia="方正仿宋_GBK" w:cs="Times New Roman"/>
                <w:snapToGrid w:val="0"/>
                <w:color w:val="auto"/>
                <w:kern w:val="0"/>
                <w:sz w:val="28"/>
                <w:szCs w:val="28"/>
                <w:lang w:val="en-US" w:eastAsia="en-US" w:bidi="ar-SA"/>
              </w:rPr>
            </w:pPr>
          </w:p>
        </w:tc>
        <w:tc>
          <w:tcPr>
            <w:tcW w:w="1000" w:type="dxa"/>
            <w:vAlign w:val="center"/>
          </w:tcPr>
          <w:p w14:paraId="08B16170">
            <w:pPr>
              <w:keepNext w:val="0"/>
              <w:keepLines w:val="0"/>
              <w:pageBreakBefore w:val="0"/>
              <w:widowControl/>
              <w:suppressLineNumbers w:val="0"/>
              <w:wordWrap/>
              <w:overflowPunct/>
              <w:topLinePunct w:val="0"/>
              <w:bidi w:val="0"/>
              <w:spacing w:line="560" w:lineRule="exact"/>
              <w:jc w:val="center"/>
              <w:rPr>
                <w:rFonts w:hint="default" w:ascii="Times New Roman" w:hAnsi="Times New Roman" w:eastAsia="方正仿宋_GBK" w:cs="Times New Roman"/>
                <w:snapToGrid w:val="0"/>
                <w:color w:val="auto"/>
                <w:kern w:val="0"/>
                <w:sz w:val="28"/>
                <w:szCs w:val="28"/>
                <w:lang w:val="en-US" w:eastAsia="en-US" w:bidi="ar-SA"/>
              </w:rPr>
            </w:pPr>
          </w:p>
        </w:tc>
        <w:tc>
          <w:tcPr>
            <w:tcW w:w="1884" w:type="dxa"/>
            <w:vAlign w:val="center"/>
          </w:tcPr>
          <w:p w14:paraId="0B155361">
            <w:pPr>
              <w:keepNext w:val="0"/>
              <w:keepLines w:val="0"/>
              <w:pageBreakBefore w:val="0"/>
              <w:widowControl/>
              <w:suppressLineNumbers w:val="0"/>
              <w:wordWrap/>
              <w:overflowPunct/>
              <w:topLinePunct w:val="0"/>
              <w:bidi w:val="0"/>
              <w:spacing w:line="560" w:lineRule="exact"/>
              <w:jc w:val="center"/>
              <w:rPr>
                <w:rFonts w:hint="default" w:ascii="Times New Roman" w:hAnsi="Times New Roman" w:eastAsia="方正仿宋_GBK" w:cs="Times New Roman"/>
                <w:snapToGrid w:val="0"/>
                <w:color w:val="auto"/>
                <w:kern w:val="0"/>
                <w:sz w:val="28"/>
                <w:szCs w:val="28"/>
                <w:lang w:val="en-US" w:eastAsia="en-US" w:bidi="ar-SA"/>
              </w:rPr>
            </w:pPr>
          </w:p>
        </w:tc>
        <w:tc>
          <w:tcPr>
            <w:tcW w:w="1133" w:type="dxa"/>
            <w:vAlign w:val="center"/>
          </w:tcPr>
          <w:p w14:paraId="1A5D43E8">
            <w:pPr>
              <w:keepNext w:val="0"/>
              <w:keepLines w:val="0"/>
              <w:pageBreakBefore w:val="0"/>
              <w:widowControl/>
              <w:kinsoku w:val="0"/>
              <w:wordWrap/>
              <w:overflowPunct/>
              <w:topLinePunct w:val="0"/>
              <w:autoSpaceDE w:val="0"/>
              <w:autoSpaceDN w:val="0"/>
              <w:bidi w:val="0"/>
              <w:adjustRightInd/>
              <w:snapToGrid/>
              <w:spacing w:line="560" w:lineRule="exact"/>
              <w:ind w:left="0" w:leftChars="0"/>
              <w:jc w:val="center"/>
              <w:textAlignment w:val="baseline"/>
              <w:rPr>
                <w:rFonts w:hint="default" w:ascii="Times New Roman" w:hAnsi="Times New Roman" w:eastAsia="方正仿宋_GBK" w:cs="Times New Roman"/>
                <w:snapToGrid w:val="0"/>
                <w:color w:val="auto"/>
                <w:kern w:val="0"/>
                <w:sz w:val="28"/>
                <w:szCs w:val="28"/>
                <w:lang w:val="en-US" w:eastAsia="en-US" w:bidi="ar-SA"/>
              </w:rPr>
            </w:pPr>
          </w:p>
        </w:tc>
        <w:tc>
          <w:tcPr>
            <w:tcW w:w="667" w:type="dxa"/>
            <w:vAlign w:val="center"/>
          </w:tcPr>
          <w:p w14:paraId="51F36620">
            <w:pPr>
              <w:pStyle w:val="6"/>
              <w:keepNext w:val="0"/>
              <w:keepLines w:val="0"/>
              <w:pageBreakBefore w:val="0"/>
              <w:widowControl/>
              <w:kinsoku w:val="0"/>
              <w:wordWrap/>
              <w:overflowPunct/>
              <w:topLinePunct w:val="0"/>
              <w:autoSpaceDE w:val="0"/>
              <w:autoSpaceDN w:val="0"/>
              <w:bidi w:val="0"/>
              <w:spacing w:line="560" w:lineRule="exact"/>
              <w:jc w:val="center"/>
              <w:textAlignment w:val="baseline"/>
              <w:rPr>
                <w:rFonts w:hint="eastAsia" w:ascii="Times New Roman" w:hAnsi="Times New Roman" w:eastAsia="方正仿宋_GBK" w:cs="Times New Roman"/>
                <w:snapToGrid w:val="0"/>
                <w:color w:val="auto"/>
                <w:kern w:val="0"/>
                <w:sz w:val="28"/>
                <w:szCs w:val="28"/>
                <w:lang w:val="en-US" w:eastAsia="zh-CN" w:bidi="ar-SA"/>
              </w:rPr>
            </w:pPr>
          </w:p>
        </w:tc>
        <w:tc>
          <w:tcPr>
            <w:tcW w:w="800" w:type="dxa"/>
            <w:vAlign w:val="center"/>
          </w:tcPr>
          <w:p w14:paraId="52E3CB37">
            <w:pPr>
              <w:pStyle w:val="6"/>
              <w:keepNext w:val="0"/>
              <w:keepLines w:val="0"/>
              <w:pageBreakBefore w:val="0"/>
              <w:widowControl/>
              <w:kinsoku w:val="0"/>
              <w:wordWrap/>
              <w:overflowPunct/>
              <w:topLinePunct w:val="0"/>
              <w:autoSpaceDE w:val="0"/>
              <w:autoSpaceDN w:val="0"/>
              <w:bidi w:val="0"/>
              <w:spacing w:line="560" w:lineRule="exact"/>
              <w:jc w:val="center"/>
              <w:textAlignment w:val="baseline"/>
              <w:rPr>
                <w:rFonts w:hint="default" w:ascii="Times New Roman" w:hAnsi="Times New Roman" w:eastAsia="方正仿宋_GBK" w:cs="Times New Roman"/>
                <w:snapToGrid w:val="0"/>
                <w:color w:val="auto"/>
                <w:kern w:val="0"/>
                <w:sz w:val="28"/>
                <w:szCs w:val="28"/>
                <w:lang w:val="en-US" w:eastAsia="zh-CN" w:bidi="ar-SA"/>
              </w:rPr>
            </w:pPr>
          </w:p>
        </w:tc>
        <w:tc>
          <w:tcPr>
            <w:tcW w:w="633" w:type="dxa"/>
            <w:vAlign w:val="center"/>
          </w:tcPr>
          <w:p w14:paraId="3400E5DE">
            <w:pPr>
              <w:pStyle w:val="6"/>
              <w:keepNext w:val="0"/>
              <w:keepLines w:val="0"/>
              <w:pageBreakBefore w:val="0"/>
              <w:widowControl/>
              <w:kinsoku w:val="0"/>
              <w:wordWrap/>
              <w:overflowPunct/>
              <w:topLinePunct w:val="0"/>
              <w:autoSpaceDE w:val="0"/>
              <w:autoSpaceDN w:val="0"/>
              <w:bidi w:val="0"/>
              <w:spacing w:line="560" w:lineRule="exact"/>
              <w:jc w:val="center"/>
              <w:textAlignment w:val="baseline"/>
              <w:rPr>
                <w:rFonts w:hint="default" w:ascii="Times New Roman" w:hAnsi="Times New Roman" w:eastAsia="方正仿宋_GBK" w:cs="Times New Roman"/>
                <w:snapToGrid w:val="0"/>
                <w:color w:val="auto"/>
                <w:kern w:val="0"/>
                <w:sz w:val="28"/>
                <w:szCs w:val="28"/>
                <w:lang w:val="en-US" w:eastAsia="zh-CN" w:bidi="ar-SA"/>
              </w:rPr>
            </w:pPr>
          </w:p>
        </w:tc>
        <w:tc>
          <w:tcPr>
            <w:tcW w:w="1017" w:type="dxa"/>
            <w:vAlign w:val="center"/>
          </w:tcPr>
          <w:p w14:paraId="0F8EBEF7">
            <w:pPr>
              <w:keepNext w:val="0"/>
              <w:keepLines w:val="0"/>
              <w:pageBreakBefore w:val="0"/>
              <w:widowControl/>
              <w:suppressLineNumbers w:val="0"/>
              <w:wordWrap/>
              <w:overflowPunct/>
              <w:topLinePunct w:val="0"/>
              <w:bidi w:val="0"/>
              <w:spacing w:line="560" w:lineRule="exact"/>
              <w:jc w:val="center"/>
              <w:textAlignment w:val="center"/>
              <w:rPr>
                <w:rFonts w:hint="default" w:ascii="Times New Roman" w:hAnsi="Times New Roman" w:eastAsia="方正仿宋_GBK" w:cs="Times New Roman"/>
                <w:snapToGrid w:val="0"/>
                <w:color w:val="auto"/>
                <w:kern w:val="0"/>
                <w:sz w:val="28"/>
                <w:szCs w:val="28"/>
                <w:lang w:val="en-US" w:eastAsia="zh-CN" w:bidi="ar-SA"/>
              </w:rPr>
            </w:pPr>
          </w:p>
        </w:tc>
        <w:tc>
          <w:tcPr>
            <w:tcW w:w="1058" w:type="dxa"/>
            <w:vAlign w:val="center"/>
          </w:tcPr>
          <w:p w14:paraId="6DC82C69">
            <w:pPr>
              <w:pStyle w:val="6"/>
              <w:keepNext w:val="0"/>
              <w:keepLines w:val="0"/>
              <w:pageBreakBefore w:val="0"/>
              <w:widowControl/>
              <w:kinsoku w:val="0"/>
              <w:wordWrap/>
              <w:overflowPunct/>
              <w:topLinePunct w:val="0"/>
              <w:autoSpaceDE w:val="0"/>
              <w:autoSpaceDN w:val="0"/>
              <w:bidi w:val="0"/>
              <w:spacing w:line="560" w:lineRule="exact"/>
              <w:jc w:val="center"/>
              <w:textAlignment w:val="baseline"/>
              <w:rPr>
                <w:rFonts w:hint="default" w:ascii="Times New Roman" w:hAnsi="Times New Roman" w:eastAsia="方正仿宋_GBK" w:cs="Times New Roman"/>
                <w:snapToGrid w:val="0"/>
                <w:color w:val="auto"/>
                <w:kern w:val="0"/>
                <w:sz w:val="28"/>
                <w:szCs w:val="28"/>
                <w:lang w:val="en-US" w:eastAsia="zh-CN" w:bidi="ar-SA"/>
              </w:rPr>
            </w:pPr>
          </w:p>
        </w:tc>
      </w:tr>
      <w:tr w14:paraId="5C09FA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1225" w:type="dxa"/>
            <w:vAlign w:val="center"/>
          </w:tcPr>
          <w:p w14:paraId="4749E360">
            <w:pPr>
              <w:keepNext w:val="0"/>
              <w:keepLines w:val="0"/>
              <w:pageBreakBefore w:val="0"/>
              <w:widowControl/>
              <w:suppressLineNumbers w:val="0"/>
              <w:wordWrap/>
              <w:overflowPunct/>
              <w:topLinePunct w:val="0"/>
              <w:bidi w:val="0"/>
              <w:spacing w:line="560" w:lineRule="exact"/>
              <w:jc w:val="center"/>
              <w:rPr>
                <w:rFonts w:hint="default" w:ascii="Times New Roman" w:hAnsi="Times New Roman" w:eastAsia="方正仿宋_GBK" w:cs="Times New Roman"/>
                <w:snapToGrid w:val="0"/>
                <w:color w:val="auto"/>
                <w:kern w:val="0"/>
                <w:sz w:val="28"/>
                <w:szCs w:val="28"/>
                <w:lang w:val="en-US" w:eastAsia="en-US" w:bidi="ar-SA"/>
              </w:rPr>
            </w:pPr>
          </w:p>
        </w:tc>
        <w:tc>
          <w:tcPr>
            <w:tcW w:w="1000" w:type="dxa"/>
            <w:vAlign w:val="center"/>
          </w:tcPr>
          <w:p w14:paraId="77159486">
            <w:pPr>
              <w:pStyle w:val="6"/>
              <w:keepNext w:val="0"/>
              <w:keepLines w:val="0"/>
              <w:pageBreakBefore w:val="0"/>
              <w:widowControl/>
              <w:kinsoku w:val="0"/>
              <w:wordWrap/>
              <w:overflowPunct/>
              <w:topLinePunct w:val="0"/>
              <w:autoSpaceDE w:val="0"/>
              <w:autoSpaceDN w:val="0"/>
              <w:bidi w:val="0"/>
              <w:spacing w:line="560" w:lineRule="exact"/>
              <w:jc w:val="center"/>
              <w:textAlignment w:val="baseline"/>
              <w:rPr>
                <w:rFonts w:hint="default" w:ascii="Times New Roman" w:hAnsi="Times New Roman" w:eastAsia="方正仿宋_GBK" w:cs="Times New Roman"/>
                <w:snapToGrid w:val="0"/>
                <w:color w:val="auto"/>
                <w:kern w:val="0"/>
                <w:sz w:val="28"/>
                <w:szCs w:val="28"/>
                <w:lang w:val="en-US" w:eastAsia="en-US" w:bidi="ar-SA"/>
              </w:rPr>
            </w:pPr>
          </w:p>
        </w:tc>
        <w:tc>
          <w:tcPr>
            <w:tcW w:w="1884" w:type="dxa"/>
            <w:vAlign w:val="center"/>
          </w:tcPr>
          <w:p w14:paraId="7662569D">
            <w:pPr>
              <w:keepNext w:val="0"/>
              <w:keepLines w:val="0"/>
              <w:pageBreakBefore w:val="0"/>
              <w:widowControl/>
              <w:suppressLineNumbers w:val="0"/>
              <w:wordWrap/>
              <w:overflowPunct/>
              <w:topLinePunct w:val="0"/>
              <w:bidi w:val="0"/>
              <w:spacing w:line="560" w:lineRule="exact"/>
              <w:jc w:val="center"/>
              <w:rPr>
                <w:rFonts w:hint="default" w:ascii="Times New Roman" w:hAnsi="Times New Roman" w:eastAsia="方正仿宋_GBK" w:cs="Times New Roman"/>
                <w:snapToGrid w:val="0"/>
                <w:color w:val="auto"/>
                <w:kern w:val="0"/>
                <w:sz w:val="28"/>
                <w:szCs w:val="28"/>
                <w:lang w:val="en-US" w:eastAsia="en-US" w:bidi="ar-SA"/>
              </w:rPr>
            </w:pPr>
          </w:p>
        </w:tc>
        <w:tc>
          <w:tcPr>
            <w:tcW w:w="1133" w:type="dxa"/>
            <w:vAlign w:val="center"/>
          </w:tcPr>
          <w:p w14:paraId="58AADDCB">
            <w:pPr>
              <w:keepNext w:val="0"/>
              <w:keepLines w:val="0"/>
              <w:pageBreakBefore w:val="0"/>
              <w:widowControl/>
              <w:kinsoku w:val="0"/>
              <w:wordWrap/>
              <w:overflowPunct/>
              <w:topLinePunct w:val="0"/>
              <w:autoSpaceDE w:val="0"/>
              <w:autoSpaceDN w:val="0"/>
              <w:bidi w:val="0"/>
              <w:adjustRightInd/>
              <w:snapToGrid/>
              <w:spacing w:line="560" w:lineRule="exact"/>
              <w:ind w:left="0" w:leftChars="0"/>
              <w:jc w:val="center"/>
              <w:textAlignment w:val="baseline"/>
              <w:rPr>
                <w:rFonts w:hint="default" w:ascii="Times New Roman" w:hAnsi="Times New Roman" w:eastAsia="方正仿宋_GBK" w:cs="Times New Roman"/>
                <w:snapToGrid w:val="0"/>
                <w:color w:val="auto"/>
                <w:kern w:val="0"/>
                <w:sz w:val="28"/>
                <w:szCs w:val="28"/>
                <w:lang w:val="en-US" w:eastAsia="en-US" w:bidi="ar-SA"/>
              </w:rPr>
            </w:pPr>
          </w:p>
        </w:tc>
        <w:tc>
          <w:tcPr>
            <w:tcW w:w="667" w:type="dxa"/>
            <w:vAlign w:val="center"/>
          </w:tcPr>
          <w:p w14:paraId="048CF1D1">
            <w:pPr>
              <w:pStyle w:val="6"/>
              <w:keepNext w:val="0"/>
              <w:keepLines w:val="0"/>
              <w:pageBreakBefore w:val="0"/>
              <w:widowControl/>
              <w:kinsoku w:val="0"/>
              <w:wordWrap/>
              <w:overflowPunct/>
              <w:topLinePunct w:val="0"/>
              <w:autoSpaceDE w:val="0"/>
              <w:autoSpaceDN w:val="0"/>
              <w:bidi w:val="0"/>
              <w:spacing w:line="560" w:lineRule="exact"/>
              <w:jc w:val="center"/>
              <w:textAlignment w:val="baseline"/>
              <w:rPr>
                <w:rFonts w:hint="eastAsia" w:ascii="Times New Roman" w:hAnsi="Times New Roman" w:eastAsia="方正仿宋_GBK" w:cs="Times New Roman"/>
                <w:snapToGrid w:val="0"/>
                <w:color w:val="auto"/>
                <w:kern w:val="0"/>
                <w:sz w:val="28"/>
                <w:szCs w:val="28"/>
                <w:lang w:val="en-US" w:eastAsia="zh-CN" w:bidi="ar-SA"/>
              </w:rPr>
            </w:pPr>
          </w:p>
        </w:tc>
        <w:tc>
          <w:tcPr>
            <w:tcW w:w="800" w:type="dxa"/>
            <w:vAlign w:val="center"/>
          </w:tcPr>
          <w:p w14:paraId="1668C231">
            <w:pPr>
              <w:pStyle w:val="6"/>
              <w:keepNext w:val="0"/>
              <w:keepLines w:val="0"/>
              <w:pageBreakBefore w:val="0"/>
              <w:widowControl/>
              <w:kinsoku w:val="0"/>
              <w:wordWrap/>
              <w:overflowPunct/>
              <w:topLinePunct w:val="0"/>
              <w:autoSpaceDE w:val="0"/>
              <w:autoSpaceDN w:val="0"/>
              <w:bidi w:val="0"/>
              <w:spacing w:line="560" w:lineRule="exact"/>
              <w:jc w:val="center"/>
              <w:textAlignment w:val="baseline"/>
              <w:rPr>
                <w:rFonts w:hint="default" w:ascii="Times New Roman" w:hAnsi="Times New Roman" w:eastAsia="方正仿宋_GBK" w:cs="Times New Roman"/>
                <w:snapToGrid w:val="0"/>
                <w:color w:val="auto"/>
                <w:kern w:val="0"/>
                <w:sz w:val="28"/>
                <w:szCs w:val="28"/>
                <w:lang w:val="en-US" w:eastAsia="zh-CN" w:bidi="ar-SA"/>
              </w:rPr>
            </w:pPr>
          </w:p>
        </w:tc>
        <w:tc>
          <w:tcPr>
            <w:tcW w:w="633" w:type="dxa"/>
            <w:vAlign w:val="center"/>
          </w:tcPr>
          <w:p w14:paraId="66DCB355">
            <w:pPr>
              <w:pStyle w:val="6"/>
              <w:keepNext w:val="0"/>
              <w:keepLines w:val="0"/>
              <w:pageBreakBefore w:val="0"/>
              <w:widowControl/>
              <w:kinsoku w:val="0"/>
              <w:wordWrap/>
              <w:overflowPunct/>
              <w:topLinePunct w:val="0"/>
              <w:autoSpaceDE w:val="0"/>
              <w:autoSpaceDN w:val="0"/>
              <w:bidi w:val="0"/>
              <w:spacing w:line="560" w:lineRule="exact"/>
              <w:jc w:val="center"/>
              <w:textAlignment w:val="baseline"/>
              <w:rPr>
                <w:rFonts w:hint="default" w:ascii="Times New Roman" w:hAnsi="Times New Roman" w:eastAsia="方正仿宋_GBK" w:cs="Times New Roman"/>
                <w:snapToGrid w:val="0"/>
                <w:color w:val="auto"/>
                <w:kern w:val="0"/>
                <w:sz w:val="28"/>
                <w:szCs w:val="28"/>
                <w:lang w:val="en-US" w:eastAsia="zh-CN" w:bidi="ar-SA"/>
              </w:rPr>
            </w:pPr>
          </w:p>
        </w:tc>
        <w:tc>
          <w:tcPr>
            <w:tcW w:w="1017" w:type="dxa"/>
            <w:vAlign w:val="center"/>
          </w:tcPr>
          <w:p w14:paraId="320BE9F7">
            <w:pPr>
              <w:keepNext w:val="0"/>
              <w:keepLines w:val="0"/>
              <w:pageBreakBefore w:val="0"/>
              <w:widowControl/>
              <w:suppressLineNumbers w:val="0"/>
              <w:wordWrap/>
              <w:overflowPunct/>
              <w:topLinePunct w:val="0"/>
              <w:bidi w:val="0"/>
              <w:spacing w:line="560" w:lineRule="exact"/>
              <w:jc w:val="center"/>
              <w:textAlignment w:val="center"/>
              <w:rPr>
                <w:rFonts w:hint="default" w:ascii="Times New Roman" w:hAnsi="Times New Roman" w:eastAsia="方正仿宋_GBK" w:cs="Times New Roman"/>
                <w:snapToGrid w:val="0"/>
                <w:color w:val="auto"/>
                <w:kern w:val="0"/>
                <w:sz w:val="28"/>
                <w:szCs w:val="28"/>
                <w:lang w:val="en-US" w:eastAsia="zh-CN" w:bidi="ar-SA"/>
              </w:rPr>
            </w:pPr>
          </w:p>
        </w:tc>
        <w:tc>
          <w:tcPr>
            <w:tcW w:w="1058" w:type="dxa"/>
            <w:vAlign w:val="center"/>
          </w:tcPr>
          <w:p w14:paraId="6A4E5097">
            <w:pPr>
              <w:pStyle w:val="6"/>
              <w:keepNext w:val="0"/>
              <w:keepLines w:val="0"/>
              <w:pageBreakBefore w:val="0"/>
              <w:widowControl/>
              <w:kinsoku w:val="0"/>
              <w:wordWrap/>
              <w:overflowPunct/>
              <w:topLinePunct w:val="0"/>
              <w:autoSpaceDE w:val="0"/>
              <w:autoSpaceDN w:val="0"/>
              <w:bidi w:val="0"/>
              <w:spacing w:line="560" w:lineRule="exact"/>
              <w:jc w:val="center"/>
              <w:textAlignment w:val="baseline"/>
              <w:rPr>
                <w:rFonts w:hint="default" w:ascii="Times New Roman" w:hAnsi="Times New Roman" w:eastAsia="方正仿宋_GBK" w:cs="Times New Roman"/>
                <w:snapToGrid w:val="0"/>
                <w:color w:val="auto"/>
                <w:kern w:val="0"/>
                <w:sz w:val="28"/>
                <w:szCs w:val="28"/>
                <w:lang w:val="en-US" w:eastAsia="en-US" w:bidi="ar-SA"/>
              </w:rPr>
            </w:pPr>
          </w:p>
        </w:tc>
      </w:tr>
      <w:tr w14:paraId="6B87E9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1225" w:type="dxa"/>
            <w:vAlign w:val="center"/>
          </w:tcPr>
          <w:p w14:paraId="554856CC">
            <w:pPr>
              <w:keepNext w:val="0"/>
              <w:keepLines w:val="0"/>
              <w:pageBreakBefore w:val="0"/>
              <w:widowControl/>
              <w:suppressLineNumbers w:val="0"/>
              <w:wordWrap/>
              <w:overflowPunct/>
              <w:topLinePunct w:val="0"/>
              <w:bidi w:val="0"/>
              <w:spacing w:line="560" w:lineRule="exact"/>
              <w:jc w:val="center"/>
              <w:rPr>
                <w:rFonts w:hint="default" w:ascii="Times New Roman" w:hAnsi="Times New Roman" w:eastAsia="方正仿宋_GBK" w:cs="Times New Roman"/>
                <w:snapToGrid w:val="0"/>
                <w:color w:val="auto"/>
                <w:kern w:val="0"/>
                <w:sz w:val="28"/>
                <w:szCs w:val="28"/>
                <w:lang w:val="en-US" w:eastAsia="en-US" w:bidi="ar-SA"/>
              </w:rPr>
            </w:pPr>
          </w:p>
        </w:tc>
        <w:tc>
          <w:tcPr>
            <w:tcW w:w="1000" w:type="dxa"/>
            <w:vAlign w:val="center"/>
          </w:tcPr>
          <w:p w14:paraId="68F12868">
            <w:pPr>
              <w:pStyle w:val="6"/>
              <w:keepNext w:val="0"/>
              <w:keepLines w:val="0"/>
              <w:pageBreakBefore w:val="0"/>
              <w:widowControl/>
              <w:kinsoku w:val="0"/>
              <w:wordWrap/>
              <w:overflowPunct/>
              <w:topLinePunct w:val="0"/>
              <w:autoSpaceDE w:val="0"/>
              <w:autoSpaceDN w:val="0"/>
              <w:bidi w:val="0"/>
              <w:spacing w:line="560" w:lineRule="exact"/>
              <w:jc w:val="center"/>
              <w:textAlignment w:val="baseline"/>
              <w:rPr>
                <w:rFonts w:hint="default" w:ascii="Times New Roman" w:hAnsi="Times New Roman" w:eastAsia="方正仿宋_GBK" w:cs="Times New Roman"/>
                <w:snapToGrid w:val="0"/>
                <w:color w:val="auto"/>
                <w:kern w:val="0"/>
                <w:sz w:val="28"/>
                <w:szCs w:val="28"/>
                <w:lang w:val="en-US" w:eastAsia="en-US" w:bidi="ar-SA"/>
              </w:rPr>
            </w:pPr>
          </w:p>
        </w:tc>
        <w:tc>
          <w:tcPr>
            <w:tcW w:w="1884" w:type="dxa"/>
            <w:vAlign w:val="center"/>
          </w:tcPr>
          <w:p w14:paraId="1F9E21E5">
            <w:pPr>
              <w:keepNext w:val="0"/>
              <w:keepLines w:val="0"/>
              <w:pageBreakBefore w:val="0"/>
              <w:widowControl/>
              <w:suppressLineNumbers w:val="0"/>
              <w:wordWrap/>
              <w:overflowPunct/>
              <w:topLinePunct w:val="0"/>
              <w:bidi w:val="0"/>
              <w:spacing w:line="560" w:lineRule="exact"/>
              <w:jc w:val="center"/>
              <w:rPr>
                <w:rFonts w:hint="default" w:ascii="Times New Roman" w:hAnsi="Times New Roman" w:eastAsia="方正仿宋_GBK" w:cs="Times New Roman"/>
                <w:snapToGrid w:val="0"/>
                <w:color w:val="auto"/>
                <w:kern w:val="0"/>
                <w:sz w:val="28"/>
                <w:szCs w:val="28"/>
                <w:lang w:val="en-US" w:eastAsia="en-US" w:bidi="ar-SA"/>
              </w:rPr>
            </w:pPr>
          </w:p>
        </w:tc>
        <w:tc>
          <w:tcPr>
            <w:tcW w:w="1133" w:type="dxa"/>
            <w:vAlign w:val="center"/>
          </w:tcPr>
          <w:p w14:paraId="31D9C8E3">
            <w:pPr>
              <w:keepNext w:val="0"/>
              <w:keepLines w:val="0"/>
              <w:pageBreakBefore w:val="0"/>
              <w:widowControl/>
              <w:kinsoku w:val="0"/>
              <w:wordWrap/>
              <w:overflowPunct/>
              <w:topLinePunct w:val="0"/>
              <w:autoSpaceDE w:val="0"/>
              <w:autoSpaceDN w:val="0"/>
              <w:bidi w:val="0"/>
              <w:adjustRightInd/>
              <w:snapToGrid/>
              <w:spacing w:line="560" w:lineRule="exact"/>
              <w:ind w:left="0" w:leftChars="0"/>
              <w:jc w:val="center"/>
              <w:textAlignment w:val="baseline"/>
              <w:rPr>
                <w:rFonts w:hint="default" w:ascii="Times New Roman" w:hAnsi="Times New Roman" w:eastAsia="方正仿宋_GBK" w:cs="Times New Roman"/>
                <w:snapToGrid w:val="0"/>
                <w:color w:val="auto"/>
                <w:kern w:val="0"/>
                <w:sz w:val="28"/>
                <w:szCs w:val="28"/>
                <w:lang w:val="en-US" w:eastAsia="en-US" w:bidi="ar-SA"/>
              </w:rPr>
            </w:pPr>
          </w:p>
        </w:tc>
        <w:tc>
          <w:tcPr>
            <w:tcW w:w="667" w:type="dxa"/>
            <w:vAlign w:val="center"/>
          </w:tcPr>
          <w:p w14:paraId="086A325A">
            <w:pPr>
              <w:pStyle w:val="6"/>
              <w:keepNext w:val="0"/>
              <w:keepLines w:val="0"/>
              <w:pageBreakBefore w:val="0"/>
              <w:widowControl/>
              <w:kinsoku w:val="0"/>
              <w:wordWrap/>
              <w:overflowPunct/>
              <w:topLinePunct w:val="0"/>
              <w:autoSpaceDE w:val="0"/>
              <w:autoSpaceDN w:val="0"/>
              <w:bidi w:val="0"/>
              <w:spacing w:line="560" w:lineRule="exact"/>
              <w:jc w:val="center"/>
              <w:textAlignment w:val="baseline"/>
              <w:rPr>
                <w:rFonts w:hint="default" w:ascii="Times New Roman" w:hAnsi="Times New Roman" w:eastAsia="方正仿宋_GBK" w:cs="Times New Roman"/>
                <w:snapToGrid w:val="0"/>
                <w:color w:val="auto"/>
                <w:kern w:val="0"/>
                <w:sz w:val="28"/>
                <w:szCs w:val="28"/>
                <w:lang w:val="en-US" w:eastAsia="zh-CN" w:bidi="ar-SA"/>
              </w:rPr>
            </w:pPr>
          </w:p>
        </w:tc>
        <w:tc>
          <w:tcPr>
            <w:tcW w:w="800" w:type="dxa"/>
            <w:vAlign w:val="center"/>
          </w:tcPr>
          <w:p w14:paraId="6181C887">
            <w:pPr>
              <w:pStyle w:val="6"/>
              <w:keepNext w:val="0"/>
              <w:keepLines w:val="0"/>
              <w:pageBreakBefore w:val="0"/>
              <w:widowControl/>
              <w:kinsoku w:val="0"/>
              <w:wordWrap/>
              <w:overflowPunct/>
              <w:topLinePunct w:val="0"/>
              <w:autoSpaceDE w:val="0"/>
              <w:autoSpaceDN w:val="0"/>
              <w:bidi w:val="0"/>
              <w:spacing w:line="560" w:lineRule="exact"/>
              <w:jc w:val="center"/>
              <w:textAlignment w:val="baseline"/>
              <w:rPr>
                <w:rFonts w:hint="default" w:ascii="Times New Roman" w:hAnsi="Times New Roman" w:eastAsia="方正仿宋_GBK" w:cs="Times New Roman"/>
                <w:snapToGrid w:val="0"/>
                <w:color w:val="auto"/>
                <w:kern w:val="0"/>
                <w:sz w:val="28"/>
                <w:szCs w:val="28"/>
                <w:lang w:val="en-US" w:eastAsia="zh-CN" w:bidi="ar-SA"/>
              </w:rPr>
            </w:pPr>
          </w:p>
        </w:tc>
        <w:tc>
          <w:tcPr>
            <w:tcW w:w="633" w:type="dxa"/>
            <w:vAlign w:val="center"/>
          </w:tcPr>
          <w:p w14:paraId="0B9A2EFD">
            <w:pPr>
              <w:pStyle w:val="6"/>
              <w:keepNext w:val="0"/>
              <w:keepLines w:val="0"/>
              <w:pageBreakBefore w:val="0"/>
              <w:widowControl/>
              <w:kinsoku w:val="0"/>
              <w:wordWrap/>
              <w:overflowPunct/>
              <w:topLinePunct w:val="0"/>
              <w:autoSpaceDE w:val="0"/>
              <w:autoSpaceDN w:val="0"/>
              <w:bidi w:val="0"/>
              <w:spacing w:line="560" w:lineRule="exact"/>
              <w:jc w:val="center"/>
              <w:textAlignment w:val="baseline"/>
              <w:rPr>
                <w:rFonts w:hint="default" w:ascii="Times New Roman" w:hAnsi="Times New Roman" w:eastAsia="方正仿宋_GBK" w:cs="Times New Roman"/>
                <w:snapToGrid w:val="0"/>
                <w:color w:val="auto"/>
                <w:kern w:val="0"/>
                <w:sz w:val="28"/>
                <w:szCs w:val="28"/>
                <w:lang w:val="en-US" w:eastAsia="en-US" w:bidi="ar-SA"/>
              </w:rPr>
            </w:pPr>
          </w:p>
        </w:tc>
        <w:tc>
          <w:tcPr>
            <w:tcW w:w="1017" w:type="dxa"/>
            <w:vAlign w:val="center"/>
          </w:tcPr>
          <w:p w14:paraId="0C80BE0C">
            <w:pPr>
              <w:keepNext w:val="0"/>
              <w:keepLines w:val="0"/>
              <w:pageBreakBefore w:val="0"/>
              <w:widowControl/>
              <w:suppressLineNumbers w:val="0"/>
              <w:wordWrap/>
              <w:overflowPunct/>
              <w:topLinePunct w:val="0"/>
              <w:bidi w:val="0"/>
              <w:spacing w:line="560" w:lineRule="exact"/>
              <w:jc w:val="center"/>
              <w:textAlignment w:val="center"/>
              <w:rPr>
                <w:rFonts w:hint="default" w:ascii="Times New Roman" w:hAnsi="Times New Roman" w:eastAsia="方正仿宋_GBK" w:cs="Times New Roman"/>
                <w:snapToGrid w:val="0"/>
                <w:color w:val="auto"/>
                <w:kern w:val="0"/>
                <w:sz w:val="28"/>
                <w:szCs w:val="28"/>
                <w:lang w:val="en-US" w:eastAsia="zh-CN" w:bidi="ar-SA"/>
              </w:rPr>
            </w:pPr>
          </w:p>
        </w:tc>
        <w:tc>
          <w:tcPr>
            <w:tcW w:w="1058" w:type="dxa"/>
            <w:vAlign w:val="center"/>
          </w:tcPr>
          <w:p w14:paraId="0D6A3631">
            <w:pPr>
              <w:pStyle w:val="6"/>
              <w:keepNext w:val="0"/>
              <w:keepLines w:val="0"/>
              <w:pageBreakBefore w:val="0"/>
              <w:widowControl/>
              <w:kinsoku w:val="0"/>
              <w:wordWrap/>
              <w:overflowPunct/>
              <w:topLinePunct w:val="0"/>
              <w:autoSpaceDE w:val="0"/>
              <w:autoSpaceDN w:val="0"/>
              <w:bidi w:val="0"/>
              <w:spacing w:line="560" w:lineRule="exact"/>
              <w:jc w:val="center"/>
              <w:textAlignment w:val="baseline"/>
              <w:rPr>
                <w:rFonts w:hint="default" w:ascii="Times New Roman" w:hAnsi="Times New Roman" w:eastAsia="方正仿宋_GBK" w:cs="Times New Roman"/>
                <w:snapToGrid w:val="0"/>
                <w:color w:val="auto"/>
                <w:kern w:val="0"/>
                <w:sz w:val="28"/>
                <w:szCs w:val="28"/>
                <w:lang w:val="en-US" w:eastAsia="en-US" w:bidi="ar-SA"/>
              </w:rPr>
            </w:pPr>
          </w:p>
        </w:tc>
      </w:tr>
      <w:tr w14:paraId="360FF7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1225" w:type="dxa"/>
            <w:vAlign w:val="center"/>
          </w:tcPr>
          <w:p w14:paraId="1F77784D">
            <w:pPr>
              <w:keepNext w:val="0"/>
              <w:keepLines w:val="0"/>
              <w:pageBreakBefore w:val="0"/>
              <w:widowControl/>
              <w:suppressLineNumbers w:val="0"/>
              <w:wordWrap/>
              <w:overflowPunct/>
              <w:topLinePunct w:val="0"/>
              <w:bidi w:val="0"/>
              <w:spacing w:line="560" w:lineRule="exact"/>
              <w:jc w:val="center"/>
              <w:rPr>
                <w:rFonts w:hint="default" w:ascii="Times New Roman" w:hAnsi="Times New Roman" w:eastAsia="方正仿宋_GBK" w:cs="Times New Roman"/>
                <w:snapToGrid w:val="0"/>
                <w:color w:val="auto"/>
                <w:kern w:val="0"/>
                <w:sz w:val="28"/>
                <w:szCs w:val="28"/>
                <w:lang w:val="en-US" w:eastAsia="en-US" w:bidi="ar-SA"/>
              </w:rPr>
            </w:pPr>
          </w:p>
        </w:tc>
        <w:tc>
          <w:tcPr>
            <w:tcW w:w="1000" w:type="dxa"/>
            <w:vAlign w:val="center"/>
          </w:tcPr>
          <w:p w14:paraId="56592F08">
            <w:pPr>
              <w:pStyle w:val="6"/>
              <w:keepNext w:val="0"/>
              <w:keepLines w:val="0"/>
              <w:pageBreakBefore w:val="0"/>
              <w:widowControl/>
              <w:kinsoku w:val="0"/>
              <w:wordWrap/>
              <w:overflowPunct/>
              <w:topLinePunct w:val="0"/>
              <w:autoSpaceDE w:val="0"/>
              <w:autoSpaceDN w:val="0"/>
              <w:bidi w:val="0"/>
              <w:spacing w:line="560" w:lineRule="exact"/>
              <w:jc w:val="center"/>
              <w:textAlignment w:val="baseline"/>
              <w:rPr>
                <w:rFonts w:hint="default" w:ascii="Times New Roman" w:hAnsi="Times New Roman" w:eastAsia="方正仿宋_GBK" w:cs="Times New Roman"/>
                <w:snapToGrid w:val="0"/>
                <w:color w:val="auto"/>
                <w:kern w:val="0"/>
                <w:sz w:val="28"/>
                <w:szCs w:val="28"/>
                <w:lang w:val="en-US" w:eastAsia="en-US" w:bidi="ar-SA"/>
              </w:rPr>
            </w:pPr>
          </w:p>
        </w:tc>
        <w:tc>
          <w:tcPr>
            <w:tcW w:w="1884" w:type="dxa"/>
            <w:vAlign w:val="center"/>
          </w:tcPr>
          <w:p w14:paraId="4D93FDAF">
            <w:pPr>
              <w:keepNext w:val="0"/>
              <w:keepLines w:val="0"/>
              <w:pageBreakBefore w:val="0"/>
              <w:widowControl/>
              <w:suppressLineNumbers w:val="0"/>
              <w:wordWrap/>
              <w:overflowPunct/>
              <w:topLinePunct w:val="0"/>
              <w:bidi w:val="0"/>
              <w:spacing w:line="560" w:lineRule="exact"/>
              <w:jc w:val="center"/>
              <w:rPr>
                <w:rFonts w:hint="default" w:ascii="Times New Roman" w:hAnsi="Times New Roman" w:eastAsia="方正仿宋_GBK" w:cs="Times New Roman"/>
                <w:snapToGrid w:val="0"/>
                <w:color w:val="auto"/>
                <w:kern w:val="0"/>
                <w:sz w:val="28"/>
                <w:szCs w:val="28"/>
                <w:lang w:val="en-US" w:eastAsia="en-US" w:bidi="ar-SA"/>
              </w:rPr>
            </w:pPr>
          </w:p>
        </w:tc>
        <w:tc>
          <w:tcPr>
            <w:tcW w:w="1133" w:type="dxa"/>
            <w:vAlign w:val="center"/>
          </w:tcPr>
          <w:p w14:paraId="3398FA11">
            <w:pPr>
              <w:keepNext w:val="0"/>
              <w:keepLines w:val="0"/>
              <w:pageBreakBefore w:val="0"/>
              <w:widowControl/>
              <w:kinsoku w:val="0"/>
              <w:wordWrap/>
              <w:overflowPunct/>
              <w:topLinePunct w:val="0"/>
              <w:autoSpaceDE w:val="0"/>
              <w:autoSpaceDN w:val="0"/>
              <w:bidi w:val="0"/>
              <w:adjustRightInd/>
              <w:snapToGrid/>
              <w:spacing w:line="560" w:lineRule="exact"/>
              <w:ind w:left="0" w:leftChars="0"/>
              <w:jc w:val="center"/>
              <w:textAlignment w:val="baseline"/>
              <w:rPr>
                <w:rFonts w:hint="default" w:ascii="Times New Roman" w:hAnsi="Times New Roman" w:eastAsia="方正仿宋_GBK" w:cs="Times New Roman"/>
                <w:snapToGrid w:val="0"/>
                <w:color w:val="auto"/>
                <w:kern w:val="0"/>
                <w:sz w:val="28"/>
                <w:szCs w:val="28"/>
                <w:lang w:val="en-US" w:eastAsia="en-US" w:bidi="ar-SA"/>
              </w:rPr>
            </w:pPr>
          </w:p>
        </w:tc>
        <w:tc>
          <w:tcPr>
            <w:tcW w:w="667" w:type="dxa"/>
            <w:vAlign w:val="center"/>
          </w:tcPr>
          <w:p w14:paraId="6B292882">
            <w:pPr>
              <w:pStyle w:val="6"/>
              <w:keepNext w:val="0"/>
              <w:keepLines w:val="0"/>
              <w:pageBreakBefore w:val="0"/>
              <w:widowControl/>
              <w:kinsoku w:val="0"/>
              <w:wordWrap/>
              <w:overflowPunct/>
              <w:topLinePunct w:val="0"/>
              <w:autoSpaceDE w:val="0"/>
              <w:autoSpaceDN w:val="0"/>
              <w:bidi w:val="0"/>
              <w:spacing w:line="560" w:lineRule="exact"/>
              <w:jc w:val="center"/>
              <w:textAlignment w:val="baseline"/>
              <w:rPr>
                <w:rFonts w:hint="eastAsia" w:ascii="Times New Roman" w:hAnsi="Times New Roman" w:eastAsia="方正仿宋_GBK" w:cs="Times New Roman"/>
                <w:snapToGrid w:val="0"/>
                <w:color w:val="auto"/>
                <w:kern w:val="0"/>
                <w:sz w:val="28"/>
                <w:szCs w:val="28"/>
                <w:lang w:val="en-US" w:eastAsia="zh-CN" w:bidi="ar-SA"/>
              </w:rPr>
            </w:pPr>
          </w:p>
        </w:tc>
        <w:tc>
          <w:tcPr>
            <w:tcW w:w="800" w:type="dxa"/>
            <w:vAlign w:val="center"/>
          </w:tcPr>
          <w:p w14:paraId="7968C133">
            <w:pPr>
              <w:pStyle w:val="6"/>
              <w:keepNext w:val="0"/>
              <w:keepLines w:val="0"/>
              <w:pageBreakBefore w:val="0"/>
              <w:widowControl/>
              <w:kinsoku w:val="0"/>
              <w:wordWrap/>
              <w:overflowPunct/>
              <w:topLinePunct w:val="0"/>
              <w:autoSpaceDE w:val="0"/>
              <w:autoSpaceDN w:val="0"/>
              <w:bidi w:val="0"/>
              <w:spacing w:line="560" w:lineRule="exact"/>
              <w:jc w:val="center"/>
              <w:textAlignment w:val="baseline"/>
              <w:rPr>
                <w:rFonts w:hint="default" w:ascii="Times New Roman" w:hAnsi="Times New Roman" w:eastAsia="方正仿宋_GBK" w:cs="Times New Roman"/>
                <w:snapToGrid w:val="0"/>
                <w:color w:val="auto"/>
                <w:kern w:val="0"/>
                <w:sz w:val="28"/>
                <w:szCs w:val="28"/>
                <w:lang w:val="en-US" w:eastAsia="zh-CN" w:bidi="ar-SA"/>
              </w:rPr>
            </w:pPr>
          </w:p>
        </w:tc>
        <w:tc>
          <w:tcPr>
            <w:tcW w:w="633" w:type="dxa"/>
            <w:vAlign w:val="center"/>
          </w:tcPr>
          <w:p w14:paraId="3B02AFEE">
            <w:pPr>
              <w:pStyle w:val="6"/>
              <w:keepNext w:val="0"/>
              <w:keepLines w:val="0"/>
              <w:pageBreakBefore w:val="0"/>
              <w:widowControl/>
              <w:kinsoku w:val="0"/>
              <w:wordWrap/>
              <w:overflowPunct/>
              <w:topLinePunct w:val="0"/>
              <w:autoSpaceDE w:val="0"/>
              <w:autoSpaceDN w:val="0"/>
              <w:bidi w:val="0"/>
              <w:spacing w:line="560" w:lineRule="exact"/>
              <w:jc w:val="center"/>
              <w:textAlignment w:val="baseline"/>
              <w:rPr>
                <w:rFonts w:hint="default" w:ascii="Times New Roman" w:hAnsi="Times New Roman" w:eastAsia="方正仿宋_GBK" w:cs="Times New Roman"/>
                <w:snapToGrid w:val="0"/>
                <w:color w:val="auto"/>
                <w:kern w:val="0"/>
                <w:sz w:val="28"/>
                <w:szCs w:val="28"/>
                <w:lang w:val="en-US" w:eastAsia="zh-CN" w:bidi="ar-SA"/>
              </w:rPr>
            </w:pPr>
          </w:p>
        </w:tc>
        <w:tc>
          <w:tcPr>
            <w:tcW w:w="1017" w:type="dxa"/>
            <w:vAlign w:val="center"/>
          </w:tcPr>
          <w:p w14:paraId="65EC4FEB">
            <w:pPr>
              <w:keepNext w:val="0"/>
              <w:keepLines w:val="0"/>
              <w:pageBreakBefore w:val="0"/>
              <w:widowControl/>
              <w:suppressLineNumbers w:val="0"/>
              <w:wordWrap/>
              <w:overflowPunct/>
              <w:topLinePunct w:val="0"/>
              <w:bidi w:val="0"/>
              <w:spacing w:line="560" w:lineRule="exact"/>
              <w:jc w:val="center"/>
              <w:textAlignment w:val="center"/>
              <w:rPr>
                <w:rFonts w:hint="default" w:ascii="Times New Roman" w:hAnsi="Times New Roman" w:eastAsia="方正仿宋_GBK" w:cs="Times New Roman"/>
                <w:snapToGrid w:val="0"/>
                <w:color w:val="auto"/>
                <w:kern w:val="0"/>
                <w:sz w:val="28"/>
                <w:szCs w:val="28"/>
                <w:lang w:val="en-US" w:eastAsia="zh-CN" w:bidi="ar-SA"/>
              </w:rPr>
            </w:pPr>
          </w:p>
        </w:tc>
        <w:tc>
          <w:tcPr>
            <w:tcW w:w="1058" w:type="dxa"/>
            <w:vAlign w:val="center"/>
          </w:tcPr>
          <w:p w14:paraId="0EDC6B25">
            <w:pPr>
              <w:pStyle w:val="6"/>
              <w:keepNext w:val="0"/>
              <w:keepLines w:val="0"/>
              <w:pageBreakBefore w:val="0"/>
              <w:widowControl/>
              <w:kinsoku w:val="0"/>
              <w:wordWrap/>
              <w:overflowPunct/>
              <w:topLinePunct w:val="0"/>
              <w:autoSpaceDE w:val="0"/>
              <w:autoSpaceDN w:val="0"/>
              <w:bidi w:val="0"/>
              <w:spacing w:line="560" w:lineRule="exact"/>
              <w:jc w:val="center"/>
              <w:textAlignment w:val="baseline"/>
              <w:rPr>
                <w:rFonts w:hint="default" w:ascii="Times New Roman" w:hAnsi="Times New Roman" w:eastAsia="方正仿宋_GBK" w:cs="Times New Roman"/>
                <w:snapToGrid w:val="0"/>
                <w:color w:val="auto"/>
                <w:kern w:val="0"/>
                <w:sz w:val="28"/>
                <w:szCs w:val="28"/>
                <w:lang w:val="en-US" w:eastAsia="en-US" w:bidi="ar-SA"/>
              </w:rPr>
            </w:pPr>
          </w:p>
        </w:tc>
      </w:tr>
      <w:tr w14:paraId="040903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0" w:hRule="atLeast"/>
        </w:trPr>
        <w:tc>
          <w:tcPr>
            <w:tcW w:w="2225" w:type="dxa"/>
            <w:gridSpan w:val="2"/>
            <w:vAlign w:val="center"/>
          </w:tcPr>
          <w:p w14:paraId="54090B10">
            <w:pPr>
              <w:pStyle w:val="6"/>
              <w:keepNext w:val="0"/>
              <w:keepLines w:val="0"/>
              <w:pageBreakBefore w:val="0"/>
              <w:widowControl/>
              <w:kinsoku w:val="0"/>
              <w:wordWrap/>
              <w:overflowPunct/>
              <w:topLinePunct w:val="0"/>
              <w:autoSpaceDE w:val="0"/>
              <w:autoSpaceDN w:val="0"/>
              <w:bidi w:val="0"/>
              <w:spacing w:before="240" w:line="560" w:lineRule="exact"/>
              <w:ind w:left="211"/>
              <w:jc w:val="center"/>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总价（人民币）：</w:t>
            </w:r>
          </w:p>
        </w:tc>
        <w:tc>
          <w:tcPr>
            <w:tcW w:w="7192" w:type="dxa"/>
            <w:gridSpan w:val="7"/>
            <w:vAlign w:val="center"/>
          </w:tcPr>
          <w:p w14:paraId="6A7B345C">
            <w:pPr>
              <w:pStyle w:val="6"/>
              <w:keepNext w:val="0"/>
              <w:keepLines w:val="0"/>
              <w:pageBreakBefore w:val="0"/>
              <w:widowControl/>
              <w:kinsoku w:val="0"/>
              <w:wordWrap/>
              <w:overflowPunct/>
              <w:topLinePunct w:val="0"/>
              <w:autoSpaceDE w:val="0"/>
              <w:autoSpaceDN w:val="0"/>
              <w:bidi w:val="0"/>
              <w:spacing w:before="39" w:line="560" w:lineRule="exact"/>
              <w:jc w:val="both"/>
              <w:textAlignment w:val="baseline"/>
              <w:rPr>
                <w:rFonts w:hint="default" w:ascii="Times New Roman" w:hAnsi="Times New Roman" w:eastAsia="方正仿宋_GBK" w:cs="Times New Roman"/>
                <w:snapToGrid w:val="0"/>
                <w:color w:val="auto"/>
                <w:kern w:val="0"/>
                <w:sz w:val="28"/>
                <w:szCs w:val="28"/>
                <w:lang w:val="en-US" w:eastAsia="zh-CN" w:bidi="ar-SA"/>
              </w:rPr>
            </w:pPr>
            <w:r>
              <w:rPr>
                <w:rFonts w:hint="eastAsia" w:ascii="Times New Roman" w:hAnsi="Times New Roman" w:eastAsia="方正仿宋_GBK" w:cs="Times New Roman"/>
                <w:snapToGrid w:val="0"/>
                <w:color w:val="auto"/>
                <w:kern w:val="0"/>
                <w:sz w:val="28"/>
                <w:szCs w:val="28"/>
                <w:lang w:val="en-US" w:eastAsia="en-US" w:bidi="ar-SA"/>
              </w:rPr>
              <w:t>大写：</w:t>
            </w:r>
          </w:p>
          <w:p w14:paraId="103A2905">
            <w:pPr>
              <w:pStyle w:val="6"/>
              <w:keepNext w:val="0"/>
              <w:keepLines w:val="0"/>
              <w:pageBreakBefore w:val="0"/>
              <w:widowControl/>
              <w:tabs>
                <w:tab w:val="left" w:pos="5195"/>
              </w:tabs>
              <w:kinsoku w:val="0"/>
              <w:wordWrap/>
              <w:overflowPunct/>
              <w:topLinePunct w:val="0"/>
              <w:autoSpaceDE w:val="0"/>
              <w:autoSpaceDN w:val="0"/>
              <w:bidi w:val="0"/>
              <w:spacing w:before="42" w:line="560" w:lineRule="exact"/>
              <w:jc w:val="both"/>
              <w:textAlignment w:val="baseline"/>
              <w:rPr>
                <w:rFonts w:hint="default" w:ascii="Times New Roman" w:hAnsi="Times New Roman" w:eastAsia="方正仿宋_GBK" w:cs="Times New Roman"/>
                <w:snapToGrid w:val="0"/>
                <w:color w:val="auto"/>
                <w:kern w:val="0"/>
                <w:sz w:val="28"/>
                <w:szCs w:val="28"/>
                <w:lang w:val="en-US" w:eastAsia="zh-CN" w:bidi="ar-SA"/>
              </w:rPr>
            </w:pPr>
            <w:r>
              <w:rPr>
                <w:rFonts w:hint="eastAsia" w:ascii="Times New Roman" w:hAnsi="Times New Roman" w:eastAsia="方正仿宋_GBK" w:cs="Times New Roman"/>
                <w:snapToGrid w:val="0"/>
                <w:color w:val="auto"/>
                <w:kern w:val="0"/>
                <w:sz w:val="28"/>
                <w:szCs w:val="28"/>
                <w:lang w:val="en-US" w:eastAsia="en-US" w:bidi="ar-SA"/>
              </w:rPr>
              <w:t>小写(¥)</w:t>
            </w:r>
            <w:r>
              <w:rPr>
                <w:rFonts w:hint="eastAsia" w:ascii="Times New Roman" w:hAnsi="Times New Roman" w:eastAsia="方正仿宋_GBK" w:cs="Times New Roman"/>
                <w:snapToGrid w:val="0"/>
                <w:color w:val="auto"/>
                <w:kern w:val="0"/>
                <w:sz w:val="28"/>
                <w:szCs w:val="28"/>
                <w:lang w:val="en-US" w:eastAsia="zh-CN" w:bidi="ar-SA"/>
              </w:rPr>
              <w:t>：</w:t>
            </w:r>
          </w:p>
        </w:tc>
      </w:tr>
    </w:tbl>
    <w:p w14:paraId="2FAFF14A">
      <w:pPr>
        <w:pStyle w:val="3"/>
        <w:keepNext w:val="0"/>
        <w:keepLines w:val="0"/>
        <w:pageBreakBefore w:val="0"/>
        <w:widowControl/>
        <w:numPr>
          <w:ilvl w:val="0"/>
          <w:numId w:val="1"/>
        </w:numPr>
        <w:tabs>
          <w:tab w:val="left" w:pos="5170"/>
        </w:tabs>
        <w:kinsoku w:val="0"/>
        <w:wordWrap/>
        <w:overflowPunct/>
        <w:topLinePunct w:val="0"/>
        <w:autoSpaceDE w:val="0"/>
        <w:autoSpaceDN w:val="0"/>
        <w:bidi w:val="0"/>
        <w:adjustRightInd w:val="0"/>
        <w:snapToGrid w:val="0"/>
        <w:spacing w:before="97" w:line="560" w:lineRule="exact"/>
        <w:ind w:right="249" w:firstLine="560" w:firstLineChars="200"/>
        <w:textAlignment w:val="baseline"/>
        <w:rPr>
          <w:rFonts w:hint="default" w:ascii="Times New Roman" w:hAnsi="Times New Roman" w:eastAsia="方正仿宋_GBK" w:cs="Times New Roman"/>
          <w:snapToGrid w:val="0"/>
          <w:color w:val="auto"/>
          <w:kern w:val="0"/>
          <w:sz w:val="28"/>
          <w:szCs w:val="28"/>
          <w:lang w:val="en-US" w:eastAsia="en-US" w:bidi="ar-SA"/>
        </w:rPr>
      </w:pPr>
      <w:r>
        <w:rPr>
          <w:rFonts w:hint="default" w:ascii="Times New Roman" w:hAnsi="Times New Roman" w:eastAsia="方正仿宋_GBK" w:cs="Times New Roman"/>
          <w:snapToGrid w:val="0"/>
          <w:color w:val="auto"/>
          <w:kern w:val="0"/>
          <w:sz w:val="28"/>
          <w:szCs w:val="28"/>
          <w:lang w:val="en-US" w:eastAsia="en-US" w:bidi="ar-SA"/>
        </w:rPr>
        <w:t>合同总价包括:货物的设计、制造、运输、装卸、安装、维护、验收、税费、人员培训及质保等可能出现的一切费用。关于所采购货物本身随同配备的备品备件及器材的价格已包含于合同总价，不再额外收取费用。乙方需保证所能够提供使用的备品备件来源渠道合法合规，确保备品备件产权归乙方所有。</w:t>
      </w:r>
    </w:p>
    <w:p w14:paraId="74051FCB">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default" w:ascii="Times New Roman" w:hAnsi="Times New Roman" w:eastAsia="方正仿宋_GBK" w:cs="Times New Roman"/>
          <w:snapToGrid w:val="0"/>
          <w:color w:val="auto"/>
          <w:kern w:val="0"/>
          <w:sz w:val="28"/>
          <w:szCs w:val="28"/>
          <w:lang w:val="en-US" w:eastAsia="en-US" w:bidi="ar-SA"/>
        </w:rPr>
      </w:pPr>
      <w:r>
        <w:rPr>
          <w:rFonts w:hint="default" w:ascii="Times New Roman" w:hAnsi="Times New Roman" w:eastAsia="方正仿宋_GBK" w:cs="Times New Roman"/>
          <w:snapToGrid w:val="0"/>
          <w:color w:val="auto"/>
          <w:kern w:val="0"/>
          <w:sz w:val="28"/>
          <w:szCs w:val="28"/>
          <w:lang w:val="en-US" w:eastAsia="en-US" w:bidi="ar-SA"/>
        </w:rPr>
        <w:t>3、合同总价一次性包死，不受市场价格变化因素的影响。在项目实施中产生的其它费用，均由乙方免费提供，甲方不再支付任何费用。</w:t>
      </w:r>
    </w:p>
    <w:p w14:paraId="2225D225">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leftChars="0" w:firstLine="640" w:firstLineChars="200"/>
        <w:textAlignment w:val="baseline"/>
        <w:outlineLvl w:val="5"/>
        <w:rPr>
          <w:rFonts w:hint="default" w:ascii="Times New Roman" w:hAnsi="Times New Roman" w:eastAsia="方正黑体_GBK" w:cs="Times New Roman"/>
          <w:b w:val="0"/>
          <w:bCs w:val="0"/>
          <w:snapToGrid w:val="0"/>
          <w:color w:val="auto"/>
          <w:kern w:val="0"/>
          <w:sz w:val="32"/>
          <w:szCs w:val="32"/>
          <w:lang w:val="en-US" w:eastAsia="zh-CN" w:bidi="ar-SA"/>
        </w:rPr>
      </w:pPr>
      <w:bookmarkStart w:id="3" w:name="三、款项支付及结算"/>
      <w:bookmarkEnd w:id="3"/>
      <w:r>
        <w:rPr>
          <w:rFonts w:hint="default" w:ascii="Times New Roman" w:hAnsi="Times New Roman" w:eastAsia="方正黑体_GBK" w:cs="Times New Roman"/>
          <w:b w:val="0"/>
          <w:bCs w:val="0"/>
          <w:snapToGrid w:val="0"/>
          <w:color w:val="auto"/>
          <w:kern w:val="0"/>
          <w:sz w:val="32"/>
          <w:szCs w:val="32"/>
          <w:lang w:val="en-US" w:eastAsia="zh-CN" w:bidi="ar-SA"/>
        </w:rPr>
        <w:t>三、款项支付及结算</w:t>
      </w:r>
    </w:p>
    <w:p w14:paraId="427DAB91">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default" w:ascii="Times New Roman" w:hAnsi="Times New Roman" w:eastAsia="方正仿宋_GBK" w:cs="Times New Roman"/>
          <w:b w:val="0"/>
          <w:bCs w:val="0"/>
          <w:snapToGrid w:val="0"/>
          <w:color w:val="auto"/>
          <w:kern w:val="0"/>
          <w:sz w:val="28"/>
          <w:szCs w:val="28"/>
          <w:lang w:val="en-US" w:eastAsia="en-US" w:bidi="ar-SA"/>
        </w:rPr>
      </w:pPr>
      <w:r>
        <w:rPr>
          <w:rFonts w:hint="default" w:ascii="Times New Roman" w:hAnsi="Times New Roman" w:eastAsia="方正仿宋_GBK" w:cs="Times New Roman"/>
          <w:b w:val="0"/>
          <w:bCs w:val="0"/>
          <w:snapToGrid w:val="0"/>
          <w:color w:val="auto"/>
          <w:kern w:val="0"/>
          <w:sz w:val="28"/>
          <w:szCs w:val="28"/>
          <w:lang w:val="en-US" w:eastAsia="en-US" w:bidi="ar-SA"/>
        </w:rPr>
        <w:t>1、结算方式</w:t>
      </w:r>
    </w:p>
    <w:p w14:paraId="2AEEFA52">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default"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zh-CN" w:bidi="ar-SA"/>
        </w:rPr>
        <w:t>（1）</w:t>
      </w:r>
      <w:r>
        <w:rPr>
          <w:rFonts w:hint="default" w:ascii="Times New Roman" w:hAnsi="Times New Roman" w:eastAsia="方正仿宋_GBK" w:cs="Times New Roman"/>
          <w:snapToGrid w:val="0"/>
          <w:color w:val="auto"/>
          <w:kern w:val="0"/>
          <w:sz w:val="28"/>
          <w:szCs w:val="28"/>
          <w:lang w:val="en-US" w:eastAsia="en-US" w:bidi="ar-SA"/>
        </w:rPr>
        <w:t>甲方在收到乙方履约保证金后10个工作日内，向乙方支付合同总价的60%，即人民币</w:t>
      </w:r>
      <w:r>
        <w:rPr>
          <w:rFonts w:hint="eastAsia" w:ascii="Times New Roman" w:hAnsi="Times New Roman" w:eastAsia="方正仿宋_GBK" w:cs="Times New Roman"/>
          <w:snapToGrid w:val="0"/>
          <w:color w:val="auto"/>
          <w:kern w:val="0"/>
          <w:sz w:val="28"/>
          <w:szCs w:val="28"/>
          <w:u w:val="single"/>
          <w:lang w:val="en-US" w:eastAsia="zh-CN" w:bidi="ar-SA"/>
        </w:rPr>
        <w:t xml:space="preserve">        </w:t>
      </w:r>
      <w:r>
        <w:rPr>
          <w:rFonts w:hint="default" w:ascii="Times New Roman" w:hAnsi="Times New Roman" w:eastAsia="方正仿宋_GBK" w:cs="Times New Roman"/>
          <w:snapToGrid w:val="0"/>
          <w:color w:val="auto"/>
          <w:kern w:val="0"/>
          <w:sz w:val="28"/>
          <w:szCs w:val="28"/>
          <w:lang w:val="en-US" w:eastAsia="en-US" w:bidi="ar-SA"/>
        </w:rPr>
        <w:t>元，大写：</w:t>
      </w:r>
      <w:r>
        <w:rPr>
          <w:rFonts w:hint="eastAsia" w:ascii="Times New Roman" w:hAnsi="Times New Roman" w:eastAsia="方正仿宋_GBK" w:cs="Times New Roman"/>
          <w:snapToGrid w:val="0"/>
          <w:color w:val="auto"/>
          <w:kern w:val="0"/>
          <w:sz w:val="28"/>
          <w:szCs w:val="28"/>
          <w:u w:val="single"/>
          <w:lang w:val="en-US" w:eastAsia="zh-CN" w:bidi="ar-SA"/>
        </w:rPr>
        <w:t xml:space="preserve">                    </w:t>
      </w:r>
      <w:r>
        <w:rPr>
          <w:rFonts w:hint="default" w:ascii="Times New Roman" w:hAnsi="Times New Roman" w:eastAsia="方正仿宋_GBK" w:cs="Times New Roman"/>
          <w:snapToGrid w:val="0"/>
          <w:color w:val="auto"/>
          <w:kern w:val="0"/>
          <w:sz w:val="28"/>
          <w:szCs w:val="28"/>
          <w:lang w:val="en-US" w:eastAsia="en-US" w:bidi="ar-SA"/>
        </w:rPr>
        <w:t>。</w:t>
      </w:r>
    </w:p>
    <w:p w14:paraId="3025D422">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default"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zh-CN" w:bidi="ar-SA"/>
        </w:rPr>
        <w:t>（2）</w:t>
      </w:r>
      <w:r>
        <w:rPr>
          <w:rFonts w:hint="default" w:ascii="Times New Roman" w:hAnsi="Times New Roman" w:eastAsia="方正仿宋_GBK" w:cs="Times New Roman"/>
          <w:snapToGrid w:val="0"/>
          <w:color w:val="auto"/>
          <w:kern w:val="0"/>
          <w:sz w:val="28"/>
          <w:szCs w:val="28"/>
          <w:lang w:val="en-US" w:eastAsia="en-US" w:bidi="ar-SA"/>
        </w:rPr>
        <w:t>货到甲方指定地点后，甲方20个工作日内向乙方支付合同总价20%，即人民币</w:t>
      </w:r>
      <w:r>
        <w:rPr>
          <w:rFonts w:hint="eastAsia" w:ascii="Times New Roman" w:hAnsi="Times New Roman" w:eastAsia="方正仿宋_GBK" w:cs="Times New Roman"/>
          <w:snapToGrid w:val="0"/>
          <w:color w:val="auto"/>
          <w:kern w:val="0"/>
          <w:sz w:val="28"/>
          <w:szCs w:val="28"/>
          <w:u w:val="single"/>
          <w:lang w:val="en-US" w:eastAsia="zh-CN" w:bidi="ar-SA"/>
        </w:rPr>
        <w:t xml:space="preserve">        </w:t>
      </w:r>
      <w:r>
        <w:rPr>
          <w:rFonts w:hint="default" w:ascii="Times New Roman" w:hAnsi="Times New Roman" w:eastAsia="方正仿宋_GBK" w:cs="Times New Roman"/>
          <w:snapToGrid w:val="0"/>
          <w:color w:val="auto"/>
          <w:kern w:val="0"/>
          <w:sz w:val="28"/>
          <w:szCs w:val="28"/>
          <w:lang w:val="en-US" w:eastAsia="en-US" w:bidi="ar-SA"/>
        </w:rPr>
        <w:t>元，大写：</w:t>
      </w:r>
      <w:r>
        <w:rPr>
          <w:rFonts w:hint="eastAsia" w:ascii="Times New Roman" w:hAnsi="Times New Roman" w:eastAsia="方正仿宋_GBK" w:cs="Times New Roman"/>
          <w:snapToGrid w:val="0"/>
          <w:color w:val="auto"/>
          <w:kern w:val="0"/>
          <w:sz w:val="28"/>
          <w:szCs w:val="28"/>
          <w:u w:val="single"/>
          <w:lang w:val="en-US" w:eastAsia="zh-CN" w:bidi="ar-SA"/>
        </w:rPr>
        <w:t xml:space="preserve">                    </w:t>
      </w:r>
      <w:r>
        <w:rPr>
          <w:rFonts w:hint="default" w:ascii="Times New Roman" w:hAnsi="Times New Roman" w:eastAsia="方正仿宋_GBK" w:cs="Times New Roman"/>
          <w:snapToGrid w:val="0"/>
          <w:color w:val="auto"/>
          <w:kern w:val="0"/>
          <w:sz w:val="28"/>
          <w:szCs w:val="28"/>
          <w:lang w:val="en-US" w:eastAsia="en-US" w:bidi="ar-SA"/>
        </w:rPr>
        <w:t>。</w:t>
      </w:r>
    </w:p>
    <w:p w14:paraId="28A9B80F">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default"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zh-CN" w:bidi="ar-SA"/>
        </w:rPr>
        <w:t>（3）</w:t>
      </w:r>
      <w:r>
        <w:rPr>
          <w:rFonts w:hint="default" w:ascii="Times New Roman" w:hAnsi="Times New Roman" w:eastAsia="方正仿宋_GBK" w:cs="Times New Roman"/>
          <w:snapToGrid w:val="0"/>
          <w:color w:val="auto"/>
          <w:kern w:val="0"/>
          <w:sz w:val="28"/>
          <w:szCs w:val="28"/>
          <w:lang w:val="en-US" w:eastAsia="en-US" w:bidi="ar-SA"/>
        </w:rPr>
        <w:t>货物经甲方验收（安装）合格后，甲方20个工作日内向乙方支付合同总价20%，即人民币</w:t>
      </w:r>
      <w:r>
        <w:rPr>
          <w:rFonts w:hint="eastAsia" w:ascii="Times New Roman" w:hAnsi="Times New Roman" w:eastAsia="方正仿宋_GBK" w:cs="Times New Roman"/>
          <w:snapToGrid w:val="0"/>
          <w:color w:val="auto"/>
          <w:kern w:val="0"/>
          <w:sz w:val="28"/>
          <w:szCs w:val="28"/>
          <w:u w:val="single"/>
          <w:lang w:val="en-US" w:eastAsia="zh-CN" w:bidi="ar-SA"/>
        </w:rPr>
        <w:t xml:space="preserve">        </w:t>
      </w:r>
      <w:r>
        <w:rPr>
          <w:rFonts w:hint="default" w:ascii="Times New Roman" w:hAnsi="Times New Roman" w:eastAsia="方正仿宋_GBK" w:cs="Times New Roman"/>
          <w:snapToGrid w:val="0"/>
          <w:color w:val="auto"/>
          <w:kern w:val="0"/>
          <w:sz w:val="28"/>
          <w:szCs w:val="28"/>
          <w:lang w:val="en-US" w:eastAsia="en-US" w:bidi="ar-SA"/>
        </w:rPr>
        <w:t>元，大写：</w:t>
      </w:r>
      <w:r>
        <w:rPr>
          <w:rFonts w:hint="eastAsia" w:ascii="Times New Roman" w:hAnsi="Times New Roman" w:eastAsia="方正仿宋_GBK" w:cs="Times New Roman"/>
          <w:snapToGrid w:val="0"/>
          <w:color w:val="auto"/>
          <w:kern w:val="0"/>
          <w:sz w:val="28"/>
          <w:szCs w:val="28"/>
          <w:u w:val="single"/>
          <w:lang w:val="en-US" w:eastAsia="zh-CN" w:bidi="ar-SA"/>
        </w:rPr>
        <w:t xml:space="preserve">                    </w:t>
      </w:r>
      <w:r>
        <w:rPr>
          <w:rFonts w:hint="default" w:ascii="Times New Roman" w:hAnsi="Times New Roman" w:eastAsia="方正仿宋_GBK" w:cs="Times New Roman"/>
          <w:snapToGrid w:val="0"/>
          <w:color w:val="auto"/>
          <w:kern w:val="0"/>
          <w:sz w:val="28"/>
          <w:szCs w:val="28"/>
          <w:lang w:val="en-US" w:eastAsia="en-US" w:bidi="ar-SA"/>
        </w:rPr>
        <w:t>。</w:t>
      </w:r>
    </w:p>
    <w:p w14:paraId="394EE6F4">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default"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zh-CN" w:bidi="ar-SA"/>
        </w:rPr>
        <w:t>（4）</w:t>
      </w:r>
      <w:r>
        <w:rPr>
          <w:rFonts w:hint="default" w:ascii="Times New Roman" w:hAnsi="Times New Roman" w:eastAsia="方正仿宋_GBK" w:cs="Times New Roman"/>
          <w:snapToGrid w:val="0"/>
          <w:color w:val="auto"/>
          <w:kern w:val="0"/>
          <w:sz w:val="28"/>
          <w:szCs w:val="28"/>
          <w:lang w:val="en-US" w:eastAsia="en-US" w:bidi="ar-SA"/>
        </w:rPr>
        <w:t>在甲方第三次付款前，乙方必须开具全额增值税发票给甲方，未按照甲方要求开具发票，甲方可顺延付款时间不承担违约责任，由此造成的损失由乙方承担。</w:t>
      </w:r>
    </w:p>
    <w:p w14:paraId="3C323026">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default" w:ascii="Times New Roman" w:hAnsi="Times New Roman" w:eastAsia="方正仿宋_GBK" w:cs="Times New Roman"/>
          <w:b w:val="0"/>
          <w:bCs w:val="0"/>
          <w:snapToGrid w:val="0"/>
          <w:color w:val="auto"/>
          <w:kern w:val="0"/>
          <w:sz w:val="28"/>
          <w:szCs w:val="28"/>
          <w:lang w:val="en-US" w:eastAsia="en-US" w:bidi="ar-SA"/>
        </w:rPr>
      </w:pPr>
      <w:r>
        <w:rPr>
          <w:rFonts w:hint="default" w:ascii="Times New Roman" w:hAnsi="Times New Roman" w:eastAsia="方正仿宋_GBK" w:cs="Times New Roman"/>
          <w:b w:val="0"/>
          <w:bCs w:val="0"/>
          <w:snapToGrid w:val="0"/>
          <w:color w:val="auto"/>
          <w:kern w:val="0"/>
          <w:sz w:val="28"/>
          <w:szCs w:val="28"/>
          <w:lang w:val="en-US" w:eastAsia="en-US" w:bidi="ar-SA"/>
        </w:rPr>
        <w:t>2、履约保证金</w:t>
      </w:r>
    </w:p>
    <w:p w14:paraId="62CDDF08">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zh-CN" w:bidi="ar-SA"/>
        </w:rPr>
        <w:t>（1）</w:t>
      </w:r>
      <w:r>
        <w:rPr>
          <w:rFonts w:hint="eastAsia" w:ascii="Times New Roman" w:hAnsi="Times New Roman" w:eastAsia="方正仿宋_GBK" w:cs="Times New Roman"/>
          <w:snapToGrid w:val="0"/>
          <w:color w:val="auto"/>
          <w:kern w:val="0"/>
          <w:sz w:val="28"/>
          <w:szCs w:val="28"/>
          <w:lang w:val="en-US" w:eastAsia="en-US" w:bidi="ar-SA"/>
        </w:rPr>
        <w:t>履约保证金的收取</w:t>
      </w:r>
    </w:p>
    <w:p w14:paraId="191CA2A0">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签订合同后10个工作日内，乙方须向甲方交纳合同金额的5%作为履约保证金（履约保证金应采取支票、本票、汇票、保函等非现金形式提交），</w:t>
      </w:r>
      <w:r>
        <w:rPr>
          <w:rFonts w:hint="default" w:ascii="Times New Roman" w:hAnsi="Times New Roman" w:eastAsia="方正仿宋_GBK" w:cs="Times New Roman"/>
          <w:snapToGrid w:val="0"/>
          <w:color w:val="auto"/>
          <w:kern w:val="0"/>
          <w:sz w:val="28"/>
          <w:szCs w:val="28"/>
          <w:lang w:val="en-US" w:eastAsia="en-US" w:bidi="ar-SA"/>
        </w:rPr>
        <w:t>即人民币</w:t>
      </w:r>
      <w:r>
        <w:rPr>
          <w:rFonts w:hint="eastAsia" w:ascii="Times New Roman" w:hAnsi="Times New Roman" w:eastAsia="方正仿宋_GBK" w:cs="Times New Roman"/>
          <w:snapToGrid w:val="0"/>
          <w:color w:val="auto"/>
          <w:kern w:val="0"/>
          <w:sz w:val="28"/>
          <w:szCs w:val="28"/>
          <w:u w:val="single"/>
          <w:lang w:val="en-US" w:eastAsia="zh-CN" w:bidi="ar-SA"/>
        </w:rPr>
        <w:t xml:space="preserve">      </w:t>
      </w:r>
      <w:r>
        <w:rPr>
          <w:rFonts w:hint="default" w:ascii="Times New Roman" w:hAnsi="Times New Roman" w:eastAsia="方正仿宋_GBK" w:cs="Times New Roman"/>
          <w:snapToGrid w:val="0"/>
          <w:color w:val="auto"/>
          <w:kern w:val="0"/>
          <w:sz w:val="28"/>
          <w:szCs w:val="28"/>
          <w:lang w:val="en-US" w:eastAsia="en-US" w:bidi="ar-SA"/>
        </w:rPr>
        <w:t>元，大写：</w:t>
      </w:r>
      <w:r>
        <w:rPr>
          <w:rFonts w:hint="eastAsia" w:ascii="Times New Roman" w:hAnsi="Times New Roman" w:eastAsia="方正仿宋_GBK" w:cs="Times New Roman"/>
          <w:snapToGrid w:val="0"/>
          <w:color w:val="auto"/>
          <w:kern w:val="0"/>
          <w:sz w:val="28"/>
          <w:szCs w:val="28"/>
          <w:u w:val="single"/>
          <w:lang w:val="en-US" w:eastAsia="zh-CN" w:bidi="ar-SA"/>
        </w:rPr>
        <w:t xml:space="preserve">                        </w:t>
      </w:r>
      <w:r>
        <w:rPr>
          <w:rFonts w:hint="eastAsia" w:ascii="Times New Roman" w:hAnsi="Times New Roman" w:eastAsia="方正仿宋_GBK" w:cs="Times New Roman"/>
          <w:snapToGrid w:val="0"/>
          <w:color w:val="auto"/>
          <w:kern w:val="0"/>
          <w:sz w:val="28"/>
          <w:szCs w:val="28"/>
          <w:lang w:val="en-US" w:eastAsia="en-US" w:bidi="ar-SA"/>
        </w:rPr>
        <w:t>。</w:t>
      </w:r>
    </w:p>
    <w:p w14:paraId="4C608D01">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zh-CN" w:bidi="ar-SA"/>
        </w:rPr>
        <w:t>（2）</w:t>
      </w:r>
      <w:r>
        <w:rPr>
          <w:rFonts w:hint="eastAsia" w:ascii="Times New Roman" w:hAnsi="Times New Roman" w:eastAsia="方正仿宋_GBK" w:cs="Times New Roman"/>
          <w:snapToGrid w:val="0"/>
          <w:color w:val="auto"/>
          <w:kern w:val="0"/>
          <w:sz w:val="28"/>
          <w:szCs w:val="28"/>
          <w:lang w:val="en-US" w:eastAsia="en-US" w:bidi="ar-SA"/>
        </w:rPr>
        <w:t>退还的时间及方式</w:t>
      </w:r>
    </w:p>
    <w:p w14:paraId="7B491171">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乙方在合同履约完成经验收合格后，甲方在 10 个工作日内，全额无息退还履约保证金。</w:t>
      </w:r>
    </w:p>
    <w:p w14:paraId="6AB982B4">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退还方式：根据中标人的支付方式进行退还。</w:t>
      </w:r>
    </w:p>
    <w:p w14:paraId="5031B0A8">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zh-CN" w:bidi="ar-SA"/>
        </w:rPr>
        <w:t>（3）</w:t>
      </w:r>
      <w:r>
        <w:rPr>
          <w:rFonts w:hint="eastAsia" w:ascii="Times New Roman" w:hAnsi="Times New Roman" w:eastAsia="方正仿宋_GBK" w:cs="Times New Roman"/>
          <w:snapToGrid w:val="0"/>
          <w:color w:val="auto"/>
          <w:kern w:val="0"/>
          <w:sz w:val="28"/>
          <w:szCs w:val="28"/>
          <w:lang w:val="en-US" w:eastAsia="en-US" w:bidi="ar-SA"/>
        </w:rPr>
        <w:t>不予退还的情形</w:t>
      </w:r>
    </w:p>
    <w:p w14:paraId="33F8ED5D">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出现下列情形之一的，甲方有权不予退还乙方交纳的履约保证金，且乙方无权要求甲方支付任何利息或补偿：</w:t>
      </w:r>
    </w:p>
    <w:p w14:paraId="010A1F9C">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① 乙方在履行合同过程中存在违约行为，包括但不限于所提供的装备或服务不符合合同约定的质量标准、技术规范、功能要求或数量要求， 经甲方指出后未在合理期限内改正的；</w:t>
      </w:r>
    </w:p>
    <w:p w14:paraId="44B47A5F">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② 乙方未按合同约定的时间、地点或方式履行交货等合同义务；</w:t>
      </w:r>
    </w:p>
    <w:p w14:paraId="52C96B00">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③因乙方原因导致合同被解除或终止的；</w:t>
      </w:r>
    </w:p>
    <w:p w14:paraId="047427F0">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④法律法规或本合同约定的其他不予退还履约保证金的情形。</w:t>
      </w:r>
    </w:p>
    <w:p w14:paraId="779D7DEF">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甲方不予退还履约保证金的，并不免除乙方应承担的其他违约责任。</w:t>
      </w:r>
    </w:p>
    <w:p w14:paraId="22FD5FFF">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zh-CN" w:bidi="ar-SA"/>
        </w:rPr>
        <w:t>（4）</w:t>
      </w:r>
      <w:r>
        <w:rPr>
          <w:rFonts w:hint="eastAsia" w:ascii="Times New Roman" w:hAnsi="Times New Roman" w:eastAsia="方正仿宋_GBK" w:cs="Times New Roman"/>
          <w:snapToGrid w:val="0"/>
          <w:color w:val="auto"/>
          <w:kern w:val="0"/>
          <w:sz w:val="28"/>
          <w:szCs w:val="28"/>
          <w:lang w:val="en-US" w:eastAsia="en-US" w:bidi="ar-SA"/>
        </w:rPr>
        <w:t>逾期退还的违约责任</w:t>
      </w:r>
    </w:p>
    <w:p w14:paraId="7C1F9B90">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①采购人逾期退还履约保证金的，应当承担赔偿责任。除按合同约定无息退还履约保证金本金外，还应自应退还之日的次日起，按中国人民银行公布的同期贷款市场报价利率（LPR）向中标人支付资金占用期间的利息。</w:t>
      </w:r>
    </w:p>
    <w:p w14:paraId="5BB26C8B">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②接受财政部门将逾期退还履约保证金的行为进行监管。</w:t>
      </w:r>
    </w:p>
    <w:p w14:paraId="13B92853">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备注：履约保证金的相关事宜，参考《陕西省财政厅关于进一步加大政府采购支持中小企业力度的通知》（陕财办采〔2022〕5号）的有关规定执行。</w:t>
      </w:r>
    </w:p>
    <w:p w14:paraId="35FD1137">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leftChars="0" w:firstLine="640" w:firstLineChars="200"/>
        <w:textAlignment w:val="baseline"/>
        <w:outlineLvl w:val="5"/>
        <w:rPr>
          <w:rFonts w:hint="default" w:ascii="Times New Roman" w:hAnsi="Times New Roman" w:eastAsia="方正黑体_GBK" w:cs="Times New Roman"/>
          <w:b w:val="0"/>
          <w:bCs w:val="0"/>
          <w:snapToGrid w:val="0"/>
          <w:color w:val="auto"/>
          <w:kern w:val="0"/>
          <w:sz w:val="32"/>
          <w:szCs w:val="32"/>
          <w:lang w:val="en-US" w:eastAsia="zh-CN" w:bidi="ar-SA"/>
        </w:rPr>
      </w:pPr>
      <w:r>
        <w:rPr>
          <w:rFonts w:hint="default" w:ascii="Times New Roman" w:hAnsi="Times New Roman" w:eastAsia="方正黑体_GBK" w:cs="Times New Roman"/>
          <w:b w:val="0"/>
          <w:bCs w:val="0"/>
          <w:snapToGrid w:val="0"/>
          <w:color w:val="auto"/>
          <w:kern w:val="0"/>
          <w:sz w:val="32"/>
          <w:szCs w:val="32"/>
          <w:lang w:val="en-US" w:eastAsia="zh-CN" w:bidi="ar-SA"/>
        </w:rPr>
        <w:t>四、双方的权利和义务</w:t>
      </w:r>
    </w:p>
    <w:p w14:paraId="035FAB14">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1、甲方责任</w:t>
      </w:r>
    </w:p>
    <w:p w14:paraId="20DF08E5">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负责核准、认定本项目相关技术资料文档；监督、参与项目执行的整个过程（包括实施方案的设计、安装调试、项目验收、人员培训、售后服务等）；为乙方提供必要的工作条件，并提供该产品所必需的运行环境； 按照合同约定支付各阶段合同款项。</w:t>
      </w:r>
    </w:p>
    <w:p w14:paraId="01AA5A28">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2、乙方责任</w:t>
      </w:r>
    </w:p>
    <w:p w14:paraId="32883C21">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按时完成产品运行环境的检查；产品的交接；按时完成本合同所涉及产品的安装调试、验收工作；协助配合甲方完成应用系统的整合工作；为甲方提供《产品测试验收报告》；做好整个项目的售后服务技术支持工作。附件同时提供产品详细的中文技术规格书和外观照片。提供零配件供应周期、工时费等服务标准。</w:t>
      </w:r>
    </w:p>
    <w:p w14:paraId="5E4BD073">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leftChars="0" w:firstLine="640" w:firstLineChars="200"/>
        <w:textAlignment w:val="baseline"/>
        <w:outlineLvl w:val="5"/>
        <w:rPr>
          <w:rFonts w:hint="default" w:ascii="Times New Roman" w:hAnsi="Times New Roman" w:eastAsia="方正黑体_GBK" w:cs="Times New Roman"/>
          <w:b w:val="0"/>
          <w:bCs w:val="0"/>
          <w:snapToGrid w:val="0"/>
          <w:color w:val="auto"/>
          <w:kern w:val="0"/>
          <w:sz w:val="32"/>
          <w:szCs w:val="32"/>
          <w:lang w:val="en-US" w:eastAsia="zh-CN" w:bidi="ar-SA"/>
        </w:rPr>
      </w:pPr>
      <w:bookmarkStart w:id="4" w:name="五、交货条件"/>
      <w:bookmarkEnd w:id="4"/>
      <w:r>
        <w:rPr>
          <w:rFonts w:hint="default" w:ascii="Times New Roman" w:hAnsi="Times New Roman" w:eastAsia="方正黑体_GBK" w:cs="Times New Roman"/>
          <w:b w:val="0"/>
          <w:bCs w:val="0"/>
          <w:snapToGrid w:val="0"/>
          <w:color w:val="auto"/>
          <w:kern w:val="0"/>
          <w:sz w:val="32"/>
          <w:szCs w:val="32"/>
          <w:lang w:val="en-US" w:eastAsia="zh-CN" w:bidi="ar-SA"/>
        </w:rPr>
        <w:t>五、交货条件</w:t>
      </w:r>
    </w:p>
    <w:p w14:paraId="185FFB0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zh-CN" w:bidi="ar-SA"/>
        </w:rPr>
        <w:t>1.验收地点：</w:t>
      </w:r>
      <w:r>
        <w:rPr>
          <w:rFonts w:hint="eastAsia" w:ascii="Times New Roman" w:hAnsi="Times New Roman" w:eastAsia="方正仿宋_GBK" w:cs="Times New Roman"/>
          <w:snapToGrid w:val="0"/>
          <w:color w:val="auto"/>
          <w:kern w:val="0"/>
          <w:sz w:val="28"/>
          <w:szCs w:val="28"/>
          <w:lang w:val="en-US" w:eastAsia="en-US" w:bidi="ar-SA"/>
        </w:rPr>
        <w:t>陕西省铜川市新区鸿基东路战勤保障基地</w:t>
      </w:r>
      <w:r>
        <w:rPr>
          <w:rFonts w:hint="eastAsia" w:ascii="Times New Roman" w:hAnsi="Times New Roman" w:eastAsia="方正仿宋_GBK" w:cs="Times New Roman"/>
          <w:snapToGrid w:val="0"/>
          <w:color w:val="auto"/>
          <w:kern w:val="0"/>
          <w:sz w:val="28"/>
          <w:szCs w:val="28"/>
          <w:lang w:val="en-US" w:eastAsia="zh-CN" w:bidi="ar-SA"/>
        </w:rPr>
        <w:t>（同交货地点）</w:t>
      </w:r>
      <w:r>
        <w:rPr>
          <w:rFonts w:hint="eastAsia" w:ascii="Times New Roman" w:hAnsi="Times New Roman" w:eastAsia="方正仿宋_GBK" w:cs="Times New Roman"/>
          <w:snapToGrid w:val="0"/>
          <w:color w:val="auto"/>
          <w:kern w:val="0"/>
          <w:sz w:val="28"/>
          <w:szCs w:val="28"/>
          <w:lang w:val="en-US" w:eastAsia="en-US" w:bidi="ar-SA"/>
        </w:rPr>
        <w:t>。</w:t>
      </w:r>
    </w:p>
    <w:p w14:paraId="7ADB3DE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（1）乙方必须派人送货清点、移交、培训。不受理任何物流、邮寄供货业务。</w:t>
      </w:r>
    </w:p>
    <w:p w14:paraId="09DFAAA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（2）本合同所有产品单件必须标明厂商、商标、型号、生产时间并附有效期内的检测报告并盖章。</w:t>
      </w:r>
    </w:p>
    <w:p w14:paraId="4A768A6D">
      <w:pPr>
        <w:pStyle w:val="3"/>
        <w:keepNext w:val="0"/>
        <w:keepLines w:val="0"/>
        <w:pageBreakBefore w:val="0"/>
        <w:widowControl/>
        <w:kinsoku w:val="0"/>
        <w:wordWrap/>
        <w:overflowPunct/>
        <w:topLinePunct w:val="0"/>
        <w:autoSpaceDE w:val="0"/>
        <w:autoSpaceDN w:val="0"/>
        <w:bidi w:val="0"/>
        <w:spacing w:line="560" w:lineRule="exact"/>
        <w:ind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2、交货期：合同签订后，</w:t>
      </w:r>
      <w:r>
        <w:rPr>
          <w:rFonts w:hint="eastAsia" w:ascii="Times New Roman" w:hAnsi="Times New Roman" w:eastAsia="方正仿宋_GBK" w:cs="Times New Roman"/>
          <w:snapToGrid w:val="0"/>
          <w:color w:val="auto"/>
          <w:kern w:val="0"/>
          <w:sz w:val="28"/>
          <w:szCs w:val="28"/>
          <w:lang w:val="en-US" w:eastAsia="zh-CN" w:bidi="ar-SA"/>
        </w:rPr>
        <w:t>60</w:t>
      </w:r>
      <w:r>
        <w:rPr>
          <w:rFonts w:hint="eastAsia" w:ascii="Times New Roman" w:hAnsi="Times New Roman" w:eastAsia="方正仿宋_GBK" w:cs="Times New Roman"/>
          <w:b w:val="0"/>
          <w:bCs w:val="0"/>
          <w:snapToGrid w:val="0"/>
          <w:color w:val="auto"/>
          <w:kern w:val="0"/>
          <w:sz w:val="28"/>
          <w:szCs w:val="28"/>
          <w:lang w:val="en-US" w:eastAsia="zh-CN" w:bidi="ar-SA"/>
        </w:rPr>
        <w:t>个</w:t>
      </w:r>
      <w:r>
        <w:rPr>
          <w:rFonts w:hint="eastAsia" w:ascii="Times New Roman" w:hAnsi="Times New Roman" w:eastAsia="方正仿宋_GBK" w:cs="Times New Roman"/>
          <w:snapToGrid w:val="0"/>
          <w:color w:val="auto"/>
          <w:kern w:val="0"/>
          <w:sz w:val="28"/>
          <w:szCs w:val="28"/>
          <w:lang w:val="en-US" w:eastAsia="en-US" w:bidi="ar-SA"/>
        </w:rPr>
        <w:t>日历日内送至甲方指定地点交货。</w:t>
      </w:r>
    </w:p>
    <w:p w14:paraId="01365557">
      <w:pPr>
        <w:pStyle w:val="3"/>
        <w:keepNext w:val="0"/>
        <w:keepLines w:val="0"/>
        <w:pageBreakBefore w:val="0"/>
        <w:widowControl/>
        <w:kinsoku w:val="0"/>
        <w:wordWrap/>
        <w:overflowPunct/>
        <w:topLinePunct w:val="0"/>
        <w:autoSpaceDE w:val="0"/>
        <w:autoSpaceDN w:val="0"/>
        <w:bidi w:val="0"/>
        <w:spacing w:before="140" w:line="560" w:lineRule="exact"/>
        <w:ind w:right="386" w:firstLine="568"/>
        <w:jc w:val="both"/>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3、根据《国家消防救援局办公室关于推广应用新版消防装备管理系统的通知》要求，所交付装备须附着由“消防装备物资信息采集系统”生成数据制作的二维码和RFID，芯片内容根据甲方要求填写。</w:t>
      </w:r>
    </w:p>
    <w:p w14:paraId="3147BF29">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leftChars="0" w:firstLine="640" w:firstLineChars="200"/>
        <w:textAlignment w:val="baseline"/>
        <w:outlineLvl w:val="5"/>
        <w:rPr>
          <w:rFonts w:hint="default" w:ascii="Times New Roman" w:hAnsi="Times New Roman" w:eastAsia="方正黑体_GBK" w:cs="Times New Roman"/>
          <w:b w:val="0"/>
          <w:bCs w:val="0"/>
          <w:snapToGrid w:val="0"/>
          <w:color w:val="auto"/>
          <w:kern w:val="0"/>
          <w:sz w:val="32"/>
          <w:szCs w:val="32"/>
          <w:lang w:val="en-US" w:eastAsia="zh-CN" w:bidi="ar-SA"/>
        </w:rPr>
      </w:pPr>
      <w:bookmarkStart w:id="5" w:name="六、包装运输"/>
      <w:bookmarkEnd w:id="5"/>
      <w:r>
        <w:rPr>
          <w:rFonts w:hint="default" w:ascii="Times New Roman" w:hAnsi="Times New Roman" w:eastAsia="方正黑体_GBK" w:cs="Times New Roman"/>
          <w:b w:val="0"/>
          <w:bCs w:val="0"/>
          <w:snapToGrid w:val="0"/>
          <w:color w:val="auto"/>
          <w:kern w:val="0"/>
          <w:sz w:val="32"/>
          <w:szCs w:val="32"/>
          <w:lang w:val="en-US" w:eastAsia="zh-CN" w:bidi="ar-SA"/>
        </w:rPr>
        <w:t>六、包装运输</w:t>
      </w:r>
    </w:p>
    <w:p w14:paraId="144287F7">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1、运输由乙方负责，运杂费已包含在合同总价内，包括从产品供应地点到验收</w:t>
      </w:r>
      <w:r>
        <w:rPr>
          <w:rFonts w:hint="eastAsia" w:ascii="Times New Roman" w:hAnsi="Times New Roman" w:eastAsia="方正仿宋_GBK" w:cs="Times New Roman"/>
          <w:snapToGrid w:val="0"/>
          <w:color w:val="auto"/>
          <w:kern w:val="0"/>
          <w:sz w:val="28"/>
          <w:szCs w:val="28"/>
          <w:lang w:val="en-US" w:eastAsia="zh-CN" w:bidi="ar-SA"/>
        </w:rPr>
        <w:t>交货</w:t>
      </w:r>
      <w:r>
        <w:rPr>
          <w:rFonts w:hint="eastAsia" w:ascii="Times New Roman" w:hAnsi="Times New Roman" w:eastAsia="方正仿宋_GBK" w:cs="Times New Roman"/>
          <w:snapToGrid w:val="0"/>
          <w:color w:val="auto"/>
          <w:kern w:val="0"/>
          <w:sz w:val="28"/>
          <w:szCs w:val="28"/>
          <w:lang w:val="en-US" w:eastAsia="en-US" w:bidi="ar-SA"/>
        </w:rPr>
        <w:t>地点（陕西省铜川市新区鸿基东路战勤保障基地）所含的运输费、装卸费、仓储费、保险费等。</w:t>
      </w:r>
      <w:r>
        <w:rPr>
          <w:rFonts w:hint="eastAsia" w:ascii="方正仿宋_GBK" w:hAnsi="方正仿宋_GBK" w:eastAsia="方正仿宋_GBK" w:cs="方正仿宋_GBK"/>
          <w:snapToGrid w:val="0"/>
          <w:color w:val="auto"/>
          <w:kern w:val="0"/>
          <w:sz w:val="28"/>
          <w:szCs w:val="28"/>
          <w:lang w:val="en-US" w:eastAsia="en-US" w:bidi="ar-SA"/>
        </w:rPr>
        <w:t>（采购人不接受快递投递）</w:t>
      </w:r>
    </w:p>
    <w:p w14:paraId="77C79D6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2、乙方保证产品安全、按期运输到达甲方指定验收</w:t>
      </w:r>
      <w:r>
        <w:rPr>
          <w:rFonts w:hint="eastAsia" w:ascii="Times New Roman" w:hAnsi="Times New Roman" w:eastAsia="方正仿宋_GBK" w:cs="Times New Roman"/>
          <w:snapToGrid w:val="0"/>
          <w:color w:val="auto"/>
          <w:kern w:val="0"/>
          <w:sz w:val="28"/>
          <w:szCs w:val="28"/>
          <w:lang w:val="en-US" w:eastAsia="zh-CN" w:bidi="ar-SA"/>
        </w:rPr>
        <w:t>交货</w:t>
      </w:r>
      <w:r>
        <w:rPr>
          <w:rFonts w:hint="eastAsia" w:ascii="Times New Roman" w:hAnsi="Times New Roman" w:eastAsia="方正仿宋_GBK" w:cs="Times New Roman"/>
          <w:snapToGrid w:val="0"/>
          <w:color w:val="auto"/>
          <w:kern w:val="0"/>
          <w:sz w:val="28"/>
          <w:szCs w:val="28"/>
          <w:lang w:val="en-US" w:eastAsia="en-US" w:bidi="ar-SA"/>
        </w:rPr>
        <w:t>地点（陕西省铜川市新区鸿基东路战勤保障基地），在到达甲方指定交货地点前发生的不可预见的风险均由乙方承担。</w:t>
      </w:r>
    </w:p>
    <w:p w14:paraId="4D7441DF">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3、乙方提供的全部产品及相关快递服务的包装要求，按照《商品包装政府采购需求标准（试行）》、《快递包装政府采购需求标准（试行）》执行。满足航空、铁路或公路运输以及货物装卸要求，保证采购人收到的是无任何损伤的货物，否则，因此造成的损失由乙方自行承担。同时，乙方必须保证如期交付，不得断货，否则，因断货造成的损失由乙方负责赔偿。</w:t>
      </w:r>
    </w:p>
    <w:p w14:paraId="5463C916">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4、乙方保证产品安全、按期运输到达甲方指定交货地点，在甲方验收前发生的不可预见的风险均由乙方承担。</w:t>
      </w:r>
    </w:p>
    <w:p w14:paraId="205DF1DB">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leftChars="0" w:firstLine="640" w:firstLineChars="200"/>
        <w:textAlignment w:val="baseline"/>
        <w:outlineLvl w:val="5"/>
        <w:rPr>
          <w:rFonts w:hint="default" w:ascii="Times New Roman" w:hAnsi="Times New Roman" w:eastAsia="方正黑体_GBK" w:cs="Times New Roman"/>
          <w:b w:val="0"/>
          <w:bCs w:val="0"/>
          <w:snapToGrid w:val="0"/>
          <w:color w:val="auto"/>
          <w:kern w:val="0"/>
          <w:sz w:val="32"/>
          <w:szCs w:val="32"/>
          <w:lang w:val="en-US" w:eastAsia="zh-CN" w:bidi="ar-SA"/>
        </w:rPr>
      </w:pPr>
      <w:r>
        <w:rPr>
          <w:rFonts w:hint="default" w:ascii="Times New Roman" w:hAnsi="Times New Roman" w:eastAsia="方正黑体_GBK" w:cs="Times New Roman"/>
          <w:b w:val="0"/>
          <w:bCs w:val="0"/>
          <w:snapToGrid w:val="0"/>
          <w:color w:val="auto"/>
          <w:kern w:val="0"/>
          <w:sz w:val="32"/>
          <w:szCs w:val="32"/>
          <w:lang w:val="en-US" w:eastAsia="zh-CN" w:bidi="ar-SA"/>
        </w:rPr>
        <w:t>七、乙方质量保证</w:t>
      </w:r>
    </w:p>
    <w:p w14:paraId="2BF84499">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1、保修期（质保期）：</w:t>
      </w:r>
      <w:r>
        <w:rPr>
          <w:rFonts w:hint="eastAsia" w:ascii="Times New Roman" w:hAnsi="Times New Roman" w:eastAsia="方正仿宋_GBK" w:cs="Times New Roman"/>
          <w:snapToGrid w:val="0"/>
          <w:color w:val="auto"/>
          <w:kern w:val="0"/>
          <w:sz w:val="28"/>
          <w:szCs w:val="28"/>
          <w:lang w:val="en-US" w:eastAsia="zh-CN" w:bidi="ar-SA"/>
        </w:rPr>
        <w:t>3</w:t>
      </w:r>
      <w:r>
        <w:rPr>
          <w:rFonts w:hint="eastAsia" w:ascii="Times New Roman" w:hAnsi="Times New Roman" w:eastAsia="方正仿宋_GBK" w:cs="Times New Roman"/>
          <w:snapToGrid w:val="0"/>
          <w:color w:val="auto"/>
          <w:kern w:val="0"/>
          <w:sz w:val="28"/>
          <w:szCs w:val="28"/>
          <w:lang w:val="en-US" w:eastAsia="en-US" w:bidi="ar-SA"/>
        </w:rPr>
        <w:t>年，乙方按照招标文件中各标段技术参数中的要求执行（与本合同第二款中质保期相符），自产品经甲方验收合格后之次日算起，确因质量问题不能使用的，应当免费换新。</w:t>
      </w:r>
    </w:p>
    <w:p w14:paraId="7C0C4028">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2、提供每周7*24 小时的技术咨询服务。乙方接到甲方维修要求后，保证</w:t>
      </w:r>
      <w:r>
        <w:rPr>
          <w:rFonts w:hint="eastAsia" w:ascii="Times New Roman" w:hAnsi="Times New Roman" w:eastAsia="方正仿宋_GBK" w:cs="Times New Roman"/>
          <w:snapToGrid w:val="0"/>
          <w:color w:val="auto"/>
          <w:kern w:val="0"/>
          <w:sz w:val="28"/>
          <w:szCs w:val="28"/>
          <w:lang w:val="en-US" w:eastAsia="zh-CN" w:bidi="ar-SA"/>
        </w:rPr>
        <w:t>0.5</w:t>
      </w:r>
      <w:r>
        <w:rPr>
          <w:rFonts w:hint="eastAsia" w:ascii="Times New Roman" w:hAnsi="Times New Roman" w:eastAsia="方正仿宋_GBK" w:cs="Times New Roman"/>
          <w:snapToGrid w:val="0"/>
          <w:color w:val="auto"/>
          <w:kern w:val="0"/>
          <w:sz w:val="28"/>
          <w:szCs w:val="28"/>
          <w:lang w:val="en-US" w:eastAsia="en-US" w:bidi="ar-SA"/>
        </w:rPr>
        <w:t>小时（与投标文件一致）内给予明确答复，并在</w:t>
      </w:r>
      <w:r>
        <w:rPr>
          <w:rFonts w:hint="eastAsia" w:ascii="Times New Roman" w:hAnsi="Times New Roman" w:eastAsia="方正仿宋_GBK" w:cs="Times New Roman"/>
          <w:snapToGrid w:val="0"/>
          <w:color w:val="auto"/>
          <w:kern w:val="0"/>
          <w:sz w:val="28"/>
          <w:szCs w:val="28"/>
          <w:lang w:val="en-US" w:eastAsia="zh-CN" w:bidi="ar-SA"/>
        </w:rPr>
        <w:t>2</w:t>
      </w:r>
      <w:r>
        <w:rPr>
          <w:rFonts w:hint="eastAsia" w:ascii="Times New Roman" w:hAnsi="Times New Roman" w:eastAsia="方正仿宋_GBK" w:cs="Times New Roman"/>
          <w:snapToGrid w:val="0"/>
          <w:color w:val="auto"/>
          <w:kern w:val="0"/>
          <w:sz w:val="28"/>
          <w:szCs w:val="28"/>
          <w:lang w:val="en-US" w:eastAsia="en-US" w:bidi="ar-SA"/>
        </w:rPr>
        <w:t>小时（与投标文件一致）内到达甲方项目所在地。</w:t>
      </w:r>
    </w:p>
    <w:p w14:paraId="4886E2E6">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3、保修期（质保期），免费维修。保修期（质保期）外优惠供应配件，只收配件费。在保修期（质保期）内，如有制造质量问题或技术缺陷造成设备故障或损坏，乙方在</w:t>
      </w:r>
      <w:r>
        <w:rPr>
          <w:rFonts w:hint="eastAsia" w:ascii="Times New Roman" w:hAnsi="Times New Roman" w:eastAsia="方正仿宋_GBK" w:cs="Times New Roman"/>
          <w:snapToGrid w:val="0"/>
          <w:color w:val="auto"/>
          <w:kern w:val="0"/>
          <w:sz w:val="28"/>
          <w:szCs w:val="28"/>
          <w:lang w:val="en-US" w:eastAsia="zh-CN" w:bidi="ar-SA"/>
        </w:rPr>
        <w:t>24</w:t>
      </w:r>
      <w:r>
        <w:rPr>
          <w:rFonts w:hint="eastAsia" w:ascii="Times New Roman" w:hAnsi="Times New Roman" w:eastAsia="方正仿宋_GBK" w:cs="Times New Roman"/>
          <w:snapToGrid w:val="0"/>
          <w:color w:val="auto"/>
          <w:kern w:val="0"/>
          <w:sz w:val="28"/>
          <w:szCs w:val="28"/>
          <w:lang w:val="en-US" w:eastAsia="en-US" w:bidi="ar-SA"/>
        </w:rPr>
        <w:t>小时（与投标文件一致）内无法修复或需要返厂进行维修的，乙方必须予以免费整体更换相应设备，以保证甲方最终用户单位工作正常开展；在甲方最终用户单位使用的前三个月，同一设备出现第二次质量问题，乙方必须在甲方指定期限内予以免费整体更换该设备。</w:t>
      </w:r>
    </w:p>
    <w:p w14:paraId="34C95A76">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4、在装备全寿命周期内，如因装备质量缺陷等问题导致甲方及其消防员、相关人员在使用过程中发生伤亡、财产损失的，均由乙方负责一切后果，并承担法律责任。</w:t>
      </w:r>
    </w:p>
    <w:p w14:paraId="3577AC6E">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leftChars="0" w:firstLine="640" w:firstLineChars="200"/>
        <w:textAlignment w:val="baseline"/>
        <w:outlineLvl w:val="5"/>
        <w:rPr>
          <w:rFonts w:hint="default" w:ascii="Times New Roman" w:hAnsi="Times New Roman" w:eastAsia="方正黑体_GBK" w:cs="Times New Roman"/>
          <w:b w:val="0"/>
          <w:bCs w:val="0"/>
          <w:snapToGrid w:val="0"/>
          <w:color w:val="auto"/>
          <w:kern w:val="0"/>
          <w:sz w:val="32"/>
          <w:szCs w:val="32"/>
          <w:lang w:val="en-US" w:eastAsia="zh-CN" w:bidi="ar-SA"/>
        </w:rPr>
      </w:pPr>
      <w:bookmarkStart w:id="6" w:name="八、乙方售后服务"/>
      <w:bookmarkEnd w:id="6"/>
      <w:r>
        <w:rPr>
          <w:rFonts w:hint="default" w:ascii="Times New Roman" w:hAnsi="Times New Roman" w:eastAsia="方正黑体_GBK" w:cs="Times New Roman"/>
          <w:b w:val="0"/>
          <w:bCs w:val="0"/>
          <w:snapToGrid w:val="0"/>
          <w:color w:val="auto"/>
          <w:kern w:val="0"/>
          <w:sz w:val="32"/>
          <w:szCs w:val="32"/>
          <w:lang w:val="en-US" w:eastAsia="zh-CN" w:bidi="ar-SA"/>
        </w:rPr>
        <w:t>八、乙方售后服务</w:t>
      </w:r>
    </w:p>
    <w:p w14:paraId="3501EA6E">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1、培训：为甲方提供涉及产品的使用范围、主要性能、技术指标、使用方法、注意事项和维护保养、贮存方法等方面的培训，并由乙方专业人员向客户提供技术支持。</w:t>
      </w:r>
    </w:p>
    <w:p w14:paraId="43FF0B3D">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2、售后服务工作程序</w:t>
      </w:r>
    </w:p>
    <w:p w14:paraId="11BCD4D0">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zh-CN" w:bidi="ar-SA"/>
        </w:rPr>
      </w:pPr>
      <w:r>
        <w:rPr>
          <w:rFonts w:hint="eastAsia" w:ascii="Times New Roman" w:hAnsi="Times New Roman" w:eastAsia="方正仿宋_GBK" w:cs="Times New Roman"/>
          <w:snapToGrid w:val="0"/>
          <w:color w:val="auto"/>
          <w:kern w:val="0"/>
          <w:sz w:val="28"/>
          <w:szCs w:val="28"/>
          <w:lang w:val="en-US" w:eastAsia="en-US" w:bidi="ar-SA"/>
        </w:rPr>
        <w:t>售后服务电话：</w:t>
      </w:r>
      <w:r>
        <w:rPr>
          <w:rFonts w:hint="eastAsia" w:ascii="Times New Roman" w:hAnsi="Times New Roman" w:eastAsia="方正仿宋_GBK" w:cs="Times New Roman"/>
          <w:snapToGrid w:val="0"/>
          <w:color w:val="auto"/>
          <w:kern w:val="0"/>
          <w:sz w:val="28"/>
          <w:szCs w:val="28"/>
          <w:u w:val="single"/>
          <w:lang w:val="en-US" w:eastAsia="zh-CN" w:bidi="ar-SA"/>
        </w:rPr>
        <w:t xml:space="preserve">                  </w:t>
      </w:r>
      <w:r>
        <w:rPr>
          <w:rFonts w:hint="eastAsia" w:ascii="Times New Roman" w:hAnsi="Times New Roman" w:eastAsia="方正仿宋_GBK" w:cs="Times New Roman"/>
          <w:snapToGrid w:val="0"/>
          <w:color w:val="auto"/>
          <w:kern w:val="0"/>
          <w:sz w:val="28"/>
          <w:szCs w:val="28"/>
          <w:lang w:val="en-US" w:eastAsia="zh-CN" w:bidi="ar-SA"/>
        </w:rPr>
        <w:t>。</w:t>
      </w:r>
    </w:p>
    <w:p w14:paraId="7A0780B5">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zh-CN" w:bidi="ar-SA"/>
        </w:rPr>
        <w:t>（1）</w:t>
      </w:r>
      <w:r>
        <w:rPr>
          <w:rFonts w:hint="eastAsia" w:ascii="Times New Roman" w:hAnsi="Times New Roman" w:eastAsia="方正仿宋_GBK" w:cs="Times New Roman"/>
          <w:snapToGrid w:val="0"/>
          <w:color w:val="auto"/>
          <w:kern w:val="0"/>
          <w:sz w:val="28"/>
          <w:szCs w:val="28"/>
          <w:lang w:val="en-US" w:eastAsia="en-US" w:bidi="ar-SA"/>
        </w:rPr>
        <w:t>受理甲方售后要求，详细弄清问题所在，并给予明确答复，做电话记录。</w:t>
      </w:r>
    </w:p>
    <w:p w14:paraId="55237D6B">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zh-CN" w:bidi="ar-SA"/>
        </w:rPr>
        <w:t>（2）</w:t>
      </w:r>
      <w:r>
        <w:rPr>
          <w:rFonts w:hint="eastAsia" w:ascii="Times New Roman" w:hAnsi="Times New Roman" w:eastAsia="方正仿宋_GBK" w:cs="Times New Roman"/>
          <w:snapToGrid w:val="0"/>
          <w:color w:val="auto"/>
          <w:kern w:val="0"/>
          <w:sz w:val="28"/>
          <w:szCs w:val="28"/>
          <w:lang w:val="en-US" w:eastAsia="en-US" w:bidi="ar-SA"/>
        </w:rPr>
        <w:t>在接到电话</w:t>
      </w:r>
      <w:r>
        <w:rPr>
          <w:rFonts w:hint="eastAsia" w:ascii="Times New Roman" w:hAnsi="Times New Roman" w:eastAsia="方正仿宋_GBK" w:cs="Times New Roman"/>
          <w:snapToGrid w:val="0"/>
          <w:color w:val="auto"/>
          <w:kern w:val="0"/>
          <w:sz w:val="28"/>
          <w:szCs w:val="28"/>
          <w:lang w:val="en-US" w:eastAsia="zh-CN" w:bidi="ar-SA"/>
        </w:rPr>
        <w:t>0.5</w:t>
      </w:r>
      <w:r>
        <w:rPr>
          <w:rFonts w:hint="eastAsia" w:ascii="Times New Roman" w:hAnsi="Times New Roman" w:eastAsia="方正仿宋_GBK" w:cs="Times New Roman"/>
          <w:snapToGrid w:val="0"/>
          <w:color w:val="auto"/>
          <w:kern w:val="0"/>
          <w:sz w:val="28"/>
          <w:szCs w:val="28"/>
          <w:lang w:val="en-US" w:eastAsia="en-US" w:bidi="ar-SA"/>
        </w:rPr>
        <w:t>小时（与投标文件一致）内，安排人员，制定服务计划。</w:t>
      </w:r>
    </w:p>
    <w:p w14:paraId="11207BE0">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zh-CN" w:bidi="ar-SA"/>
        </w:rPr>
        <w:t>（3）</w:t>
      </w:r>
      <w:r>
        <w:rPr>
          <w:rFonts w:hint="eastAsia" w:ascii="Times New Roman" w:hAnsi="Times New Roman" w:eastAsia="方正仿宋_GBK" w:cs="Times New Roman"/>
          <w:snapToGrid w:val="0"/>
          <w:color w:val="auto"/>
          <w:kern w:val="0"/>
          <w:sz w:val="28"/>
          <w:szCs w:val="28"/>
          <w:lang w:val="en-US" w:eastAsia="en-US" w:bidi="ar-SA"/>
        </w:rPr>
        <w:t>在接到电话</w:t>
      </w:r>
      <w:r>
        <w:rPr>
          <w:rFonts w:hint="eastAsia" w:ascii="Times New Roman" w:hAnsi="Times New Roman" w:eastAsia="方正仿宋_GBK" w:cs="Times New Roman"/>
          <w:snapToGrid w:val="0"/>
          <w:color w:val="auto"/>
          <w:kern w:val="0"/>
          <w:sz w:val="28"/>
          <w:szCs w:val="28"/>
          <w:lang w:val="en-US" w:eastAsia="zh-CN" w:bidi="ar-SA"/>
        </w:rPr>
        <w:t>2</w:t>
      </w:r>
      <w:r>
        <w:rPr>
          <w:rFonts w:hint="eastAsia" w:ascii="Times New Roman" w:hAnsi="Times New Roman" w:eastAsia="方正仿宋_GBK" w:cs="Times New Roman"/>
          <w:snapToGrid w:val="0"/>
          <w:color w:val="auto"/>
          <w:kern w:val="0"/>
          <w:sz w:val="28"/>
          <w:szCs w:val="28"/>
          <w:lang w:val="en-US" w:eastAsia="en-US" w:bidi="ar-SA"/>
        </w:rPr>
        <w:t>小时内（与投标文件一致）赶到甲方位置，对故障原因内予以解决。</w:t>
      </w:r>
    </w:p>
    <w:p w14:paraId="68D9D918">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3、保修期（质保期）内主要提供定期的客户查询，询问器材的使用情况、完好情况。一般每 1－2 个月一次。确有质量问题的，按第七条 3 款进行服务，服务免费。</w:t>
      </w:r>
    </w:p>
    <w:p w14:paraId="4D81226B">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4、保修期（质保期）外乙方应继续安排销售人员对甲方进行走访，维修只收配件费。对临界使用寿命的或严重毁损的器材提醒及时报废。</w:t>
      </w:r>
    </w:p>
    <w:p w14:paraId="3253CD3F">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5、乙方未能按照本条协议约定履行其售后服务义务及第七条质量保证义务的，应当向甲方支付违约金 5000 元/次，同时甲方有权聘请第三方进行维修，产生的费用：质保期内由乙方承担；质保期外除配件费以外的费用由乙方承担。第三方的维修行为不排除乙方之后的质保、维修责任。</w:t>
      </w:r>
    </w:p>
    <w:p w14:paraId="477B2D0F">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leftChars="0" w:firstLine="640" w:firstLineChars="200"/>
        <w:textAlignment w:val="baseline"/>
        <w:outlineLvl w:val="5"/>
        <w:rPr>
          <w:rFonts w:hint="default" w:ascii="Times New Roman" w:hAnsi="Times New Roman" w:eastAsia="方正黑体_GBK" w:cs="Times New Roman"/>
          <w:b w:val="0"/>
          <w:bCs w:val="0"/>
          <w:snapToGrid w:val="0"/>
          <w:color w:val="auto"/>
          <w:kern w:val="0"/>
          <w:sz w:val="32"/>
          <w:szCs w:val="32"/>
          <w:lang w:val="en-US" w:eastAsia="zh-CN" w:bidi="ar-SA"/>
        </w:rPr>
      </w:pPr>
      <w:bookmarkStart w:id="7" w:name="九、乙方提供技术与服务"/>
      <w:bookmarkEnd w:id="7"/>
      <w:r>
        <w:rPr>
          <w:rFonts w:hint="default" w:ascii="Times New Roman" w:hAnsi="Times New Roman" w:eastAsia="方正黑体_GBK" w:cs="Times New Roman"/>
          <w:b w:val="0"/>
          <w:bCs w:val="0"/>
          <w:snapToGrid w:val="0"/>
          <w:color w:val="auto"/>
          <w:kern w:val="0"/>
          <w:sz w:val="32"/>
          <w:szCs w:val="32"/>
          <w:lang w:val="en-US" w:eastAsia="zh-CN" w:bidi="ar-SA"/>
        </w:rPr>
        <w:t>九、乙方提供技术与服务</w:t>
      </w:r>
    </w:p>
    <w:p w14:paraId="4E0632F2">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1、随同货物提供相应的中文技术文件（包括产品合格证、装箱清单、操作手册、使用说明、检测报告、维护手册、服务指南等资料）；</w:t>
      </w:r>
    </w:p>
    <w:p w14:paraId="2AF93FA2">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2、现场安装、调试、试运行技术保障服务。</w:t>
      </w:r>
      <w:bookmarkStart w:id="8" w:name="十、违约责任"/>
      <w:bookmarkEnd w:id="8"/>
    </w:p>
    <w:p w14:paraId="2546D8F5">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leftChars="0" w:firstLine="640" w:firstLineChars="200"/>
        <w:textAlignment w:val="baseline"/>
        <w:outlineLvl w:val="5"/>
        <w:rPr>
          <w:rFonts w:hint="eastAsia" w:ascii="Times New Roman" w:hAnsi="Times New Roman" w:eastAsia="方正黑体_GBK" w:cs="Times New Roman"/>
          <w:b w:val="0"/>
          <w:bCs w:val="0"/>
          <w:snapToGrid w:val="0"/>
          <w:color w:val="auto"/>
          <w:kern w:val="0"/>
          <w:sz w:val="32"/>
          <w:szCs w:val="32"/>
          <w:lang w:val="en-US" w:eastAsia="zh-CN" w:bidi="ar-SA"/>
        </w:rPr>
      </w:pPr>
      <w:r>
        <w:rPr>
          <w:rFonts w:hint="eastAsia" w:ascii="Times New Roman" w:hAnsi="Times New Roman" w:eastAsia="方正黑体_GBK" w:cs="Times New Roman"/>
          <w:b w:val="0"/>
          <w:bCs w:val="0"/>
          <w:snapToGrid w:val="0"/>
          <w:color w:val="auto"/>
          <w:kern w:val="0"/>
          <w:sz w:val="32"/>
          <w:szCs w:val="32"/>
          <w:lang w:val="en-US" w:eastAsia="zh-CN" w:bidi="ar-SA"/>
        </w:rPr>
        <w:t>十、违约责任</w:t>
      </w:r>
    </w:p>
    <w:p w14:paraId="54FDCB95">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1、按《中华人民共和国民法典》中的相关条款执行。</w:t>
      </w:r>
    </w:p>
    <w:p w14:paraId="04B74797">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2、乙方未能按期履行合同或乙方未按合同要求提供设备或设备质量不能满足甲方要求，甲方有权单方面解除合同，乙方除应返还甲方已支付的款项外，还应承担本合同总金额 20%的违约金，违约金不足以弥补损失的， 乙方应予补足；</w:t>
      </w:r>
    </w:p>
    <w:p w14:paraId="59884505">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3、若交货存在逾期可能，乙方应在合同约定的交货之日前 7 天以书面形式告知甲方，经甲方同意，乙方应在甲方重新指定的交货日期内按时交货。若仍逾期，每逾期一天，乙方应向甲方支付合同总价款的 1‰违约金。逾期超过 15 日历日的，甲方有权单方面解除本合同，乙方除退还甲方已支付全部费用外还应按照合同总价的 20%向甲方支付违约金。违约金不足以弥补损失的，乙方应予以补足。</w:t>
      </w:r>
    </w:p>
    <w:p w14:paraId="7DD5B13A">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4、乙方因交付货物不符合合同规定而被甲方要求进行整改，整改完成时间晚于合同规定的交货时间时，乙方应承担逾期交货违约责任。</w:t>
      </w:r>
    </w:p>
    <w:p w14:paraId="6C3D2003">
      <w:pPr>
        <w:pStyle w:val="2"/>
        <w:keepNext w:val="0"/>
        <w:keepLines w:val="0"/>
        <w:pageBreakBefore w:val="0"/>
        <w:widowControl/>
        <w:kinsoku w:val="0"/>
        <w:wordWrap/>
        <w:overflowPunct/>
        <w:topLinePunct w:val="0"/>
        <w:autoSpaceDE w:val="0"/>
        <w:autoSpaceDN w:val="0"/>
        <w:bidi w:val="0"/>
        <w:spacing w:line="560" w:lineRule="exact"/>
        <w:textAlignment w:val="baseline"/>
        <w:rPr>
          <w:color w:val="auto"/>
        </w:rPr>
      </w:pPr>
      <w:bookmarkStart w:id="9" w:name="十一、不可抗力"/>
      <w:bookmarkEnd w:id="9"/>
      <w:r>
        <w:rPr>
          <w:rFonts w:hint="eastAsia" w:ascii="Times New Roman" w:hAnsi="Times New Roman" w:eastAsia="方正黑体_GBK" w:cs="Times New Roman"/>
          <w:b w:val="0"/>
          <w:bCs w:val="0"/>
          <w:snapToGrid w:val="0"/>
          <w:color w:val="auto"/>
          <w:kern w:val="0"/>
          <w:sz w:val="32"/>
          <w:szCs w:val="32"/>
          <w:lang w:val="en-US" w:eastAsia="zh-CN" w:bidi="ar-SA"/>
        </w:rPr>
        <w:t>十一、不可抗力</w:t>
      </w:r>
    </w:p>
    <w:p w14:paraId="1B0F42FC">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1、如遇自然灾害如洪水、火灾、爆炸、雷电、地震和风暴等，以及社会事件如网络故障，战争、动乱、政府行为、国家政策的突然变动和罢工等不可抗力，任何一方遇有不可抗力而全部或部分不能履行本合同或迟延履行本合同，发生不可抗力的一方在不可抗力影响的范围内免除其相应责任。</w:t>
      </w:r>
    </w:p>
    <w:p w14:paraId="0452888F">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2、本合同任何一方因不可抗力不能履行或不能完全履行本合同的义务时，应在不可抗力发生之日起 7 天内书面函告本合同的另一方，并在不可抗力发生之日起 7 天内向另一方提供相关证明材料。</w:t>
      </w:r>
    </w:p>
    <w:p w14:paraId="006F9F53">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3、遭受不可抗力的一方应采取一切必要措施减少损失，并在事件消除后立即恢复本合同的履行，除非履行已不可能或者不必要。如果因不可抗力的一方造成损失扩大的，扩大的损失应当由不可抗力的一方承担。如果一方由于不可抗力事件无法履行其在本合同项下义务，则另一方应有权终止部分或整体合同。终止合同应向对方发出解除合同的通知。</w:t>
      </w:r>
    </w:p>
    <w:p w14:paraId="7040788C">
      <w:pPr>
        <w:pStyle w:val="2"/>
        <w:keepNext w:val="0"/>
        <w:keepLines w:val="0"/>
        <w:pageBreakBefore w:val="0"/>
        <w:widowControl/>
        <w:kinsoku w:val="0"/>
        <w:wordWrap/>
        <w:overflowPunct/>
        <w:topLinePunct w:val="0"/>
        <w:autoSpaceDE w:val="0"/>
        <w:autoSpaceDN w:val="0"/>
        <w:bidi w:val="0"/>
        <w:spacing w:line="560" w:lineRule="exact"/>
        <w:textAlignment w:val="baseline"/>
        <w:rPr>
          <w:color w:val="auto"/>
        </w:rPr>
      </w:pPr>
      <w:bookmarkStart w:id="10" w:name="十二、验收"/>
      <w:bookmarkEnd w:id="10"/>
      <w:r>
        <w:rPr>
          <w:rFonts w:hint="eastAsia" w:ascii="Times New Roman" w:hAnsi="Times New Roman" w:eastAsia="方正黑体_GBK" w:cs="Times New Roman"/>
          <w:b w:val="0"/>
          <w:bCs w:val="0"/>
          <w:snapToGrid w:val="0"/>
          <w:color w:val="auto"/>
          <w:kern w:val="0"/>
          <w:sz w:val="32"/>
          <w:szCs w:val="32"/>
          <w:lang w:val="en-US" w:eastAsia="zh-CN" w:bidi="ar-SA"/>
        </w:rPr>
        <w:t>十二、验收</w:t>
      </w:r>
    </w:p>
    <w:p w14:paraId="7365692D">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1、产品到达甲方指定地点后，甲方根据合同约定，对产品进行外观验收、确认产品的产地、规格、型号和数量。器材所有产品外包装箱、单个产品包装盒上必须印制或粘贴下列基本信息：产品生产厂家、生产日期、有效期、生产厂家联系人、联系电话；代理厂商联系人、联系电话、售后联系人、联系方式。</w:t>
      </w:r>
    </w:p>
    <w:p w14:paraId="5FBB92D4">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2、产品安装、调试并正常运行后，由乙方进行自检合格后，准备验收文件，并书面通知甲方。</w:t>
      </w:r>
    </w:p>
    <w:p w14:paraId="42E7FC82">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3、甲方确认乙方的自检内容后（必要时请有关专家）进行系统验收， 填写项目验收单，作为对设备的最终认可。</w:t>
      </w:r>
    </w:p>
    <w:p w14:paraId="29A34241">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4、乙方向甲方提交设备实施过程中的所有资料，以便甲方日后管理和维护。</w:t>
      </w:r>
    </w:p>
    <w:p w14:paraId="066D0EF9">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5、验收依据：</w:t>
      </w:r>
    </w:p>
    <w:p w14:paraId="714BD11D">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zh-CN" w:bidi="ar-SA"/>
        </w:rPr>
        <w:t>（1）</w:t>
      </w:r>
      <w:r>
        <w:rPr>
          <w:rFonts w:hint="eastAsia" w:ascii="Times New Roman" w:hAnsi="Times New Roman" w:eastAsia="方正仿宋_GBK" w:cs="Times New Roman"/>
          <w:snapToGrid w:val="0"/>
          <w:color w:val="auto"/>
          <w:kern w:val="0"/>
          <w:sz w:val="28"/>
          <w:szCs w:val="28"/>
          <w:lang w:val="en-US" w:eastAsia="en-US" w:bidi="ar-SA"/>
        </w:rPr>
        <w:t>招标文件、投标文件、澄清表；</w:t>
      </w:r>
    </w:p>
    <w:p w14:paraId="26694D9D">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zh-CN" w:bidi="ar-SA"/>
        </w:rPr>
        <w:t>（2）</w:t>
      </w:r>
      <w:r>
        <w:rPr>
          <w:rFonts w:hint="eastAsia" w:ascii="Times New Roman" w:hAnsi="Times New Roman" w:eastAsia="方正仿宋_GBK" w:cs="Times New Roman"/>
          <w:snapToGrid w:val="0"/>
          <w:color w:val="auto"/>
          <w:kern w:val="0"/>
          <w:sz w:val="28"/>
          <w:szCs w:val="28"/>
          <w:lang w:val="en-US" w:eastAsia="en-US" w:bidi="ar-SA"/>
        </w:rPr>
        <w:t>本合同及附件文本等。</w:t>
      </w:r>
      <w:bookmarkStart w:id="11" w:name="十三、技术成果"/>
      <w:bookmarkEnd w:id="11"/>
    </w:p>
    <w:p w14:paraId="36AAE199">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6、如果合同约定的条款内容标准低于乙方投标文件中承诺的内容标准，验收时按照乙方投标文件中承诺的内容标准进行验收。</w:t>
      </w:r>
    </w:p>
    <w:p w14:paraId="29CCBA40">
      <w:pPr>
        <w:pStyle w:val="2"/>
        <w:keepNext w:val="0"/>
        <w:keepLines w:val="0"/>
        <w:pageBreakBefore w:val="0"/>
        <w:widowControl/>
        <w:kinsoku w:val="0"/>
        <w:wordWrap/>
        <w:overflowPunct/>
        <w:topLinePunct w:val="0"/>
        <w:autoSpaceDE w:val="0"/>
        <w:autoSpaceDN w:val="0"/>
        <w:bidi w:val="0"/>
        <w:spacing w:line="560" w:lineRule="exact"/>
        <w:ind w:left="0" w:leftChars="0" w:firstLine="640" w:firstLineChars="200"/>
        <w:textAlignment w:val="baseline"/>
        <w:rPr>
          <w:rFonts w:hint="eastAsia" w:ascii="Times New Roman" w:hAnsi="Times New Roman" w:eastAsia="方正黑体_GBK" w:cs="Times New Roman"/>
          <w:b w:val="0"/>
          <w:bCs w:val="0"/>
          <w:snapToGrid w:val="0"/>
          <w:color w:val="auto"/>
          <w:kern w:val="0"/>
          <w:sz w:val="32"/>
          <w:szCs w:val="32"/>
          <w:lang w:val="en-US" w:eastAsia="zh-CN" w:bidi="ar-SA"/>
        </w:rPr>
      </w:pPr>
      <w:r>
        <w:rPr>
          <w:rFonts w:hint="eastAsia" w:ascii="Times New Roman" w:hAnsi="Times New Roman" w:eastAsia="方正黑体_GBK" w:cs="Times New Roman"/>
          <w:b w:val="0"/>
          <w:bCs w:val="0"/>
          <w:snapToGrid w:val="0"/>
          <w:color w:val="auto"/>
          <w:kern w:val="0"/>
          <w:sz w:val="32"/>
          <w:szCs w:val="32"/>
          <w:lang w:val="en-US" w:eastAsia="zh-CN" w:bidi="ar-SA"/>
        </w:rPr>
        <w:t>十三、技术成果</w:t>
      </w:r>
    </w:p>
    <w:p w14:paraId="7F15884D">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因本项目采购形成的技术成果归甲方所有。</w:t>
      </w:r>
    </w:p>
    <w:p w14:paraId="66914830">
      <w:pPr>
        <w:pStyle w:val="2"/>
        <w:keepNext w:val="0"/>
        <w:keepLines w:val="0"/>
        <w:pageBreakBefore w:val="0"/>
        <w:widowControl/>
        <w:kinsoku w:val="0"/>
        <w:wordWrap/>
        <w:overflowPunct/>
        <w:topLinePunct w:val="0"/>
        <w:autoSpaceDE w:val="0"/>
        <w:autoSpaceDN w:val="0"/>
        <w:bidi w:val="0"/>
        <w:spacing w:line="560" w:lineRule="exact"/>
        <w:ind w:left="0" w:leftChars="0" w:firstLine="640" w:firstLineChars="200"/>
        <w:textAlignment w:val="baseline"/>
        <w:rPr>
          <w:rFonts w:hint="eastAsia" w:ascii="Times New Roman" w:hAnsi="Times New Roman" w:eastAsia="方正黑体_GBK" w:cs="Times New Roman"/>
          <w:b w:val="0"/>
          <w:bCs w:val="0"/>
          <w:snapToGrid w:val="0"/>
          <w:color w:val="auto"/>
          <w:kern w:val="0"/>
          <w:sz w:val="32"/>
          <w:szCs w:val="32"/>
          <w:lang w:val="en-US" w:eastAsia="zh-CN" w:bidi="ar-SA"/>
        </w:rPr>
      </w:pPr>
      <w:bookmarkStart w:id="12" w:name="十四、知识产权及专利权 "/>
      <w:bookmarkEnd w:id="12"/>
      <w:r>
        <w:rPr>
          <w:rFonts w:hint="eastAsia" w:ascii="Times New Roman" w:hAnsi="Times New Roman" w:eastAsia="方正黑体_GBK" w:cs="Times New Roman"/>
          <w:b w:val="0"/>
          <w:bCs w:val="0"/>
          <w:snapToGrid w:val="0"/>
          <w:color w:val="auto"/>
          <w:kern w:val="0"/>
          <w:sz w:val="32"/>
          <w:szCs w:val="32"/>
          <w:lang w:val="en-US" w:eastAsia="zh-CN" w:bidi="ar-SA"/>
        </w:rPr>
        <w:t>十四、知识产权及专利权</w:t>
      </w:r>
    </w:p>
    <w:p w14:paraId="02273795">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乙方应当保证在本项目使用的任何产品和服务（包括部分使用）时， 不会产生因第三方提出侵犯其专利权、商标权或其它知识产权而引起的法律和经济纠纷，如因专利权、商标权或其它知识产权而引起法律和经济纠纷，由乙方承担所有相关责任。</w:t>
      </w:r>
    </w:p>
    <w:p w14:paraId="4F2DFAE2">
      <w:pPr>
        <w:pStyle w:val="2"/>
        <w:keepNext w:val="0"/>
        <w:keepLines w:val="0"/>
        <w:pageBreakBefore w:val="0"/>
        <w:widowControl/>
        <w:kinsoku w:val="0"/>
        <w:wordWrap/>
        <w:overflowPunct/>
        <w:topLinePunct w:val="0"/>
        <w:autoSpaceDE w:val="0"/>
        <w:autoSpaceDN w:val="0"/>
        <w:bidi w:val="0"/>
        <w:spacing w:line="560" w:lineRule="exact"/>
        <w:ind w:left="0" w:leftChars="0" w:firstLine="640" w:firstLineChars="200"/>
        <w:textAlignment w:val="baseline"/>
        <w:rPr>
          <w:rFonts w:hint="eastAsia" w:ascii="Times New Roman" w:hAnsi="Times New Roman" w:eastAsia="方正黑体_GBK" w:cs="Times New Roman"/>
          <w:b w:val="0"/>
          <w:bCs w:val="0"/>
          <w:snapToGrid w:val="0"/>
          <w:color w:val="auto"/>
          <w:kern w:val="0"/>
          <w:sz w:val="32"/>
          <w:szCs w:val="32"/>
          <w:lang w:val="en-US" w:eastAsia="zh-CN" w:bidi="ar-SA"/>
        </w:rPr>
      </w:pPr>
      <w:bookmarkStart w:id="13" w:name="十五、保密责任"/>
      <w:bookmarkEnd w:id="13"/>
      <w:r>
        <w:rPr>
          <w:rFonts w:hint="eastAsia" w:ascii="Times New Roman" w:hAnsi="Times New Roman" w:eastAsia="方正黑体_GBK" w:cs="Times New Roman"/>
          <w:b w:val="0"/>
          <w:bCs w:val="0"/>
          <w:snapToGrid w:val="0"/>
          <w:color w:val="auto"/>
          <w:kern w:val="0"/>
          <w:sz w:val="32"/>
          <w:szCs w:val="32"/>
          <w:lang w:val="en-US" w:eastAsia="zh-CN" w:bidi="ar-SA"/>
        </w:rPr>
        <w:t>十五、保密责任</w:t>
      </w:r>
    </w:p>
    <w:p w14:paraId="704F0ABE">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双方均应遵守《中华人民共和国保守国家秘密法》和其它相关规定， 妥善保管对方提供的资料，保守对方的各项秘密，保护对方的知识产权； 未经对方许可，不得利用知悉的对方资料和成果为自己或第三方谋取利益。</w:t>
      </w:r>
    </w:p>
    <w:p w14:paraId="2189EC8F">
      <w:pPr>
        <w:pStyle w:val="2"/>
        <w:keepNext w:val="0"/>
        <w:keepLines w:val="0"/>
        <w:pageBreakBefore w:val="0"/>
        <w:widowControl/>
        <w:kinsoku w:val="0"/>
        <w:wordWrap/>
        <w:overflowPunct/>
        <w:topLinePunct w:val="0"/>
        <w:autoSpaceDE w:val="0"/>
        <w:autoSpaceDN w:val="0"/>
        <w:bidi w:val="0"/>
        <w:spacing w:line="560" w:lineRule="exact"/>
        <w:ind w:left="0" w:leftChars="0" w:firstLine="640" w:firstLineChars="200"/>
        <w:textAlignment w:val="baseline"/>
        <w:rPr>
          <w:rFonts w:hint="eastAsia" w:ascii="Times New Roman" w:hAnsi="Times New Roman" w:eastAsia="方正黑体_GBK" w:cs="Times New Roman"/>
          <w:b w:val="0"/>
          <w:bCs w:val="0"/>
          <w:snapToGrid w:val="0"/>
          <w:color w:val="auto"/>
          <w:kern w:val="0"/>
          <w:sz w:val="32"/>
          <w:szCs w:val="32"/>
          <w:lang w:val="en-US" w:eastAsia="zh-CN" w:bidi="ar-SA"/>
        </w:rPr>
      </w:pPr>
      <w:bookmarkStart w:id="14" w:name="十六、通知与送达"/>
      <w:bookmarkEnd w:id="14"/>
      <w:r>
        <w:rPr>
          <w:rFonts w:hint="eastAsia" w:ascii="Times New Roman" w:hAnsi="Times New Roman" w:eastAsia="方正黑体_GBK" w:cs="Times New Roman"/>
          <w:b w:val="0"/>
          <w:bCs w:val="0"/>
          <w:snapToGrid w:val="0"/>
          <w:color w:val="auto"/>
          <w:kern w:val="0"/>
          <w:sz w:val="32"/>
          <w:szCs w:val="32"/>
          <w:lang w:val="en-US" w:eastAsia="zh-CN" w:bidi="ar-SA"/>
        </w:rPr>
        <w:t>十六、通知与送达</w:t>
      </w:r>
    </w:p>
    <w:p w14:paraId="42F10EE1">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1、甲乙双方应当在 3 天内将与合同有关的通知、批准、证明、证书、指示、指令、要求、请求、同意、意见、确定和决定等书面函件送达对方当事人。</w:t>
      </w:r>
    </w:p>
    <w:p w14:paraId="47B5E145">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2、甲乙双方的送达接收人和送达地点以合同中明确的联系人，联系地址为准。双方确保合同中的联系方式真实有效。任何一方合同当事人指定的接收人或送达地点发生变动的，应提前 3 天以书面形式通知对方。</w:t>
      </w:r>
    </w:p>
    <w:p w14:paraId="4D80AF8F">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3、甲乙双方应当及时签收另一方送达至送达地点和指定接收人的来往信函。拒不签收的，由此增加的费用和（或）延误的交货期由拒绝接收一方承担。</w:t>
      </w:r>
    </w:p>
    <w:p w14:paraId="2D34B8CF">
      <w:pPr>
        <w:pStyle w:val="2"/>
        <w:keepNext w:val="0"/>
        <w:keepLines w:val="0"/>
        <w:pageBreakBefore w:val="0"/>
        <w:widowControl/>
        <w:kinsoku w:val="0"/>
        <w:wordWrap/>
        <w:overflowPunct/>
        <w:topLinePunct w:val="0"/>
        <w:autoSpaceDE w:val="0"/>
        <w:autoSpaceDN w:val="0"/>
        <w:bidi w:val="0"/>
        <w:spacing w:line="560" w:lineRule="exact"/>
        <w:textAlignment w:val="baseline"/>
        <w:rPr>
          <w:rFonts w:hint="eastAsia" w:ascii="Times New Roman" w:hAnsi="Times New Roman" w:eastAsia="方正黑体_GBK" w:cs="Times New Roman"/>
          <w:b w:val="0"/>
          <w:bCs w:val="0"/>
          <w:snapToGrid w:val="0"/>
          <w:color w:val="auto"/>
          <w:kern w:val="0"/>
          <w:sz w:val="32"/>
          <w:szCs w:val="32"/>
          <w:lang w:val="en-US" w:eastAsia="zh-CN" w:bidi="ar-SA"/>
        </w:rPr>
      </w:pPr>
      <w:bookmarkStart w:id="15" w:name="十七、合同争议解决的方式"/>
      <w:bookmarkEnd w:id="15"/>
      <w:r>
        <w:rPr>
          <w:rFonts w:hint="eastAsia" w:ascii="Times New Roman" w:hAnsi="Times New Roman" w:eastAsia="方正黑体_GBK" w:cs="Times New Roman"/>
          <w:b w:val="0"/>
          <w:bCs w:val="0"/>
          <w:snapToGrid w:val="0"/>
          <w:color w:val="auto"/>
          <w:kern w:val="0"/>
          <w:sz w:val="32"/>
          <w:szCs w:val="32"/>
          <w:lang w:val="en-US" w:eastAsia="zh-CN" w:bidi="ar-SA"/>
        </w:rPr>
        <w:t>十七、合同争议解决的方式</w:t>
      </w:r>
    </w:p>
    <w:p w14:paraId="139764B4">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本合同在履行过程中发生的争议，由甲、乙方当事人协商解决；也可由当地市场监督管理部门调解；协商或调解不成的按以下第 2 种方式解决；</w:t>
      </w:r>
    </w:p>
    <w:p w14:paraId="7F0EDB2D">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zh-CN" w:bidi="ar-SA"/>
        </w:rPr>
        <w:t>1、</w:t>
      </w:r>
      <w:r>
        <w:rPr>
          <w:rFonts w:hint="eastAsia" w:ascii="Times New Roman" w:hAnsi="Times New Roman" w:eastAsia="方正仿宋_GBK" w:cs="Times New Roman"/>
          <w:snapToGrid w:val="0"/>
          <w:color w:val="auto"/>
          <w:kern w:val="0"/>
          <w:sz w:val="28"/>
          <w:szCs w:val="28"/>
          <w:lang w:val="en-US" w:eastAsia="en-US" w:bidi="ar-SA"/>
        </w:rPr>
        <w:t>提交</w:t>
      </w:r>
      <w:r>
        <w:rPr>
          <w:rFonts w:hint="eastAsia" w:ascii="Times New Roman" w:hAnsi="Times New Roman" w:eastAsia="方正仿宋_GBK" w:cs="Times New Roman"/>
          <w:snapToGrid w:val="0"/>
          <w:color w:val="auto"/>
          <w:kern w:val="0"/>
          <w:sz w:val="28"/>
          <w:szCs w:val="28"/>
          <w:u w:val="single"/>
          <w:lang w:val="en-US" w:eastAsia="en-US" w:bidi="ar-SA"/>
        </w:rPr>
        <w:t xml:space="preserve"> </w:t>
      </w:r>
      <w:r>
        <w:rPr>
          <w:rFonts w:hint="eastAsia" w:ascii="方正仿宋_GBK" w:hAnsi="方正仿宋_GBK" w:eastAsia="方正仿宋_GBK" w:cs="方正仿宋_GBK"/>
          <w:snapToGrid w:val="0"/>
          <w:color w:val="auto"/>
          <w:kern w:val="0"/>
          <w:sz w:val="28"/>
          <w:szCs w:val="28"/>
          <w:u w:val="single"/>
          <w:lang w:val="en-US" w:eastAsia="zh-CN" w:bidi="ar-SA"/>
        </w:rPr>
        <w:t xml:space="preserve">铜川市 </w:t>
      </w:r>
      <w:r>
        <w:rPr>
          <w:rFonts w:hint="eastAsia" w:ascii="Times New Roman" w:hAnsi="Times New Roman" w:eastAsia="方正仿宋_GBK" w:cs="Times New Roman"/>
          <w:snapToGrid w:val="0"/>
          <w:color w:val="auto"/>
          <w:kern w:val="0"/>
          <w:sz w:val="28"/>
          <w:szCs w:val="28"/>
          <w:lang w:val="en-US" w:eastAsia="en-US" w:bidi="ar-SA"/>
        </w:rPr>
        <w:t>仲裁委员会仲裁；</w:t>
      </w:r>
    </w:p>
    <w:p w14:paraId="2C9A7F32">
      <w:pPr>
        <w:pStyle w:val="3"/>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zh-CN" w:bidi="ar-SA"/>
        </w:rPr>
        <w:t>2、</w:t>
      </w:r>
      <w:bookmarkStart w:id="16" w:name="十八、其他事项"/>
      <w:bookmarkEnd w:id="16"/>
      <w:r>
        <w:rPr>
          <w:rFonts w:hint="eastAsia" w:ascii="华文仿宋" w:hAnsi="华文仿宋" w:eastAsia="华文仿宋" w:cs="华文仿宋"/>
          <w:color w:val="auto"/>
          <w:sz w:val="28"/>
          <w:szCs w:val="28"/>
          <w:highlight w:val="none"/>
          <w:lang w:val="en-US" w:eastAsia="zh-CN"/>
        </w:rPr>
        <w:t>依法向甲方所在地人民法院提起诉讼。</w:t>
      </w:r>
    </w:p>
    <w:p w14:paraId="12580EB0">
      <w:pPr>
        <w:pStyle w:val="2"/>
        <w:keepNext w:val="0"/>
        <w:keepLines w:val="0"/>
        <w:pageBreakBefore w:val="0"/>
        <w:widowControl/>
        <w:kinsoku w:val="0"/>
        <w:wordWrap/>
        <w:overflowPunct/>
        <w:topLinePunct w:val="0"/>
        <w:autoSpaceDE w:val="0"/>
        <w:autoSpaceDN w:val="0"/>
        <w:bidi w:val="0"/>
        <w:spacing w:line="560" w:lineRule="exact"/>
        <w:textAlignment w:val="baseline"/>
        <w:rPr>
          <w:rFonts w:hint="eastAsia" w:ascii="Times New Roman" w:hAnsi="Times New Roman" w:eastAsia="方正黑体_GBK" w:cs="Times New Roman"/>
          <w:b w:val="0"/>
          <w:bCs w:val="0"/>
          <w:snapToGrid w:val="0"/>
          <w:color w:val="auto"/>
          <w:kern w:val="0"/>
          <w:sz w:val="32"/>
          <w:szCs w:val="32"/>
          <w:lang w:val="en-US" w:eastAsia="zh-CN" w:bidi="ar-SA"/>
        </w:rPr>
      </w:pPr>
      <w:r>
        <w:rPr>
          <w:rFonts w:hint="eastAsia" w:ascii="Times New Roman" w:hAnsi="Times New Roman" w:eastAsia="方正黑体_GBK" w:cs="Times New Roman"/>
          <w:b w:val="0"/>
          <w:bCs w:val="0"/>
          <w:snapToGrid w:val="0"/>
          <w:color w:val="auto"/>
          <w:kern w:val="0"/>
          <w:sz w:val="32"/>
          <w:szCs w:val="32"/>
          <w:lang w:val="en-US" w:eastAsia="zh-CN" w:bidi="ar-SA"/>
        </w:rPr>
        <w:t>十八、其他事项</w:t>
      </w:r>
    </w:p>
    <w:p w14:paraId="072BB26F">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1、招标文件、投标文件、澄清表（函）、合同附件均成为合同不可分割的部分。</w:t>
      </w:r>
    </w:p>
    <w:p w14:paraId="3A5C898E">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2、合同未尽事宜，由甲、乙双方协商，另行签订补充合同，为本合同有效组成部分。</w:t>
      </w:r>
    </w:p>
    <w:p w14:paraId="2A177791">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本合同一式肆份，甲方、乙方各执贰份。双方法定代表人或委托代理人签字并加盖公章后生效，合同执行完毕自动终止。（合同的服务承诺则长期有效）。</w:t>
      </w:r>
    </w:p>
    <w:p w14:paraId="3B8CA8C6">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p>
    <w:p w14:paraId="5CCD0C95">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p>
    <w:p w14:paraId="397D0046">
      <w:pPr>
        <w:keepNext w:val="0"/>
        <w:keepLines w:val="0"/>
        <w:pageBreakBefore w:val="0"/>
        <w:widowControl/>
        <w:kinsoku w:val="0"/>
        <w:wordWrap/>
        <w:overflowPunct/>
        <w:topLinePunct w:val="0"/>
        <w:autoSpaceDE w:val="0"/>
        <w:autoSpaceDN w:val="0"/>
        <w:bidi w:val="0"/>
        <w:adjustRightInd/>
        <w:snapToGrid/>
        <w:spacing w:line="360" w:lineRule="auto"/>
        <w:jc w:val="both"/>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甲方：</w:t>
      </w:r>
      <w:r>
        <w:rPr>
          <w:rFonts w:hint="eastAsia" w:ascii="Times New Roman" w:hAnsi="Times New Roman" w:eastAsia="方正仿宋_GBK" w:cs="Times New Roman"/>
          <w:snapToGrid w:val="0"/>
          <w:color w:val="auto"/>
          <w:kern w:val="0"/>
          <w:sz w:val="28"/>
          <w:szCs w:val="28"/>
          <w:lang w:val="en-US" w:eastAsia="zh-CN" w:bidi="ar-SA"/>
        </w:rPr>
        <w:t>铜川</w:t>
      </w:r>
      <w:r>
        <w:rPr>
          <w:rFonts w:hint="default" w:ascii="Times New Roman" w:hAnsi="Times New Roman" w:eastAsia="方正仿宋_GBK" w:cs="Times New Roman"/>
          <w:snapToGrid w:val="0"/>
          <w:color w:val="auto"/>
          <w:kern w:val="0"/>
          <w:sz w:val="28"/>
          <w:szCs w:val="28"/>
          <w:lang w:val="en-US" w:eastAsia="zh-CN" w:bidi="ar-SA"/>
        </w:rPr>
        <w:t>市消防救援支队</w:t>
      </w:r>
      <w:r>
        <w:rPr>
          <w:rFonts w:hint="eastAsia" w:ascii="Times New Roman" w:hAnsi="Times New Roman" w:eastAsia="方正仿宋_GBK" w:cs="Times New Roman"/>
          <w:snapToGrid w:val="0"/>
          <w:color w:val="auto"/>
          <w:kern w:val="0"/>
          <w:sz w:val="28"/>
          <w:szCs w:val="28"/>
          <w:lang w:val="en-US" w:eastAsia="zh-CN" w:bidi="ar-SA"/>
        </w:rPr>
        <w:t xml:space="preserve">        </w:t>
      </w:r>
      <w:r>
        <w:rPr>
          <w:rFonts w:hint="eastAsia" w:ascii="Times New Roman" w:hAnsi="Times New Roman" w:eastAsia="方正仿宋_GBK" w:cs="Times New Roman"/>
          <w:snapToGrid w:val="0"/>
          <w:color w:val="auto"/>
          <w:kern w:val="0"/>
          <w:sz w:val="28"/>
          <w:szCs w:val="28"/>
          <w:lang w:val="en-US" w:eastAsia="en-US" w:bidi="ar-SA"/>
        </w:rPr>
        <w:t>乙方：</w:t>
      </w:r>
      <w:r>
        <w:rPr>
          <w:rFonts w:hint="eastAsia" w:ascii="Times New Roman" w:hAnsi="Times New Roman" w:eastAsia="方正仿宋_GBK" w:cs="Times New Roman"/>
          <w:snapToGrid w:val="0"/>
          <w:color w:val="auto"/>
          <w:kern w:val="0"/>
          <w:sz w:val="28"/>
          <w:szCs w:val="28"/>
          <w:lang w:val="en-US" w:eastAsia="zh-CN" w:bidi="ar-SA"/>
        </w:rPr>
        <w:t>XXXXXXXXXX</w:t>
      </w:r>
      <w:r>
        <w:rPr>
          <w:rFonts w:hint="default" w:ascii="Times New Roman" w:hAnsi="Times New Roman" w:eastAsia="方正仿宋_GBK" w:cs="Times New Roman"/>
          <w:snapToGrid w:val="0"/>
          <w:color w:val="auto"/>
          <w:kern w:val="0"/>
          <w:sz w:val="28"/>
          <w:szCs w:val="28"/>
          <w:lang w:val="en-US" w:eastAsia="zh-CN" w:bidi="ar-SA"/>
        </w:rPr>
        <w:t>有限公司</w:t>
      </w:r>
    </w:p>
    <w:p w14:paraId="6656D87C">
      <w:pPr>
        <w:pStyle w:val="3"/>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地</w:t>
      </w:r>
      <w:r>
        <w:rPr>
          <w:rFonts w:hint="eastAsia" w:ascii="Times New Roman" w:hAnsi="Times New Roman" w:eastAsia="方正仿宋_GBK" w:cs="Times New Roman"/>
          <w:snapToGrid w:val="0"/>
          <w:color w:val="auto"/>
          <w:kern w:val="0"/>
          <w:sz w:val="28"/>
          <w:szCs w:val="28"/>
          <w:lang w:val="en-US" w:eastAsia="en-US" w:bidi="ar-SA"/>
        </w:rPr>
        <w:tab/>
      </w:r>
      <w:r>
        <w:rPr>
          <w:rFonts w:hint="eastAsia" w:ascii="Times New Roman" w:hAnsi="Times New Roman" w:eastAsia="方正仿宋_GBK" w:cs="Times New Roman"/>
          <w:snapToGrid w:val="0"/>
          <w:color w:val="auto"/>
          <w:kern w:val="0"/>
          <w:sz w:val="28"/>
          <w:szCs w:val="28"/>
          <w:lang w:val="en-US" w:eastAsia="en-US" w:bidi="ar-SA"/>
        </w:rPr>
        <w:t>址：</w:t>
      </w:r>
      <w:r>
        <w:rPr>
          <w:rFonts w:hint="eastAsia" w:ascii="Times New Roman" w:hAnsi="Times New Roman" w:eastAsia="方正仿宋_GBK" w:cs="Times New Roman"/>
          <w:snapToGrid w:val="0"/>
          <w:color w:val="auto"/>
          <w:kern w:val="0"/>
          <w:sz w:val="28"/>
          <w:szCs w:val="28"/>
          <w:lang w:val="en-US" w:eastAsia="en-US" w:bidi="ar-SA"/>
        </w:rPr>
        <w:tab/>
      </w:r>
      <w:r>
        <w:rPr>
          <w:rFonts w:hint="eastAsia" w:ascii="Times New Roman" w:hAnsi="Times New Roman" w:eastAsia="方正仿宋_GBK" w:cs="Times New Roman"/>
          <w:snapToGrid w:val="0"/>
          <w:color w:val="auto"/>
          <w:kern w:val="0"/>
          <w:sz w:val="28"/>
          <w:szCs w:val="28"/>
          <w:lang w:val="en-US" w:eastAsia="zh-CN" w:bidi="ar-SA"/>
        </w:rPr>
        <w:t xml:space="preserve">                       </w:t>
      </w:r>
      <w:r>
        <w:rPr>
          <w:rFonts w:hint="eastAsia" w:ascii="Times New Roman" w:hAnsi="Times New Roman" w:eastAsia="方正仿宋_GBK" w:cs="Times New Roman"/>
          <w:snapToGrid w:val="0"/>
          <w:color w:val="auto"/>
          <w:kern w:val="0"/>
          <w:sz w:val="28"/>
          <w:szCs w:val="28"/>
          <w:lang w:val="en-US" w:eastAsia="en-US" w:bidi="ar-SA"/>
        </w:rPr>
        <w:t>地址：</w:t>
      </w:r>
    </w:p>
    <w:p w14:paraId="2BDAFFBE">
      <w:pPr>
        <w:pStyle w:val="3"/>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法定代表人（委托代理人）：</w:t>
      </w:r>
      <w:r>
        <w:rPr>
          <w:rFonts w:hint="eastAsia" w:ascii="Times New Roman" w:hAnsi="Times New Roman" w:eastAsia="方正仿宋_GBK" w:cs="Times New Roman"/>
          <w:snapToGrid w:val="0"/>
          <w:color w:val="auto"/>
          <w:kern w:val="0"/>
          <w:sz w:val="28"/>
          <w:szCs w:val="28"/>
          <w:lang w:val="en-US" w:eastAsia="zh-CN" w:bidi="ar-SA"/>
        </w:rPr>
        <w:t xml:space="preserve">      </w:t>
      </w:r>
      <w:r>
        <w:rPr>
          <w:rFonts w:hint="eastAsia" w:ascii="Times New Roman" w:hAnsi="Times New Roman" w:eastAsia="方正仿宋_GBK" w:cs="Times New Roman"/>
          <w:snapToGrid w:val="0"/>
          <w:color w:val="auto"/>
          <w:kern w:val="0"/>
          <w:sz w:val="28"/>
          <w:szCs w:val="28"/>
          <w:lang w:val="en-US" w:eastAsia="en-US" w:bidi="ar-SA"/>
        </w:rPr>
        <w:t>法定代表人（委托代理人）：</w:t>
      </w:r>
    </w:p>
    <w:p w14:paraId="6FA11139">
      <w:pPr>
        <w:pStyle w:val="3"/>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联</w:t>
      </w:r>
      <w:r>
        <w:rPr>
          <w:rFonts w:hint="eastAsia" w:ascii="Times New Roman" w:hAnsi="Times New Roman" w:eastAsia="方正仿宋_GBK" w:cs="Times New Roman"/>
          <w:snapToGrid w:val="0"/>
          <w:color w:val="auto"/>
          <w:kern w:val="0"/>
          <w:sz w:val="28"/>
          <w:szCs w:val="28"/>
          <w:lang w:val="en-US" w:eastAsia="zh-CN" w:bidi="ar-SA"/>
        </w:rPr>
        <w:t xml:space="preserve"> </w:t>
      </w:r>
      <w:r>
        <w:rPr>
          <w:rFonts w:hint="eastAsia" w:ascii="Times New Roman" w:hAnsi="Times New Roman" w:eastAsia="方正仿宋_GBK" w:cs="Times New Roman"/>
          <w:snapToGrid w:val="0"/>
          <w:color w:val="auto"/>
          <w:kern w:val="0"/>
          <w:sz w:val="28"/>
          <w:szCs w:val="28"/>
          <w:lang w:val="en-US" w:eastAsia="en-US" w:bidi="ar-SA"/>
        </w:rPr>
        <w:t>系 电 话：</w:t>
      </w:r>
      <w:r>
        <w:rPr>
          <w:rFonts w:hint="eastAsia" w:ascii="Times New Roman" w:hAnsi="Times New Roman" w:eastAsia="方正仿宋_GBK" w:cs="Times New Roman"/>
          <w:snapToGrid w:val="0"/>
          <w:color w:val="auto"/>
          <w:kern w:val="0"/>
          <w:sz w:val="28"/>
          <w:szCs w:val="28"/>
          <w:lang w:val="en-US" w:eastAsia="en-US" w:bidi="ar-SA"/>
        </w:rPr>
        <w:tab/>
      </w:r>
      <w:r>
        <w:rPr>
          <w:rFonts w:hint="eastAsia" w:ascii="Times New Roman" w:hAnsi="Times New Roman" w:eastAsia="方正仿宋_GBK" w:cs="Times New Roman"/>
          <w:snapToGrid w:val="0"/>
          <w:color w:val="auto"/>
          <w:kern w:val="0"/>
          <w:sz w:val="28"/>
          <w:szCs w:val="28"/>
          <w:lang w:val="en-US" w:eastAsia="zh-CN" w:bidi="ar-SA"/>
        </w:rPr>
        <w:t xml:space="preserve">                 </w:t>
      </w:r>
      <w:r>
        <w:rPr>
          <w:rFonts w:hint="eastAsia" w:ascii="Times New Roman" w:hAnsi="Times New Roman" w:eastAsia="方正仿宋_GBK" w:cs="Times New Roman"/>
          <w:snapToGrid w:val="0"/>
          <w:color w:val="auto"/>
          <w:kern w:val="0"/>
          <w:sz w:val="28"/>
          <w:szCs w:val="28"/>
          <w:lang w:val="en-US" w:eastAsia="en-US" w:bidi="ar-SA"/>
        </w:rPr>
        <w:t>联 系 电 话：</w:t>
      </w:r>
    </w:p>
    <w:p w14:paraId="6630453F">
      <w:pPr>
        <w:pStyle w:val="3"/>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签 订 日 期：</w:t>
      </w:r>
      <w:r>
        <w:rPr>
          <w:rFonts w:hint="eastAsia" w:ascii="Times New Roman" w:hAnsi="Times New Roman" w:eastAsia="方正仿宋_GBK" w:cs="Times New Roman"/>
          <w:snapToGrid w:val="0"/>
          <w:color w:val="auto"/>
          <w:kern w:val="0"/>
          <w:sz w:val="28"/>
          <w:szCs w:val="28"/>
          <w:lang w:val="en-US" w:eastAsia="en-US" w:bidi="ar-SA"/>
        </w:rPr>
        <w:tab/>
      </w:r>
      <w:r>
        <w:rPr>
          <w:rFonts w:hint="eastAsia" w:ascii="Times New Roman" w:hAnsi="Times New Roman" w:eastAsia="方正仿宋_GBK" w:cs="Times New Roman"/>
          <w:snapToGrid w:val="0"/>
          <w:color w:val="auto"/>
          <w:kern w:val="0"/>
          <w:sz w:val="28"/>
          <w:szCs w:val="28"/>
          <w:lang w:val="en-US" w:eastAsia="zh-CN" w:bidi="ar-SA"/>
        </w:rPr>
        <w:t xml:space="preserve">                 </w:t>
      </w:r>
      <w:r>
        <w:rPr>
          <w:rFonts w:hint="eastAsia" w:ascii="Times New Roman" w:hAnsi="Times New Roman" w:eastAsia="方正仿宋_GBK" w:cs="Times New Roman"/>
          <w:snapToGrid w:val="0"/>
          <w:color w:val="auto"/>
          <w:kern w:val="0"/>
          <w:sz w:val="28"/>
          <w:szCs w:val="28"/>
          <w:lang w:val="en-US" w:eastAsia="en-US" w:bidi="ar-SA"/>
        </w:rPr>
        <w:t>签 订 日 期：</w:t>
      </w:r>
    </w:p>
    <w:p w14:paraId="283DAADB">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default" w:ascii="Times New Roman" w:hAnsi="Times New Roman" w:eastAsia="方正仿宋_GBK" w:cs="Times New Roman"/>
          <w:snapToGrid w:val="0"/>
          <w:color w:val="auto"/>
          <w:kern w:val="0"/>
          <w:sz w:val="28"/>
          <w:szCs w:val="28"/>
          <w:lang w:val="en-US" w:eastAsia="zh-CN" w:bidi="ar-SA"/>
        </w:rPr>
      </w:pPr>
    </w:p>
    <w:p w14:paraId="7A5EB8B9">
      <w:pPr>
        <w:rPr>
          <w:color w:val="auto"/>
        </w:rPr>
      </w:pPr>
    </w:p>
    <w:p w14:paraId="65DDD4B1">
      <w:pPr>
        <w:rPr>
          <w:color w:val="auto"/>
        </w:rPr>
      </w:pPr>
    </w:p>
    <w:p w14:paraId="377FFC6C">
      <w:pPr>
        <w:rPr>
          <w:color w:val="auto"/>
        </w:rPr>
      </w:pPr>
    </w:p>
    <w:p w14:paraId="680049B2">
      <w:pPr>
        <w:rPr>
          <w:color w:val="auto"/>
        </w:rPr>
      </w:pPr>
    </w:p>
    <w:p w14:paraId="7F056B2E">
      <w:pPr>
        <w:rPr>
          <w:color w:val="auto"/>
        </w:rPr>
      </w:pPr>
    </w:p>
    <w:p w14:paraId="30F9EC59">
      <w:pPr>
        <w:rPr>
          <w:color w:val="auto"/>
        </w:rPr>
      </w:pPr>
    </w:p>
    <w:p w14:paraId="5B348642">
      <w:pPr>
        <w:rPr>
          <w:color w:val="auto"/>
        </w:rPr>
      </w:pPr>
    </w:p>
    <w:p w14:paraId="4B96445D">
      <w:pPr>
        <w:rPr>
          <w:color w:val="auto"/>
        </w:rPr>
      </w:pPr>
    </w:p>
    <w:p w14:paraId="10FB369B">
      <w:pPr>
        <w:rPr>
          <w:color w:val="auto"/>
        </w:rPr>
      </w:pPr>
    </w:p>
    <w:p w14:paraId="6C461192">
      <w:pPr>
        <w:rPr>
          <w:color w:val="auto"/>
        </w:rPr>
      </w:pPr>
    </w:p>
    <w:p w14:paraId="5B8AE1D9">
      <w:pPr>
        <w:rPr>
          <w:color w:val="auto"/>
        </w:rPr>
      </w:pPr>
    </w:p>
    <w:p w14:paraId="5685CE66">
      <w:pPr>
        <w:rPr>
          <w:color w:val="auto"/>
        </w:rPr>
      </w:pPr>
    </w:p>
    <w:p w14:paraId="110F309B">
      <w:pPr>
        <w:rPr>
          <w:color w:val="auto"/>
        </w:rPr>
      </w:pPr>
    </w:p>
    <w:p w14:paraId="3B58007C">
      <w:pPr>
        <w:rPr>
          <w:color w:val="auto"/>
        </w:rPr>
      </w:pPr>
    </w:p>
    <w:p w14:paraId="52F41175">
      <w:pPr>
        <w:rPr>
          <w:color w:val="auto"/>
        </w:rPr>
      </w:pPr>
    </w:p>
    <w:p w14:paraId="37E7EB9E">
      <w:pPr>
        <w:rPr>
          <w:color w:val="auto"/>
        </w:rPr>
      </w:pPr>
    </w:p>
    <w:p w14:paraId="32092DCE">
      <w:pPr>
        <w:rPr>
          <w:color w:val="auto"/>
        </w:rPr>
      </w:pPr>
    </w:p>
    <w:p w14:paraId="7D3C309D">
      <w:pPr>
        <w:rPr>
          <w:color w:val="auto"/>
        </w:rPr>
      </w:pPr>
    </w:p>
    <w:p w14:paraId="6CFDDC65">
      <w:pPr>
        <w:rPr>
          <w:color w:val="auto"/>
        </w:rPr>
      </w:pPr>
    </w:p>
    <w:p w14:paraId="4500487F">
      <w:pPr>
        <w:rPr>
          <w:color w:val="auto"/>
        </w:rPr>
      </w:pPr>
    </w:p>
    <w:p w14:paraId="21641A8C">
      <w:pPr>
        <w:rPr>
          <w:color w:val="auto"/>
        </w:rPr>
      </w:pPr>
    </w:p>
    <w:p w14:paraId="1B78B74B">
      <w:pPr>
        <w:rPr>
          <w:color w:val="auto"/>
        </w:rPr>
      </w:pPr>
    </w:p>
    <w:p w14:paraId="26B3A308">
      <w:pPr>
        <w:rPr>
          <w:color w:val="auto"/>
        </w:rPr>
      </w:pPr>
    </w:p>
    <w:p w14:paraId="4BBDA485">
      <w:pPr>
        <w:rPr>
          <w:color w:val="auto"/>
        </w:rPr>
      </w:pPr>
    </w:p>
    <w:p w14:paraId="0C1A3743">
      <w:pPr>
        <w:rPr>
          <w:color w:val="auto"/>
        </w:rPr>
      </w:pPr>
    </w:p>
    <w:p w14:paraId="491FC453">
      <w:pPr>
        <w:rPr>
          <w:color w:val="auto"/>
        </w:rPr>
      </w:pPr>
    </w:p>
    <w:p w14:paraId="1319CC15">
      <w:pPr>
        <w:rPr>
          <w:color w:val="auto"/>
        </w:rPr>
      </w:pPr>
    </w:p>
    <w:p w14:paraId="4C8D8622">
      <w:pPr>
        <w:spacing w:before="284" w:line="211" w:lineRule="auto"/>
        <w:ind w:left="136"/>
        <w:rPr>
          <w:rFonts w:ascii="仿宋" w:hAnsi="仿宋" w:eastAsia="仿宋" w:cs="仿宋"/>
          <w:color w:val="auto"/>
          <w:sz w:val="28"/>
          <w:szCs w:val="28"/>
        </w:rPr>
      </w:pPr>
      <w:r>
        <w:rPr>
          <w:rFonts w:ascii="黑体" w:hAnsi="黑体" w:eastAsia="黑体" w:cs="黑体"/>
          <w:color w:val="auto"/>
          <w:spacing w:val="1"/>
          <w:sz w:val="28"/>
          <w:szCs w:val="28"/>
        </w:rPr>
        <w:t>附件</w:t>
      </w:r>
      <w:r>
        <w:rPr>
          <w:rFonts w:ascii="黑体" w:hAnsi="黑体" w:eastAsia="黑体" w:cs="黑体"/>
          <w:color w:val="auto"/>
          <w:spacing w:val="-41"/>
          <w:sz w:val="28"/>
          <w:szCs w:val="28"/>
        </w:rPr>
        <w:t xml:space="preserve"> </w:t>
      </w:r>
      <w:r>
        <w:rPr>
          <w:rFonts w:ascii="黑体" w:hAnsi="黑体" w:eastAsia="黑体" w:cs="黑体"/>
          <w:color w:val="auto"/>
          <w:spacing w:val="1"/>
          <w:sz w:val="28"/>
          <w:szCs w:val="28"/>
        </w:rPr>
        <w:t>1：</w:t>
      </w:r>
      <w:r>
        <w:rPr>
          <w:rFonts w:ascii="仿宋" w:hAnsi="仿宋" w:eastAsia="仿宋" w:cs="仿宋"/>
          <w:color w:val="auto"/>
          <w:spacing w:val="1"/>
          <w:sz w:val="28"/>
          <w:szCs w:val="28"/>
        </w:rPr>
        <w:t>提供产品详细的中文技术规格书和外</w:t>
      </w:r>
      <w:r>
        <w:rPr>
          <w:rFonts w:ascii="仿宋" w:hAnsi="仿宋" w:eastAsia="仿宋" w:cs="仿宋"/>
          <w:color w:val="auto"/>
          <w:sz w:val="28"/>
          <w:szCs w:val="28"/>
        </w:rPr>
        <w:t>观照片。</w:t>
      </w:r>
    </w:p>
    <w:tbl>
      <w:tblPr>
        <w:tblStyle w:val="8"/>
        <w:tblW w:w="983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07"/>
        <w:gridCol w:w="737"/>
        <w:gridCol w:w="982"/>
        <w:gridCol w:w="5343"/>
        <w:gridCol w:w="2065"/>
      </w:tblGrid>
      <w:tr w14:paraId="6D92D7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707" w:type="dxa"/>
            <w:vAlign w:val="top"/>
          </w:tcPr>
          <w:p w14:paraId="48070713">
            <w:pPr>
              <w:pStyle w:val="7"/>
              <w:spacing w:before="202" w:line="222" w:lineRule="auto"/>
              <w:jc w:val="center"/>
              <w:rPr>
                <w:rFonts w:hint="eastAsia" w:ascii="方正仿宋_GBK" w:hAnsi="方正仿宋_GBK" w:eastAsia="方正仿宋_GBK" w:cs="方正仿宋_GBK"/>
                <w:snapToGrid w:val="0"/>
                <w:color w:val="auto"/>
                <w:kern w:val="0"/>
                <w:sz w:val="28"/>
                <w:szCs w:val="28"/>
                <w:lang w:val="en-US" w:eastAsia="zh-CN" w:bidi="ar-SA"/>
              </w:rPr>
            </w:pPr>
            <w:r>
              <w:rPr>
                <w:rFonts w:hint="eastAsia" w:ascii="方正仿宋_GBK" w:hAnsi="方正仿宋_GBK" w:eastAsia="方正仿宋_GBK" w:cs="方正仿宋_GBK"/>
                <w:snapToGrid w:val="0"/>
                <w:color w:val="auto"/>
                <w:kern w:val="0"/>
                <w:sz w:val="28"/>
                <w:szCs w:val="28"/>
                <w:lang w:val="en-US" w:eastAsia="zh-CN" w:bidi="ar-SA"/>
              </w:rPr>
              <w:t>序号</w:t>
            </w:r>
          </w:p>
        </w:tc>
        <w:tc>
          <w:tcPr>
            <w:tcW w:w="737" w:type="dxa"/>
            <w:vAlign w:val="top"/>
          </w:tcPr>
          <w:p w14:paraId="71F29AD2">
            <w:pPr>
              <w:pStyle w:val="7"/>
              <w:spacing w:before="202" w:line="221" w:lineRule="auto"/>
              <w:jc w:val="center"/>
              <w:rPr>
                <w:rFonts w:hint="eastAsia" w:ascii="方正仿宋_GBK" w:hAnsi="方正仿宋_GBK" w:eastAsia="方正仿宋_GBK" w:cs="方正仿宋_GBK"/>
                <w:snapToGrid w:val="0"/>
                <w:color w:val="auto"/>
                <w:kern w:val="0"/>
                <w:sz w:val="28"/>
                <w:szCs w:val="28"/>
                <w:lang w:val="en-US" w:eastAsia="zh-CN" w:bidi="ar-SA"/>
              </w:rPr>
            </w:pPr>
            <w:r>
              <w:rPr>
                <w:rFonts w:hint="eastAsia" w:ascii="方正仿宋_GBK" w:hAnsi="方正仿宋_GBK" w:eastAsia="方正仿宋_GBK" w:cs="方正仿宋_GBK"/>
                <w:snapToGrid w:val="0"/>
                <w:color w:val="auto"/>
                <w:kern w:val="0"/>
                <w:sz w:val="28"/>
                <w:szCs w:val="28"/>
                <w:lang w:val="en-US" w:eastAsia="zh-CN" w:bidi="ar-SA"/>
              </w:rPr>
              <w:t>产品名称</w:t>
            </w:r>
          </w:p>
        </w:tc>
        <w:tc>
          <w:tcPr>
            <w:tcW w:w="982" w:type="dxa"/>
            <w:vAlign w:val="top"/>
          </w:tcPr>
          <w:p w14:paraId="288B0AA2">
            <w:pPr>
              <w:pStyle w:val="7"/>
              <w:spacing w:before="202" w:line="222" w:lineRule="auto"/>
              <w:jc w:val="center"/>
              <w:rPr>
                <w:rFonts w:hint="eastAsia" w:ascii="方正仿宋_GBK" w:hAnsi="方正仿宋_GBK" w:eastAsia="方正仿宋_GBK" w:cs="方正仿宋_GBK"/>
                <w:snapToGrid w:val="0"/>
                <w:color w:val="auto"/>
                <w:kern w:val="0"/>
                <w:sz w:val="28"/>
                <w:szCs w:val="28"/>
                <w:lang w:val="en-US" w:eastAsia="zh-CN" w:bidi="ar-SA"/>
              </w:rPr>
            </w:pPr>
            <w:r>
              <w:rPr>
                <w:rFonts w:hint="eastAsia" w:ascii="方正仿宋_GBK" w:hAnsi="方正仿宋_GBK" w:eastAsia="方正仿宋_GBK" w:cs="方正仿宋_GBK"/>
                <w:snapToGrid w:val="0"/>
                <w:color w:val="auto"/>
                <w:kern w:val="0"/>
                <w:sz w:val="28"/>
                <w:szCs w:val="28"/>
                <w:lang w:val="en-US" w:eastAsia="zh-CN" w:bidi="ar-SA"/>
              </w:rPr>
              <w:t>品牌、规格型号</w:t>
            </w:r>
          </w:p>
        </w:tc>
        <w:tc>
          <w:tcPr>
            <w:tcW w:w="5343" w:type="dxa"/>
            <w:vAlign w:val="top"/>
          </w:tcPr>
          <w:p w14:paraId="5399B76C">
            <w:pPr>
              <w:pStyle w:val="7"/>
              <w:spacing w:before="202" w:line="222" w:lineRule="auto"/>
              <w:jc w:val="center"/>
              <w:rPr>
                <w:rFonts w:hint="eastAsia" w:ascii="方正仿宋_GBK" w:hAnsi="方正仿宋_GBK" w:eastAsia="方正仿宋_GBK" w:cs="方正仿宋_GBK"/>
                <w:snapToGrid w:val="0"/>
                <w:color w:val="auto"/>
                <w:kern w:val="0"/>
                <w:sz w:val="28"/>
                <w:szCs w:val="28"/>
                <w:lang w:val="en-US" w:eastAsia="zh-CN" w:bidi="ar-SA"/>
              </w:rPr>
            </w:pPr>
            <w:r>
              <w:rPr>
                <w:rFonts w:hint="eastAsia" w:ascii="方正仿宋_GBK" w:hAnsi="方正仿宋_GBK" w:eastAsia="方正仿宋_GBK" w:cs="方正仿宋_GBK"/>
                <w:snapToGrid w:val="0"/>
                <w:color w:val="auto"/>
                <w:kern w:val="0"/>
                <w:sz w:val="28"/>
                <w:szCs w:val="28"/>
                <w:lang w:val="en-US" w:eastAsia="zh-CN" w:bidi="ar-SA"/>
              </w:rPr>
              <w:t>规格及技术参数</w:t>
            </w:r>
          </w:p>
        </w:tc>
        <w:tc>
          <w:tcPr>
            <w:tcW w:w="2065" w:type="dxa"/>
            <w:vAlign w:val="top"/>
          </w:tcPr>
          <w:p w14:paraId="78DF1C6C">
            <w:pPr>
              <w:pStyle w:val="7"/>
              <w:spacing w:before="202" w:line="223" w:lineRule="auto"/>
              <w:jc w:val="center"/>
              <w:rPr>
                <w:rFonts w:hint="eastAsia" w:ascii="方正仿宋_GBK" w:hAnsi="方正仿宋_GBK" w:eastAsia="方正仿宋_GBK" w:cs="方正仿宋_GBK"/>
                <w:snapToGrid w:val="0"/>
                <w:color w:val="auto"/>
                <w:kern w:val="0"/>
                <w:sz w:val="28"/>
                <w:szCs w:val="28"/>
                <w:lang w:val="en-US" w:eastAsia="zh-CN" w:bidi="ar-SA"/>
              </w:rPr>
            </w:pPr>
            <w:r>
              <w:rPr>
                <w:rFonts w:hint="eastAsia" w:ascii="方正仿宋_GBK" w:hAnsi="方正仿宋_GBK" w:eastAsia="方正仿宋_GBK" w:cs="方正仿宋_GBK"/>
                <w:snapToGrid w:val="0"/>
                <w:color w:val="auto"/>
                <w:kern w:val="0"/>
                <w:sz w:val="28"/>
                <w:szCs w:val="28"/>
                <w:lang w:val="en-US" w:eastAsia="zh-CN" w:bidi="ar-SA"/>
              </w:rPr>
              <w:t>产品图片</w:t>
            </w:r>
          </w:p>
        </w:tc>
      </w:tr>
      <w:tr w14:paraId="4DB716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707" w:type="dxa"/>
            <w:vAlign w:val="center"/>
          </w:tcPr>
          <w:p w14:paraId="09A6BC55">
            <w:pPr>
              <w:pStyle w:val="7"/>
              <w:spacing w:before="202" w:line="222" w:lineRule="auto"/>
              <w:jc w:val="center"/>
              <w:rPr>
                <w:rFonts w:hint="eastAsia" w:ascii="方正仿宋_GBK" w:hAnsi="方正仿宋_GBK" w:eastAsia="方正仿宋_GBK" w:cs="方正仿宋_GBK"/>
                <w:snapToGrid w:val="0"/>
                <w:color w:val="auto"/>
                <w:kern w:val="0"/>
                <w:sz w:val="28"/>
                <w:szCs w:val="28"/>
                <w:lang w:val="en-US" w:eastAsia="zh-CN" w:bidi="ar-SA"/>
              </w:rPr>
            </w:pPr>
            <w:r>
              <w:rPr>
                <w:rFonts w:hint="eastAsia" w:ascii="方正仿宋_GBK" w:hAnsi="方正仿宋_GBK" w:eastAsia="方正仿宋_GBK" w:cs="方正仿宋_GBK"/>
                <w:snapToGrid w:val="0"/>
                <w:color w:val="auto"/>
                <w:kern w:val="0"/>
                <w:sz w:val="28"/>
                <w:szCs w:val="28"/>
                <w:lang w:val="en-US" w:eastAsia="zh-CN" w:bidi="ar-SA"/>
              </w:rPr>
              <w:t>1</w:t>
            </w:r>
          </w:p>
        </w:tc>
        <w:tc>
          <w:tcPr>
            <w:tcW w:w="737" w:type="dxa"/>
            <w:vAlign w:val="center"/>
          </w:tcPr>
          <w:p w14:paraId="4826A5FD">
            <w:pPr>
              <w:pStyle w:val="7"/>
              <w:spacing w:before="202" w:line="222" w:lineRule="auto"/>
              <w:jc w:val="center"/>
              <w:rPr>
                <w:rFonts w:hint="eastAsia" w:ascii="方正仿宋_GBK" w:hAnsi="方正仿宋_GBK" w:eastAsia="方正仿宋_GBK" w:cs="方正仿宋_GBK"/>
                <w:snapToGrid w:val="0"/>
                <w:color w:val="auto"/>
                <w:kern w:val="0"/>
                <w:sz w:val="28"/>
                <w:szCs w:val="28"/>
                <w:lang w:val="en-US" w:eastAsia="zh-CN" w:bidi="ar-SA"/>
              </w:rPr>
            </w:pPr>
          </w:p>
        </w:tc>
        <w:tc>
          <w:tcPr>
            <w:tcW w:w="982" w:type="dxa"/>
            <w:vAlign w:val="center"/>
          </w:tcPr>
          <w:p w14:paraId="6E4A8E8E">
            <w:pPr>
              <w:jc w:val="center"/>
              <w:rPr>
                <w:rFonts w:hint="eastAsia" w:ascii="方正仿宋_GBK" w:hAnsi="方正仿宋_GBK" w:eastAsia="方正仿宋_GBK" w:cs="方正仿宋_GBK"/>
                <w:snapToGrid w:val="0"/>
                <w:color w:val="auto"/>
                <w:kern w:val="0"/>
                <w:sz w:val="28"/>
                <w:szCs w:val="28"/>
                <w:lang w:val="en-US" w:eastAsia="zh-CN" w:bidi="ar-SA"/>
              </w:rPr>
            </w:pPr>
          </w:p>
        </w:tc>
        <w:tc>
          <w:tcPr>
            <w:tcW w:w="5343" w:type="dxa"/>
            <w:vAlign w:val="top"/>
          </w:tcPr>
          <w:p w14:paraId="4A7A470D">
            <w:pPr>
              <w:pStyle w:val="7"/>
              <w:spacing w:before="202" w:line="222" w:lineRule="auto"/>
              <w:jc w:val="left"/>
              <w:rPr>
                <w:rFonts w:hint="eastAsia" w:ascii="方正仿宋_GBK" w:hAnsi="方正仿宋_GBK" w:eastAsia="方正仿宋_GBK" w:cs="方正仿宋_GBK"/>
                <w:snapToGrid w:val="0"/>
                <w:color w:val="auto"/>
                <w:kern w:val="0"/>
                <w:sz w:val="28"/>
                <w:szCs w:val="28"/>
                <w:lang w:val="en-US" w:eastAsia="zh-CN" w:bidi="ar-SA"/>
              </w:rPr>
            </w:pPr>
          </w:p>
        </w:tc>
        <w:tc>
          <w:tcPr>
            <w:tcW w:w="2065" w:type="dxa"/>
            <w:vAlign w:val="center"/>
          </w:tcPr>
          <w:p w14:paraId="03275ADF">
            <w:pPr>
              <w:pStyle w:val="7"/>
              <w:spacing w:before="202" w:line="223" w:lineRule="auto"/>
              <w:jc w:val="center"/>
              <w:rPr>
                <w:rFonts w:hint="eastAsia" w:eastAsia="仿宋"/>
                <w:color w:val="auto"/>
                <w:spacing w:val="-3"/>
                <w:lang w:eastAsia="zh-CN"/>
              </w:rPr>
            </w:pPr>
          </w:p>
        </w:tc>
      </w:tr>
      <w:tr w14:paraId="723793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707" w:type="dxa"/>
            <w:vAlign w:val="center"/>
          </w:tcPr>
          <w:p w14:paraId="03C8476B">
            <w:pPr>
              <w:pStyle w:val="7"/>
              <w:spacing w:before="202" w:line="222" w:lineRule="auto"/>
              <w:jc w:val="center"/>
              <w:rPr>
                <w:rFonts w:hint="eastAsia" w:ascii="方正仿宋_GBK" w:hAnsi="方正仿宋_GBK" w:eastAsia="方正仿宋_GBK" w:cs="方正仿宋_GBK"/>
                <w:snapToGrid w:val="0"/>
                <w:color w:val="auto"/>
                <w:kern w:val="0"/>
                <w:sz w:val="28"/>
                <w:szCs w:val="28"/>
                <w:lang w:val="en-US" w:eastAsia="zh-CN" w:bidi="ar-SA"/>
              </w:rPr>
            </w:pPr>
            <w:r>
              <w:rPr>
                <w:rFonts w:hint="eastAsia" w:ascii="方正仿宋_GBK" w:hAnsi="方正仿宋_GBK" w:eastAsia="方正仿宋_GBK" w:cs="方正仿宋_GBK"/>
                <w:snapToGrid w:val="0"/>
                <w:color w:val="auto"/>
                <w:kern w:val="0"/>
                <w:sz w:val="28"/>
                <w:szCs w:val="28"/>
                <w:lang w:val="en-US" w:eastAsia="zh-CN" w:bidi="ar-SA"/>
              </w:rPr>
              <w:t>2</w:t>
            </w:r>
          </w:p>
        </w:tc>
        <w:tc>
          <w:tcPr>
            <w:tcW w:w="737" w:type="dxa"/>
            <w:vAlign w:val="center"/>
          </w:tcPr>
          <w:p w14:paraId="2B02FAC3">
            <w:pPr>
              <w:pStyle w:val="7"/>
              <w:spacing w:before="202" w:line="222" w:lineRule="auto"/>
              <w:jc w:val="center"/>
              <w:rPr>
                <w:rFonts w:hint="eastAsia" w:ascii="方正仿宋_GBK" w:hAnsi="方正仿宋_GBK" w:eastAsia="方正仿宋_GBK" w:cs="方正仿宋_GBK"/>
                <w:snapToGrid w:val="0"/>
                <w:color w:val="auto"/>
                <w:kern w:val="0"/>
                <w:sz w:val="28"/>
                <w:szCs w:val="28"/>
                <w:lang w:val="en-US" w:eastAsia="zh-CN" w:bidi="ar-SA"/>
              </w:rPr>
            </w:pPr>
          </w:p>
        </w:tc>
        <w:tc>
          <w:tcPr>
            <w:tcW w:w="982" w:type="dxa"/>
            <w:vAlign w:val="center"/>
          </w:tcPr>
          <w:p w14:paraId="56C39FC6">
            <w:pPr>
              <w:jc w:val="center"/>
              <w:rPr>
                <w:rFonts w:hint="eastAsia" w:ascii="方正仿宋_GBK" w:hAnsi="方正仿宋_GBK" w:eastAsia="方正仿宋_GBK" w:cs="方正仿宋_GBK"/>
                <w:snapToGrid w:val="0"/>
                <w:color w:val="auto"/>
                <w:kern w:val="0"/>
                <w:sz w:val="28"/>
                <w:szCs w:val="28"/>
                <w:lang w:val="en-US" w:eastAsia="zh-CN" w:bidi="ar-SA"/>
              </w:rPr>
            </w:pPr>
          </w:p>
        </w:tc>
        <w:tc>
          <w:tcPr>
            <w:tcW w:w="5343" w:type="dxa"/>
            <w:vAlign w:val="top"/>
          </w:tcPr>
          <w:p w14:paraId="4E820540">
            <w:pPr>
              <w:bidi w:val="0"/>
              <w:jc w:val="left"/>
              <w:rPr>
                <w:rFonts w:hint="eastAsia" w:ascii="方正仿宋_GBK" w:hAnsi="方正仿宋_GBK" w:eastAsia="方正仿宋_GBK" w:cs="方正仿宋_GBK"/>
                <w:snapToGrid w:val="0"/>
                <w:color w:val="auto"/>
                <w:kern w:val="0"/>
                <w:sz w:val="28"/>
                <w:szCs w:val="28"/>
                <w:lang w:val="en-US" w:eastAsia="zh-CN" w:bidi="ar-SA"/>
              </w:rPr>
            </w:pPr>
          </w:p>
        </w:tc>
        <w:tc>
          <w:tcPr>
            <w:tcW w:w="2065" w:type="dxa"/>
            <w:vAlign w:val="center"/>
          </w:tcPr>
          <w:p w14:paraId="62ECCABB">
            <w:pPr>
              <w:pStyle w:val="7"/>
              <w:spacing w:before="202" w:line="223" w:lineRule="auto"/>
              <w:jc w:val="center"/>
              <w:rPr>
                <w:rFonts w:hint="eastAsia" w:eastAsia="仿宋"/>
                <w:color w:val="auto"/>
                <w:spacing w:val="-3"/>
                <w:lang w:eastAsia="zh-CN"/>
              </w:rPr>
            </w:pPr>
          </w:p>
        </w:tc>
      </w:tr>
      <w:tr w14:paraId="351AA1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707" w:type="dxa"/>
            <w:vAlign w:val="center"/>
          </w:tcPr>
          <w:p w14:paraId="2F3A0272">
            <w:pPr>
              <w:pStyle w:val="7"/>
              <w:spacing w:before="202" w:line="222" w:lineRule="auto"/>
              <w:jc w:val="center"/>
              <w:rPr>
                <w:rFonts w:hint="default" w:ascii="方正仿宋_GBK" w:hAnsi="方正仿宋_GBK" w:eastAsia="方正仿宋_GBK" w:cs="方正仿宋_GBK"/>
                <w:snapToGrid w:val="0"/>
                <w:color w:val="auto"/>
                <w:kern w:val="0"/>
                <w:sz w:val="28"/>
                <w:szCs w:val="28"/>
                <w:lang w:val="en-US" w:eastAsia="zh-CN" w:bidi="ar-SA"/>
              </w:rPr>
            </w:pPr>
            <w:r>
              <w:rPr>
                <w:rFonts w:hint="eastAsia" w:ascii="方正仿宋_GBK" w:hAnsi="方正仿宋_GBK" w:eastAsia="方正仿宋_GBK" w:cs="方正仿宋_GBK"/>
                <w:snapToGrid w:val="0"/>
                <w:color w:val="auto"/>
                <w:kern w:val="0"/>
                <w:sz w:val="28"/>
                <w:szCs w:val="28"/>
                <w:lang w:val="en-US" w:eastAsia="zh-CN" w:bidi="ar-SA"/>
              </w:rPr>
              <w:t>3</w:t>
            </w:r>
          </w:p>
        </w:tc>
        <w:tc>
          <w:tcPr>
            <w:tcW w:w="737" w:type="dxa"/>
            <w:vAlign w:val="center"/>
          </w:tcPr>
          <w:p w14:paraId="3E16CDD1">
            <w:pPr>
              <w:pStyle w:val="7"/>
              <w:spacing w:before="202" w:line="222" w:lineRule="auto"/>
              <w:jc w:val="center"/>
              <w:rPr>
                <w:rFonts w:hint="eastAsia" w:ascii="方正仿宋_GBK" w:hAnsi="方正仿宋_GBK" w:eastAsia="方正仿宋_GBK" w:cs="方正仿宋_GBK"/>
                <w:snapToGrid w:val="0"/>
                <w:color w:val="auto"/>
                <w:kern w:val="0"/>
                <w:sz w:val="28"/>
                <w:szCs w:val="28"/>
                <w:lang w:val="en-US" w:eastAsia="zh-CN" w:bidi="ar-SA"/>
              </w:rPr>
            </w:pPr>
          </w:p>
        </w:tc>
        <w:tc>
          <w:tcPr>
            <w:tcW w:w="982" w:type="dxa"/>
            <w:vAlign w:val="center"/>
          </w:tcPr>
          <w:p w14:paraId="13BE299A">
            <w:pPr>
              <w:jc w:val="center"/>
              <w:rPr>
                <w:rFonts w:hint="eastAsia" w:ascii="方正仿宋_GBK" w:hAnsi="方正仿宋_GBK" w:eastAsia="方正仿宋_GBK" w:cs="方正仿宋_GBK"/>
                <w:snapToGrid w:val="0"/>
                <w:color w:val="auto"/>
                <w:kern w:val="0"/>
                <w:sz w:val="28"/>
                <w:szCs w:val="28"/>
                <w:lang w:val="en-US" w:eastAsia="zh-CN" w:bidi="ar-SA"/>
              </w:rPr>
            </w:pPr>
          </w:p>
        </w:tc>
        <w:tc>
          <w:tcPr>
            <w:tcW w:w="5343" w:type="dxa"/>
            <w:vAlign w:val="center"/>
          </w:tcPr>
          <w:p w14:paraId="49712AF9">
            <w:pPr>
              <w:bidi w:val="0"/>
              <w:jc w:val="left"/>
              <w:rPr>
                <w:rFonts w:hint="eastAsia" w:ascii="方正仿宋_GBK" w:hAnsi="方正仿宋_GBK" w:eastAsia="方正仿宋_GBK" w:cs="方正仿宋_GBK"/>
                <w:snapToGrid w:val="0"/>
                <w:color w:val="auto"/>
                <w:kern w:val="0"/>
                <w:sz w:val="28"/>
                <w:szCs w:val="28"/>
                <w:lang w:val="en-US" w:eastAsia="zh-CN" w:bidi="ar-SA"/>
              </w:rPr>
            </w:pPr>
          </w:p>
        </w:tc>
        <w:tc>
          <w:tcPr>
            <w:tcW w:w="2065" w:type="dxa"/>
            <w:vAlign w:val="center"/>
          </w:tcPr>
          <w:p w14:paraId="7B7E4B3D">
            <w:pPr>
              <w:pStyle w:val="7"/>
              <w:spacing w:before="202" w:line="223" w:lineRule="auto"/>
              <w:jc w:val="center"/>
              <w:rPr>
                <w:rFonts w:hint="eastAsia" w:eastAsia="仿宋"/>
                <w:color w:val="auto"/>
                <w:spacing w:val="-3"/>
                <w:lang w:eastAsia="zh-CN"/>
              </w:rPr>
            </w:pPr>
          </w:p>
        </w:tc>
      </w:tr>
      <w:tr w14:paraId="5DD726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707" w:type="dxa"/>
            <w:vAlign w:val="center"/>
          </w:tcPr>
          <w:p w14:paraId="03A43A0A">
            <w:pPr>
              <w:pStyle w:val="7"/>
              <w:spacing w:before="202" w:line="222" w:lineRule="auto"/>
              <w:jc w:val="center"/>
              <w:rPr>
                <w:rFonts w:hint="default" w:ascii="方正仿宋_GBK" w:hAnsi="方正仿宋_GBK" w:eastAsia="方正仿宋_GBK" w:cs="方正仿宋_GBK"/>
                <w:snapToGrid w:val="0"/>
                <w:color w:val="auto"/>
                <w:kern w:val="0"/>
                <w:sz w:val="28"/>
                <w:szCs w:val="28"/>
                <w:lang w:val="en-US" w:eastAsia="zh-CN" w:bidi="ar-SA"/>
              </w:rPr>
            </w:pPr>
            <w:r>
              <w:rPr>
                <w:rFonts w:hint="eastAsia" w:ascii="方正仿宋_GBK" w:hAnsi="方正仿宋_GBK" w:eastAsia="方正仿宋_GBK" w:cs="方正仿宋_GBK"/>
                <w:snapToGrid w:val="0"/>
                <w:color w:val="auto"/>
                <w:kern w:val="0"/>
                <w:sz w:val="28"/>
                <w:szCs w:val="28"/>
                <w:lang w:val="en-US" w:eastAsia="zh-CN" w:bidi="ar-SA"/>
              </w:rPr>
              <w:t>……</w:t>
            </w:r>
          </w:p>
        </w:tc>
        <w:tc>
          <w:tcPr>
            <w:tcW w:w="737" w:type="dxa"/>
            <w:vAlign w:val="center"/>
          </w:tcPr>
          <w:p w14:paraId="48225C2F">
            <w:pPr>
              <w:pStyle w:val="7"/>
              <w:spacing w:before="202" w:line="222" w:lineRule="auto"/>
              <w:jc w:val="center"/>
              <w:rPr>
                <w:rFonts w:hint="eastAsia" w:ascii="方正仿宋_GBK" w:hAnsi="方正仿宋_GBK" w:eastAsia="方正仿宋_GBK" w:cs="方正仿宋_GBK"/>
                <w:snapToGrid w:val="0"/>
                <w:color w:val="auto"/>
                <w:kern w:val="0"/>
                <w:sz w:val="28"/>
                <w:szCs w:val="28"/>
                <w:lang w:val="en-US" w:eastAsia="zh-CN" w:bidi="ar-SA"/>
              </w:rPr>
            </w:pPr>
          </w:p>
        </w:tc>
        <w:tc>
          <w:tcPr>
            <w:tcW w:w="982" w:type="dxa"/>
            <w:vAlign w:val="center"/>
          </w:tcPr>
          <w:p w14:paraId="28571A6C">
            <w:pPr>
              <w:jc w:val="center"/>
              <w:rPr>
                <w:rFonts w:hint="eastAsia" w:ascii="方正仿宋_GBK" w:hAnsi="方正仿宋_GBK" w:eastAsia="方正仿宋_GBK" w:cs="方正仿宋_GBK"/>
                <w:snapToGrid w:val="0"/>
                <w:color w:val="auto"/>
                <w:kern w:val="0"/>
                <w:sz w:val="28"/>
                <w:szCs w:val="28"/>
                <w:lang w:val="en-US" w:eastAsia="zh-CN" w:bidi="ar-SA"/>
              </w:rPr>
            </w:pPr>
          </w:p>
        </w:tc>
        <w:tc>
          <w:tcPr>
            <w:tcW w:w="5343" w:type="dxa"/>
            <w:vAlign w:val="center"/>
          </w:tcPr>
          <w:p w14:paraId="0B52A79F">
            <w:pPr>
              <w:bidi w:val="0"/>
              <w:jc w:val="left"/>
              <w:rPr>
                <w:rFonts w:hint="eastAsia" w:ascii="方正仿宋_GBK" w:hAnsi="方正仿宋_GBK" w:eastAsia="方正仿宋_GBK" w:cs="方正仿宋_GBK"/>
                <w:snapToGrid w:val="0"/>
                <w:color w:val="auto"/>
                <w:kern w:val="0"/>
                <w:sz w:val="28"/>
                <w:szCs w:val="28"/>
                <w:lang w:val="en-US" w:eastAsia="zh-CN" w:bidi="ar-SA"/>
              </w:rPr>
            </w:pPr>
          </w:p>
        </w:tc>
        <w:tc>
          <w:tcPr>
            <w:tcW w:w="2065" w:type="dxa"/>
            <w:vAlign w:val="center"/>
          </w:tcPr>
          <w:p w14:paraId="3AF1D91D">
            <w:pPr>
              <w:pStyle w:val="7"/>
              <w:spacing w:before="202" w:line="223" w:lineRule="auto"/>
              <w:jc w:val="center"/>
              <w:rPr>
                <w:rFonts w:hint="eastAsia" w:eastAsia="仿宋"/>
                <w:color w:val="auto"/>
                <w:spacing w:val="-3"/>
                <w:lang w:eastAsia="zh-CN"/>
              </w:rPr>
            </w:pPr>
          </w:p>
        </w:tc>
      </w:tr>
    </w:tbl>
    <w:p w14:paraId="109CD465">
      <w:pPr>
        <w:rPr>
          <w:rFonts w:ascii="黑体" w:hAnsi="黑体" w:eastAsia="黑体" w:cs="黑体"/>
          <w:color w:val="auto"/>
          <w:spacing w:val="6"/>
          <w:sz w:val="28"/>
          <w:szCs w:val="28"/>
        </w:rPr>
      </w:pPr>
    </w:p>
    <w:p w14:paraId="66D35811">
      <w:pPr>
        <w:rPr>
          <w:rFonts w:ascii="黑体" w:hAnsi="黑体" w:eastAsia="黑体" w:cs="黑体"/>
          <w:color w:val="auto"/>
          <w:spacing w:val="6"/>
          <w:sz w:val="28"/>
          <w:szCs w:val="28"/>
        </w:rPr>
      </w:pPr>
    </w:p>
    <w:p w14:paraId="56AC264E">
      <w:pPr>
        <w:rPr>
          <w:rFonts w:hint="eastAsia" w:ascii="方正仿宋_GBK" w:hAnsi="方正仿宋_GBK" w:eastAsia="方正仿宋_GBK" w:cs="方正仿宋_GBK"/>
          <w:snapToGrid w:val="0"/>
          <w:color w:val="auto"/>
          <w:kern w:val="0"/>
          <w:sz w:val="28"/>
          <w:szCs w:val="28"/>
          <w:lang w:val="en-US" w:eastAsia="zh-CN" w:bidi="ar-SA"/>
        </w:rPr>
      </w:pPr>
      <w:r>
        <w:rPr>
          <w:rFonts w:ascii="黑体" w:hAnsi="黑体" w:eastAsia="黑体" w:cs="黑体"/>
          <w:color w:val="auto"/>
          <w:spacing w:val="6"/>
          <w:sz w:val="28"/>
          <w:szCs w:val="28"/>
        </w:rPr>
        <w:t>附件2：</w:t>
      </w:r>
      <w:r>
        <w:rPr>
          <w:rFonts w:hint="eastAsia" w:ascii="方正仿宋_GBK" w:hAnsi="方正仿宋_GBK" w:eastAsia="方正仿宋_GBK" w:cs="方正仿宋_GBK"/>
          <w:snapToGrid w:val="0"/>
          <w:color w:val="auto"/>
          <w:kern w:val="0"/>
          <w:sz w:val="28"/>
          <w:szCs w:val="28"/>
          <w:lang w:val="en-US" w:eastAsia="zh-CN" w:bidi="ar-SA"/>
        </w:rPr>
        <w:t>零部件及备品备件清单</w:t>
      </w:r>
    </w:p>
    <w:tbl>
      <w:tblPr>
        <w:tblStyle w:val="8"/>
        <w:tblW w:w="8907" w:type="dxa"/>
        <w:tblInd w:w="8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10"/>
        <w:gridCol w:w="961"/>
        <w:gridCol w:w="1285"/>
        <w:gridCol w:w="1394"/>
        <w:gridCol w:w="1069"/>
        <w:gridCol w:w="1237"/>
        <w:gridCol w:w="1223"/>
        <w:gridCol w:w="1228"/>
      </w:tblGrid>
      <w:tr w14:paraId="140328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9" w:hRule="atLeast"/>
        </w:trPr>
        <w:tc>
          <w:tcPr>
            <w:tcW w:w="510" w:type="dxa"/>
            <w:textDirection w:val="tbRlV"/>
            <w:vAlign w:val="center"/>
          </w:tcPr>
          <w:p w14:paraId="7E114668">
            <w:pPr>
              <w:pStyle w:val="7"/>
              <w:spacing w:before="133" w:line="202" w:lineRule="auto"/>
              <w:ind w:left="0" w:leftChars="0" w:firstLine="0" w:firstLineChars="0"/>
              <w:jc w:val="center"/>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pacing w:val="5"/>
                <w:sz w:val="28"/>
                <w:szCs w:val="28"/>
              </w:rPr>
              <w:t>序号</w:t>
            </w:r>
          </w:p>
        </w:tc>
        <w:tc>
          <w:tcPr>
            <w:tcW w:w="961" w:type="dxa"/>
            <w:vAlign w:val="center"/>
          </w:tcPr>
          <w:p w14:paraId="4EB844A4">
            <w:pPr>
              <w:pStyle w:val="7"/>
              <w:spacing w:before="127" w:line="224" w:lineRule="auto"/>
              <w:jc w:val="center"/>
              <w:rPr>
                <w:rFonts w:hint="eastAsia" w:ascii="方正仿宋_GBK" w:hAnsi="方正仿宋_GBK" w:eastAsia="方正仿宋_GBK" w:cs="方正仿宋_GBK"/>
                <w:color w:val="auto"/>
                <w:spacing w:val="-8"/>
                <w:sz w:val="28"/>
                <w:szCs w:val="28"/>
              </w:rPr>
            </w:pPr>
            <w:r>
              <w:rPr>
                <w:rFonts w:hint="eastAsia" w:ascii="方正仿宋_GBK" w:hAnsi="方正仿宋_GBK" w:eastAsia="方正仿宋_GBK" w:cs="方正仿宋_GBK"/>
                <w:color w:val="auto"/>
                <w:spacing w:val="-8"/>
                <w:sz w:val="28"/>
                <w:szCs w:val="28"/>
              </w:rPr>
              <w:t>产品</w:t>
            </w:r>
          </w:p>
          <w:p w14:paraId="5EEB02A5">
            <w:pPr>
              <w:pStyle w:val="7"/>
              <w:spacing w:before="127" w:line="224" w:lineRule="auto"/>
              <w:jc w:val="center"/>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pacing w:val="-8"/>
                <w:sz w:val="28"/>
                <w:szCs w:val="28"/>
              </w:rPr>
              <w:t>名称</w:t>
            </w:r>
          </w:p>
        </w:tc>
        <w:tc>
          <w:tcPr>
            <w:tcW w:w="1285" w:type="dxa"/>
            <w:vAlign w:val="center"/>
          </w:tcPr>
          <w:p w14:paraId="4B87735F">
            <w:pPr>
              <w:pStyle w:val="7"/>
              <w:spacing w:before="308" w:line="222" w:lineRule="auto"/>
              <w:jc w:val="center"/>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pacing w:val="-5"/>
                <w:sz w:val="28"/>
                <w:szCs w:val="28"/>
              </w:rPr>
              <w:t>型号规格</w:t>
            </w:r>
          </w:p>
        </w:tc>
        <w:tc>
          <w:tcPr>
            <w:tcW w:w="1394" w:type="dxa"/>
            <w:vAlign w:val="center"/>
          </w:tcPr>
          <w:p w14:paraId="1953985B">
            <w:pPr>
              <w:pStyle w:val="7"/>
              <w:spacing w:before="307" w:line="222" w:lineRule="auto"/>
              <w:jc w:val="center"/>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pacing w:val="-2"/>
                <w:sz w:val="28"/>
                <w:szCs w:val="28"/>
              </w:rPr>
              <w:t>制造厂商</w:t>
            </w:r>
          </w:p>
        </w:tc>
        <w:tc>
          <w:tcPr>
            <w:tcW w:w="1069" w:type="dxa"/>
            <w:vAlign w:val="center"/>
          </w:tcPr>
          <w:p w14:paraId="720D8D75">
            <w:pPr>
              <w:pStyle w:val="7"/>
              <w:spacing w:before="307" w:line="221" w:lineRule="auto"/>
              <w:jc w:val="center"/>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pacing w:val="-10"/>
                <w:sz w:val="28"/>
                <w:szCs w:val="28"/>
              </w:rPr>
              <w:t>单位</w:t>
            </w:r>
          </w:p>
        </w:tc>
        <w:tc>
          <w:tcPr>
            <w:tcW w:w="1237" w:type="dxa"/>
            <w:vAlign w:val="center"/>
          </w:tcPr>
          <w:p w14:paraId="3429646C">
            <w:pPr>
              <w:pStyle w:val="7"/>
              <w:spacing w:before="78" w:line="221" w:lineRule="auto"/>
              <w:jc w:val="center"/>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pacing w:val="-21"/>
                <w:sz w:val="28"/>
                <w:szCs w:val="28"/>
              </w:rPr>
              <w:t>单价（元）</w:t>
            </w:r>
          </w:p>
        </w:tc>
        <w:tc>
          <w:tcPr>
            <w:tcW w:w="1223" w:type="dxa"/>
            <w:vAlign w:val="center"/>
          </w:tcPr>
          <w:p w14:paraId="5F59A7AD">
            <w:pPr>
              <w:pStyle w:val="7"/>
              <w:spacing w:before="78" w:line="223" w:lineRule="auto"/>
              <w:jc w:val="center"/>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pacing w:val="-2"/>
                <w:sz w:val="28"/>
                <w:szCs w:val="28"/>
              </w:rPr>
              <w:t>供应周期</w:t>
            </w:r>
          </w:p>
        </w:tc>
        <w:tc>
          <w:tcPr>
            <w:tcW w:w="1228" w:type="dxa"/>
            <w:vAlign w:val="center"/>
          </w:tcPr>
          <w:p w14:paraId="0E8E0A1A">
            <w:pPr>
              <w:pStyle w:val="7"/>
              <w:spacing w:before="120" w:line="261" w:lineRule="auto"/>
              <w:ind w:left="268" w:right="128" w:hanging="122"/>
              <w:jc w:val="center"/>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pacing w:val="-4"/>
                <w:sz w:val="28"/>
                <w:szCs w:val="28"/>
              </w:rPr>
              <w:t>质保期外</w:t>
            </w:r>
            <w:r>
              <w:rPr>
                <w:rFonts w:hint="eastAsia" w:ascii="方正仿宋_GBK" w:hAnsi="方正仿宋_GBK" w:eastAsia="方正仿宋_GBK" w:cs="方正仿宋_GBK"/>
                <w:color w:val="auto"/>
                <w:spacing w:val="-5"/>
                <w:sz w:val="28"/>
                <w:szCs w:val="28"/>
              </w:rPr>
              <w:t>工时费</w:t>
            </w:r>
          </w:p>
        </w:tc>
      </w:tr>
      <w:tr w14:paraId="38E40F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5" w:hRule="atLeast"/>
        </w:trPr>
        <w:tc>
          <w:tcPr>
            <w:tcW w:w="510" w:type="dxa"/>
            <w:vAlign w:val="center"/>
          </w:tcPr>
          <w:p w14:paraId="00FBAAD7">
            <w:pPr>
              <w:numPr>
                <w:ilvl w:val="0"/>
                <w:numId w:val="0"/>
              </w:numPr>
              <w:ind w:leftChars="0"/>
              <w:jc w:val="center"/>
              <w:rPr>
                <w:rFonts w:hint="eastAsia"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color w:val="auto"/>
                <w:sz w:val="28"/>
                <w:szCs w:val="28"/>
                <w:lang w:val="en-US" w:eastAsia="zh-CN"/>
              </w:rPr>
              <w:t>1</w:t>
            </w:r>
          </w:p>
        </w:tc>
        <w:tc>
          <w:tcPr>
            <w:tcW w:w="961" w:type="dxa"/>
            <w:shd w:val="clear" w:color="auto" w:fill="auto"/>
            <w:vAlign w:val="center"/>
          </w:tcPr>
          <w:p w14:paraId="724D2CF1">
            <w:pPr>
              <w:keepNext w:val="0"/>
              <w:keepLines w:val="0"/>
              <w:widowControl/>
              <w:suppressLineNumbers w:val="0"/>
              <w:jc w:val="center"/>
              <w:textAlignment w:val="center"/>
              <w:rPr>
                <w:rFonts w:hint="eastAsia" w:ascii="方正仿宋_GBK" w:hAnsi="方正仿宋_GBK" w:eastAsia="方正仿宋_GBK" w:cs="方正仿宋_GBK"/>
                <w:i w:val="0"/>
                <w:iCs w:val="0"/>
                <w:snapToGrid w:val="0"/>
                <w:color w:val="auto"/>
                <w:kern w:val="0"/>
                <w:sz w:val="28"/>
                <w:szCs w:val="28"/>
                <w:u w:val="none"/>
                <w:lang w:val="en-US" w:eastAsia="zh-CN" w:bidi="ar-SA"/>
              </w:rPr>
            </w:pPr>
          </w:p>
        </w:tc>
        <w:tc>
          <w:tcPr>
            <w:tcW w:w="1285" w:type="dxa"/>
            <w:vAlign w:val="center"/>
          </w:tcPr>
          <w:p w14:paraId="0F88BFF3">
            <w:pPr>
              <w:jc w:val="center"/>
              <w:rPr>
                <w:rFonts w:hint="default" w:ascii="方正仿宋_GBK" w:hAnsi="方正仿宋_GBK" w:eastAsia="方正仿宋_GBK" w:cs="方正仿宋_GBK"/>
                <w:color w:val="auto"/>
                <w:sz w:val="28"/>
                <w:szCs w:val="28"/>
                <w:lang w:val="en-US" w:eastAsia="zh-CN"/>
              </w:rPr>
            </w:pPr>
          </w:p>
        </w:tc>
        <w:tc>
          <w:tcPr>
            <w:tcW w:w="1394" w:type="dxa"/>
            <w:vAlign w:val="center"/>
          </w:tcPr>
          <w:p w14:paraId="22327422">
            <w:pPr>
              <w:jc w:val="center"/>
              <w:rPr>
                <w:rFonts w:hint="eastAsia" w:ascii="方正仿宋_GBK" w:hAnsi="方正仿宋_GBK" w:eastAsia="方正仿宋_GBK" w:cs="方正仿宋_GBK"/>
                <w:color w:val="auto"/>
                <w:sz w:val="28"/>
                <w:szCs w:val="28"/>
                <w:lang w:val="en-US" w:eastAsia="zh-CN"/>
              </w:rPr>
            </w:pPr>
          </w:p>
        </w:tc>
        <w:tc>
          <w:tcPr>
            <w:tcW w:w="1069" w:type="dxa"/>
            <w:vAlign w:val="center"/>
          </w:tcPr>
          <w:p w14:paraId="225E2402">
            <w:pPr>
              <w:jc w:val="center"/>
              <w:rPr>
                <w:rFonts w:hint="default" w:ascii="方正仿宋_GBK" w:hAnsi="方正仿宋_GBK" w:eastAsia="方正仿宋_GBK" w:cs="方正仿宋_GBK"/>
                <w:color w:val="auto"/>
                <w:sz w:val="28"/>
                <w:szCs w:val="28"/>
                <w:lang w:val="en-US" w:eastAsia="zh-CN"/>
              </w:rPr>
            </w:pPr>
          </w:p>
        </w:tc>
        <w:tc>
          <w:tcPr>
            <w:tcW w:w="1237" w:type="dxa"/>
            <w:vAlign w:val="center"/>
          </w:tcPr>
          <w:p w14:paraId="22AC5365">
            <w:pPr>
              <w:jc w:val="center"/>
              <w:rPr>
                <w:rFonts w:hint="default" w:ascii="方正仿宋_GBK" w:hAnsi="方正仿宋_GBK" w:eastAsia="方正仿宋_GBK" w:cs="方正仿宋_GBK"/>
                <w:color w:val="auto"/>
                <w:sz w:val="28"/>
                <w:szCs w:val="28"/>
                <w:lang w:val="en-US" w:eastAsia="zh-CN"/>
              </w:rPr>
            </w:pPr>
          </w:p>
        </w:tc>
        <w:tc>
          <w:tcPr>
            <w:tcW w:w="1223" w:type="dxa"/>
            <w:vAlign w:val="center"/>
          </w:tcPr>
          <w:p w14:paraId="2FBD8A36">
            <w:pPr>
              <w:jc w:val="center"/>
              <w:rPr>
                <w:rFonts w:hint="default" w:ascii="方正仿宋_GBK" w:hAnsi="方正仿宋_GBK" w:eastAsia="方正仿宋_GBK" w:cs="方正仿宋_GBK"/>
                <w:color w:val="auto"/>
                <w:sz w:val="28"/>
                <w:szCs w:val="28"/>
                <w:lang w:val="en-US" w:eastAsia="zh-CN"/>
              </w:rPr>
            </w:pPr>
          </w:p>
        </w:tc>
        <w:tc>
          <w:tcPr>
            <w:tcW w:w="1228" w:type="dxa"/>
            <w:vAlign w:val="center"/>
          </w:tcPr>
          <w:p w14:paraId="4ED2CAC3">
            <w:pPr>
              <w:jc w:val="center"/>
              <w:rPr>
                <w:rFonts w:hint="eastAsia" w:ascii="方正仿宋_GBK" w:hAnsi="方正仿宋_GBK" w:eastAsia="方正仿宋_GBK" w:cs="方正仿宋_GBK"/>
                <w:color w:val="auto"/>
                <w:sz w:val="28"/>
                <w:szCs w:val="28"/>
                <w:lang w:val="en-US" w:eastAsia="zh-CN"/>
              </w:rPr>
            </w:pPr>
          </w:p>
        </w:tc>
      </w:tr>
      <w:tr w14:paraId="42B94F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5" w:hRule="atLeast"/>
        </w:trPr>
        <w:tc>
          <w:tcPr>
            <w:tcW w:w="510" w:type="dxa"/>
            <w:vAlign w:val="center"/>
          </w:tcPr>
          <w:p w14:paraId="20257357">
            <w:pPr>
              <w:numPr>
                <w:ilvl w:val="0"/>
                <w:numId w:val="0"/>
              </w:numPr>
              <w:ind w:leftChars="0"/>
              <w:jc w:val="center"/>
              <w:rPr>
                <w:rFonts w:hint="default"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color w:val="auto"/>
                <w:sz w:val="28"/>
                <w:szCs w:val="28"/>
                <w:lang w:val="en-US" w:eastAsia="zh-CN"/>
              </w:rPr>
              <w:t>2</w:t>
            </w:r>
          </w:p>
        </w:tc>
        <w:tc>
          <w:tcPr>
            <w:tcW w:w="961" w:type="dxa"/>
            <w:shd w:val="clear" w:color="auto" w:fill="auto"/>
            <w:vAlign w:val="center"/>
          </w:tcPr>
          <w:p w14:paraId="34CFF209">
            <w:pPr>
              <w:keepNext w:val="0"/>
              <w:keepLines w:val="0"/>
              <w:widowControl/>
              <w:suppressLineNumbers w:val="0"/>
              <w:jc w:val="center"/>
              <w:textAlignment w:val="center"/>
              <w:rPr>
                <w:rFonts w:hint="eastAsia" w:ascii="方正仿宋_GBK" w:hAnsi="方正仿宋_GBK" w:eastAsia="方正仿宋_GBK" w:cs="方正仿宋_GBK"/>
                <w:snapToGrid w:val="0"/>
                <w:color w:val="auto"/>
                <w:spacing w:val="-5"/>
                <w:kern w:val="0"/>
                <w:sz w:val="28"/>
                <w:szCs w:val="28"/>
                <w:lang w:val="en-US" w:eastAsia="en-US" w:bidi="ar-SA"/>
              </w:rPr>
            </w:pPr>
          </w:p>
        </w:tc>
        <w:tc>
          <w:tcPr>
            <w:tcW w:w="1285" w:type="dxa"/>
            <w:vAlign w:val="center"/>
          </w:tcPr>
          <w:p w14:paraId="006A78A6">
            <w:pPr>
              <w:jc w:val="center"/>
              <w:rPr>
                <w:rFonts w:hint="eastAsia" w:ascii="方正仿宋_GBK" w:hAnsi="方正仿宋_GBK" w:eastAsia="方正仿宋_GBK" w:cs="方正仿宋_GBK"/>
                <w:color w:val="auto"/>
                <w:sz w:val="28"/>
                <w:szCs w:val="28"/>
                <w:lang w:val="en-US" w:eastAsia="zh-CN"/>
              </w:rPr>
            </w:pPr>
          </w:p>
        </w:tc>
        <w:tc>
          <w:tcPr>
            <w:tcW w:w="1394" w:type="dxa"/>
            <w:vAlign w:val="center"/>
          </w:tcPr>
          <w:p w14:paraId="6E7D20E5">
            <w:pPr>
              <w:jc w:val="center"/>
              <w:rPr>
                <w:rFonts w:hint="eastAsia" w:ascii="方正仿宋_GBK" w:hAnsi="方正仿宋_GBK" w:eastAsia="方正仿宋_GBK" w:cs="方正仿宋_GBK"/>
                <w:snapToGrid w:val="0"/>
                <w:color w:val="auto"/>
                <w:spacing w:val="-2"/>
                <w:kern w:val="0"/>
                <w:sz w:val="28"/>
                <w:szCs w:val="28"/>
                <w:lang w:val="en-US" w:eastAsia="en-US" w:bidi="ar-SA"/>
              </w:rPr>
            </w:pPr>
          </w:p>
        </w:tc>
        <w:tc>
          <w:tcPr>
            <w:tcW w:w="1069" w:type="dxa"/>
            <w:vAlign w:val="center"/>
          </w:tcPr>
          <w:p w14:paraId="609C9A87">
            <w:pPr>
              <w:jc w:val="center"/>
              <w:rPr>
                <w:rFonts w:hint="eastAsia" w:ascii="方正仿宋_GBK" w:hAnsi="方正仿宋_GBK" w:eastAsia="方正仿宋_GBK" w:cs="方正仿宋_GBK"/>
                <w:color w:val="auto"/>
                <w:sz w:val="28"/>
                <w:szCs w:val="28"/>
                <w:lang w:val="en-US" w:eastAsia="zh-CN"/>
              </w:rPr>
            </w:pPr>
          </w:p>
        </w:tc>
        <w:tc>
          <w:tcPr>
            <w:tcW w:w="1237" w:type="dxa"/>
            <w:vAlign w:val="center"/>
          </w:tcPr>
          <w:p w14:paraId="532F8EF8">
            <w:pPr>
              <w:jc w:val="center"/>
              <w:rPr>
                <w:rFonts w:hint="eastAsia" w:ascii="方正仿宋_GBK" w:hAnsi="方正仿宋_GBK" w:eastAsia="方正仿宋_GBK" w:cs="方正仿宋_GBK"/>
                <w:color w:val="auto"/>
                <w:sz w:val="28"/>
                <w:szCs w:val="28"/>
                <w:lang w:val="en-US" w:eastAsia="zh-CN"/>
              </w:rPr>
            </w:pPr>
          </w:p>
        </w:tc>
        <w:tc>
          <w:tcPr>
            <w:tcW w:w="1223" w:type="dxa"/>
            <w:vAlign w:val="center"/>
          </w:tcPr>
          <w:p w14:paraId="28BEB173">
            <w:pPr>
              <w:jc w:val="center"/>
              <w:rPr>
                <w:rFonts w:hint="eastAsia" w:ascii="方正仿宋_GBK" w:hAnsi="方正仿宋_GBK" w:eastAsia="方正仿宋_GBK" w:cs="方正仿宋_GBK"/>
                <w:color w:val="auto"/>
                <w:sz w:val="28"/>
                <w:szCs w:val="28"/>
                <w:lang w:val="en-US" w:eastAsia="zh-CN"/>
              </w:rPr>
            </w:pPr>
          </w:p>
        </w:tc>
        <w:tc>
          <w:tcPr>
            <w:tcW w:w="1228" w:type="dxa"/>
            <w:vAlign w:val="center"/>
          </w:tcPr>
          <w:p w14:paraId="6D19E553">
            <w:pPr>
              <w:jc w:val="center"/>
              <w:rPr>
                <w:rFonts w:hint="eastAsia" w:ascii="方正仿宋_GBK" w:hAnsi="方正仿宋_GBK" w:eastAsia="方正仿宋_GBK" w:cs="方正仿宋_GBK"/>
                <w:color w:val="auto"/>
                <w:sz w:val="28"/>
                <w:szCs w:val="28"/>
                <w:lang w:val="en-US" w:eastAsia="zh-CN"/>
              </w:rPr>
            </w:pPr>
          </w:p>
        </w:tc>
      </w:tr>
      <w:tr w14:paraId="39B956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5" w:hRule="atLeast"/>
        </w:trPr>
        <w:tc>
          <w:tcPr>
            <w:tcW w:w="510" w:type="dxa"/>
            <w:vAlign w:val="center"/>
          </w:tcPr>
          <w:p w14:paraId="4DAA5E77">
            <w:pPr>
              <w:numPr>
                <w:ilvl w:val="0"/>
                <w:numId w:val="0"/>
              </w:numPr>
              <w:ind w:leftChars="0"/>
              <w:jc w:val="center"/>
              <w:rPr>
                <w:rFonts w:hint="eastAsia" w:ascii="方正仿宋_GBK" w:hAnsi="方正仿宋_GBK" w:eastAsia="方正仿宋_GBK" w:cs="方正仿宋_GBK"/>
                <w:color w:val="auto"/>
                <w:sz w:val="28"/>
                <w:szCs w:val="28"/>
                <w:lang w:val="en-US" w:eastAsia="zh-CN"/>
              </w:rPr>
            </w:pPr>
          </w:p>
        </w:tc>
        <w:tc>
          <w:tcPr>
            <w:tcW w:w="961" w:type="dxa"/>
            <w:shd w:val="clear" w:color="auto" w:fill="auto"/>
            <w:vAlign w:val="center"/>
          </w:tcPr>
          <w:p w14:paraId="705E3FA6">
            <w:pPr>
              <w:keepNext w:val="0"/>
              <w:keepLines w:val="0"/>
              <w:widowControl/>
              <w:suppressLineNumbers w:val="0"/>
              <w:jc w:val="center"/>
              <w:textAlignment w:val="center"/>
              <w:rPr>
                <w:rFonts w:hint="eastAsia" w:ascii="方正仿宋_GBK" w:hAnsi="方正仿宋_GBK" w:eastAsia="方正仿宋_GBK" w:cs="方正仿宋_GBK"/>
                <w:snapToGrid w:val="0"/>
                <w:color w:val="auto"/>
                <w:spacing w:val="-5"/>
                <w:kern w:val="0"/>
                <w:sz w:val="28"/>
                <w:szCs w:val="28"/>
                <w:lang w:val="en-US" w:eastAsia="en-US" w:bidi="ar-SA"/>
              </w:rPr>
            </w:pPr>
          </w:p>
        </w:tc>
        <w:tc>
          <w:tcPr>
            <w:tcW w:w="1285" w:type="dxa"/>
            <w:vAlign w:val="center"/>
          </w:tcPr>
          <w:p w14:paraId="76B2331F">
            <w:pPr>
              <w:jc w:val="center"/>
              <w:rPr>
                <w:rFonts w:hint="eastAsia" w:ascii="方正仿宋_GBK" w:hAnsi="方正仿宋_GBK" w:eastAsia="方正仿宋_GBK" w:cs="方正仿宋_GBK"/>
                <w:color w:val="auto"/>
                <w:sz w:val="28"/>
                <w:szCs w:val="28"/>
                <w:lang w:val="en-US" w:eastAsia="zh-CN"/>
              </w:rPr>
            </w:pPr>
          </w:p>
        </w:tc>
        <w:tc>
          <w:tcPr>
            <w:tcW w:w="1394" w:type="dxa"/>
            <w:vAlign w:val="center"/>
          </w:tcPr>
          <w:p w14:paraId="56F5FDDA">
            <w:pPr>
              <w:jc w:val="center"/>
              <w:rPr>
                <w:rFonts w:hint="eastAsia" w:ascii="方正仿宋_GBK" w:hAnsi="方正仿宋_GBK" w:eastAsia="方正仿宋_GBK" w:cs="方正仿宋_GBK"/>
                <w:snapToGrid w:val="0"/>
                <w:color w:val="auto"/>
                <w:spacing w:val="-2"/>
                <w:kern w:val="0"/>
                <w:sz w:val="28"/>
                <w:szCs w:val="28"/>
                <w:lang w:val="en-US" w:eastAsia="en-US" w:bidi="ar-SA"/>
              </w:rPr>
            </w:pPr>
          </w:p>
        </w:tc>
        <w:tc>
          <w:tcPr>
            <w:tcW w:w="1069" w:type="dxa"/>
            <w:vAlign w:val="center"/>
          </w:tcPr>
          <w:p w14:paraId="052C6083">
            <w:pPr>
              <w:jc w:val="center"/>
              <w:rPr>
                <w:rFonts w:hint="eastAsia" w:ascii="方正仿宋_GBK" w:hAnsi="方正仿宋_GBK" w:eastAsia="方正仿宋_GBK" w:cs="方正仿宋_GBK"/>
                <w:color w:val="auto"/>
                <w:sz w:val="28"/>
                <w:szCs w:val="28"/>
                <w:lang w:val="en-US" w:eastAsia="zh-CN"/>
              </w:rPr>
            </w:pPr>
          </w:p>
        </w:tc>
        <w:tc>
          <w:tcPr>
            <w:tcW w:w="1237" w:type="dxa"/>
            <w:vAlign w:val="center"/>
          </w:tcPr>
          <w:p w14:paraId="2776B386">
            <w:pPr>
              <w:jc w:val="center"/>
              <w:rPr>
                <w:rFonts w:hint="eastAsia" w:ascii="方正仿宋_GBK" w:hAnsi="方正仿宋_GBK" w:eastAsia="方正仿宋_GBK" w:cs="方正仿宋_GBK"/>
                <w:color w:val="auto"/>
                <w:sz w:val="28"/>
                <w:szCs w:val="28"/>
                <w:lang w:val="en-US" w:eastAsia="zh-CN"/>
              </w:rPr>
            </w:pPr>
          </w:p>
        </w:tc>
        <w:tc>
          <w:tcPr>
            <w:tcW w:w="1223" w:type="dxa"/>
            <w:vAlign w:val="center"/>
          </w:tcPr>
          <w:p w14:paraId="21926BA0">
            <w:pPr>
              <w:jc w:val="center"/>
              <w:rPr>
                <w:rFonts w:hint="eastAsia" w:ascii="方正仿宋_GBK" w:hAnsi="方正仿宋_GBK" w:eastAsia="方正仿宋_GBK" w:cs="方正仿宋_GBK"/>
                <w:color w:val="auto"/>
                <w:sz w:val="28"/>
                <w:szCs w:val="28"/>
                <w:lang w:val="en-US" w:eastAsia="zh-CN"/>
              </w:rPr>
            </w:pPr>
          </w:p>
        </w:tc>
        <w:tc>
          <w:tcPr>
            <w:tcW w:w="1228" w:type="dxa"/>
            <w:vAlign w:val="center"/>
          </w:tcPr>
          <w:p w14:paraId="2BE214B1">
            <w:pPr>
              <w:jc w:val="center"/>
              <w:rPr>
                <w:rFonts w:hint="eastAsia" w:ascii="方正仿宋_GBK" w:hAnsi="方正仿宋_GBK" w:eastAsia="方正仿宋_GBK" w:cs="方正仿宋_GBK"/>
                <w:color w:val="auto"/>
                <w:sz w:val="28"/>
                <w:szCs w:val="28"/>
                <w:lang w:val="en-US" w:eastAsia="zh-CN"/>
              </w:rPr>
            </w:pPr>
          </w:p>
        </w:tc>
      </w:tr>
      <w:tr w14:paraId="1C3265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 w:hRule="atLeast"/>
        </w:trPr>
        <w:tc>
          <w:tcPr>
            <w:tcW w:w="6456" w:type="dxa"/>
            <w:gridSpan w:val="6"/>
            <w:vAlign w:val="center"/>
          </w:tcPr>
          <w:p w14:paraId="0AA48A29">
            <w:pPr>
              <w:pStyle w:val="7"/>
              <w:spacing w:before="240" w:line="221" w:lineRule="auto"/>
              <w:ind w:left="121"/>
              <w:jc w:val="center"/>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pacing w:val="1"/>
                <w:sz w:val="28"/>
                <w:szCs w:val="28"/>
              </w:rPr>
              <w:t>服务标准：符合国家标准。</w:t>
            </w:r>
          </w:p>
        </w:tc>
        <w:tc>
          <w:tcPr>
            <w:tcW w:w="1223" w:type="dxa"/>
            <w:vAlign w:val="center"/>
          </w:tcPr>
          <w:p w14:paraId="29DB5187">
            <w:pPr>
              <w:jc w:val="center"/>
              <w:rPr>
                <w:rFonts w:hint="eastAsia"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color w:val="auto"/>
                <w:sz w:val="28"/>
                <w:szCs w:val="28"/>
                <w:lang w:val="en-US" w:eastAsia="zh-CN"/>
              </w:rPr>
              <w:t>/</w:t>
            </w:r>
          </w:p>
        </w:tc>
        <w:tc>
          <w:tcPr>
            <w:tcW w:w="1228" w:type="dxa"/>
            <w:vAlign w:val="center"/>
          </w:tcPr>
          <w:p w14:paraId="50EDB24D">
            <w:pPr>
              <w:jc w:val="center"/>
              <w:rPr>
                <w:rFonts w:hint="eastAsia"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color w:val="auto"/>
                <w:sz w:val="28"/>
                <w:szCs w:val="28"/>
                <w:lang w:val="en-US" w:eastAsia="zh-CN"/>
              </w:rPr>
              <w:t>/</w:t>
            </w:r>
          </w:p>
        </w:tc>
      </w:tr>
    </w:tbl>
    <w:p w14:paraId="5F06BDB6">
      <w:pPr>
        <w:rPr>
          <w:color w:val="auto"/>
        </w:rPr>
      </w:pPr>
    </w:p>
    <w:p w14:paraId="6D89002B">
      <w:pPr>
        <w:rPr>
          <w:color w:val="auto"/>
        </w:rPr>
      </w:pPr>
    </w:p>
    <w:p w14:paraId="51AD464E">
      <w:pPr>
        <w:rPr>
          <w:color w:val="auto"/>
        </w:rPr>
      </w:pPr>
    </w:p>
    <w:p w14:paraId="574E52E1">
      <w:pPr>
        <w:rPr>
          <w:color w:val="auto"/>
        </w:rPr>
      </w:pPr>
    </w:p>
    <w:p w14:paraId="36AA3663">
      <w:pPr>
        <w:rPr>
          <w:color w:val="auto"/>
        </w:rPr>
      </w:pPr>
    </w:p>
    <w:p w14:paraId="7419A1A1">
      <w:pPr>
        <w:rPr>
          <w:color w:val="auto"/>
        </w:rPr>
      </w:pPr>
    </w:p>
    <w:p w14:paraId="0718914A">
      <w:pPr>
        <w:rPr>
          <w:color w:val="auto"/>
        </w:rPr>
      </w:pPr>
    </w:p>
    <w:p w14:paraId="7AC33CB2">
      <w:pPr>
        <w:rPr>
          <w:color w:val="auto"/>
        </w:rPr>
      </w:pPr>
    </w:p>
    <w:p w14:paraId="02CDCA88">
      <w:pPr>
        <w:rPr>
          <w:color w:val="auto"/>
        </w:rPr>
      </w:pPr>
    </w:p>
    <w:p w14:paraId="77D753A9">
      <w:pPr>
        <w:rPr>
          <w:color w:val="auto"/>
        </w:rPr>
      </w:pPr>
    </w:p>
    <w:p w14:paraId="542C9610">
      <w:pPr>
        <w:rPr>
          <w:color w:val="auto"/>
        </w:rPr>
      </w:pPr>
    </w:p>
    <w:p w14:paraId="4A54C7A9">
      <w:pPr>
        <w:rPr>
          <w:color w:val="auto"/>
        </w:rPr>
      </w:pPr>
    </w:p>
    <w:p w14:paraId="4DF26528">
      <w:pPr>
        <w:rPr>
          <w:color w:val="auto"/>
        </w:rPr>
      </w:pPr>
    </w:p>
    <w:p w14:paraId="2CEFBC74">
      <w:pPr>
        <w:rPr>
          <w:color w:val="auto"/>
        </w:rPr>
      </w:pPr>
    </w:p>
    <w:p w14:paraId="6A409507">
      <w:pPr>
        <w:rPr>
          <w:color w:val="auto"/>
        </w:rPr>
      </w:pPr>
    </w:p>
    <w:p w14:paraId="431BD9B4">
      <w:pPr>
        <w:rPr>
          <w:color w:val="auto"/>
        </w:rPr>
      </w:pPr>
    </w:p>
    <w:p w14:paraId="552AAD6F">
      <w:pPr>
        <w:rPr>
          <w:color w:val="auto"/>
        </w:rPr>
      </w:pPr>
    </w:p>
    <w:p w14:paraId="33F548B4">
      <w:pPr>
        <w:rPr>
          <w:color w:val="auto"/>
        </w:rPr>
      </w:pPr>
    </w:p>
    <w:p w14:paraId="5A1FC2B2">
      <w:pPr>
        <w:rPr>
          <w:color w:val="auto"/>
        </w:rPr>
      </w:pPr>
    </w:p>
    <w:p w14:paraId="4DA9F748">
      <w:pPr>
        <w:rPr>
          <w:color w:val="auto"/>
        </w:rPr>
      </w:pPr>
    </w:p>
    <w:p w14:paraId="357A2E5A">
      <w:pPr>
        <w:rPr>
          <w:color w:val="auto"/>
        </w:rPr>
      </w:pPr>
    </w:p>
    <w:p w14:paraId="03489645">
      <w:pPr>
        <w:rPr>
          <w:color w:val="auto"/>
        </w:rPr>
      </w:pPr>
    </w:p>
    <w:p w14:paraId="02E8FCA9">
      <w:pPr>
        <w:spacing w:before="91" w:line="225" w:lineRule="auto"/>
        <w:ind w:left="25"/>
        <w:rPr>
          <w:rFonts w:ascii="黑体" w:hAnsi="黑体" w:eastAsia="黑体" w:cs="黑体"/>
          <w:color w:val="auto"/>
          <w:sz w:val="28"/>
          <w:szCs w:val="28"/>
        </w:rPr>
      </w:pPr>
      <w:r>
        <w:rPr>
          <w:rFonts w:ascii="黑体" w:hAnsi="黑体" w:eastAsia="黑体" w:cs="黑体"/>
          <w:color w:val="auto"/>
          <w:spacing w:val="-9"/>
          <w:sz w:val="28"/>
          <w:szCs w:val="28"/>
        </w:rPr>
        <w:t>附件</w:t>
      </w:r>
      <w:r>
        <w:rPr>
          <w:rFonts w:ascii="黑体" w:hAnsi="黑体" w:eastAsia="黑体" w:cs="黑体"/>
          <w:color w:val="auto"/>
          <w:spacing w:val="-53"/>
          <w:sz w:val="28"/>
          <w:szCs w:val="28"/>
        </w:rPr>
        <w:t xml:space="preserve"> </w:t>
      </w:r>
      <w:r>
        <w:rPr>
          <w:rFonts w:ascii="黑体" w:hAnsi="黑体" w:eastAsia="黑体" w:cs="黑体"/>
          <w:color w:val="auto"/>
          <w:spacing w:val="-9"/>
          <w:sz w:val="28"/>
          <w:szCs w:val="28"/>
        </w:rPr>
        <w:t>3：</w:t>
      </w:r>
    </w:p>
    <w:p w14:paraId="13C03A0D">
      <w:pPr>
        <w:spacing w:line="350" w:lineRule="auto"/>
        <w:rPr>
          <w:rFonts w:ascii="Arial"/>
          <w:color w:val="auto"/>
          <w:sz w:val="21"/>
        </w:rPr>
      </w:pPr>
    </w:p>
    <w:p w14:paraId="5476A5AE">
      <w:pPr>
        <w:spacing w:line="351" w:lineRule="auto"/>
        <w:rPr>
          <w:rFonts w:ascii="Arial"/>
          <w:color w:val="auto"/>
          <w:sz w:val="21"/>
        </w:rPr>
      </w:pPr>
    </w:p>
    <w:p w14:paraId="3CE73D2C">
      <w:pPr>
        <w:spacing w:before="101" w:line="227" w:lineRule="auto"/>
        <w:ind w:left="2142"/>
        <w:rPr>
          <w:rFonts w:hint="eastAsia" w:ascii="方正黑体_GBK" w:hAnsi="方正黑体_GBK" w:eastAsia="方正黑体_GBK" w:cs="方正黑体_GBK"/>
          <w:color w:val="auto"/>
          <w:sz w:val="32"/>
          <w:szCs w:val="32"/>
        </w:rPr>
      </w:pPr>
      <w:r>
        <w:rPr>
          <w:rFonts w:hint="eastAsia" w:ascii="方正黑体_GBK" w:hAnsi="方正黑体_GBK" w:eastAsia="方正黑体_GBK" w:cs="方正黑体_GBK"/>
          <w:b/>
          <w:bCs/>
          <w:color w:val="auto"/>
          <w:spacing w:val="8"/>
          <w:sz w:val="32"/>
          <w:szCs w:val="32"/>
        </w:rPr>
        <w:t>陕西省消防救援总队装备采购项目</w:t>
      </w:r>
    </w:p>
    <w:p w14:paraId="7B46B50D">
      <w:pPr>
        <w:spacing w:before="218" w:line="226" w:lineRule="auto"/>
        <w:ind w:left="3583"/>
        <w:rPr>
          <w:rFonts w:ascii="仿宋" w:hAnsi="仿宋" w:eastAsia="仿宋" w:cs="仿宋"/>
          <w:color w:val="auto"/>
          <w:sz w:val="32"/>
          <w:szCs w:val="32"/>
        </w:rPr>
      </w:pPr>
      <w:r>
        <w:rPr>
          <w:rFonts w:hint="eastAsia" w:ascii="方正黑体_GBK" w:hAnsi="方正黑体_GBK" w:eastAsia="方正黑体_GBK" w:cs="方正黑体_GBK"/>
          <w:b/>
          <w:bCs/>
          <w:color w:val="auto"/>
          <w:spacing w:val="6"/>
          <w:sz w:val="32"/>
          <w:szCs w:val="32"/>
        </w:rPr>
        <w:t>验收工作须知</w:t>
      </w:r>
    </w:p>
    <w:p w14:paraId="4A53569A">
      <w:pPr>
        <w:spacing w:line="337" w:lineRule="auto"/>
        <w:rPr>
          <w:rFonts w:ascii="Arial"/>
          <w:color w:val="auto"/>
          <w:sz w:val="21"/>
        </w:rPr>
      </w:pPr>
    </w:p>
    <w:p w14:paraId="252ABC2D">
      <w:pPr>
        <w:spacing w:line="338" w:lineRule="auto"/>
        <w:rPr>
          <w:rFonts w:ascii="Arial"/>
          <w:color w:val="auto"/>
          <w:sz w:val="21"/>
        </w:rPr>
      </w:pPr>
    </w:p>
    <w:p w14:paraId="4C4F4F45">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pacing w:val="3"/>
          <w:sz w:val="28"/>
          <w:szCs w:val="28"/>
        </w:rPr>
        <w:t>装备验收是指依据国家或行业相关标准以及根据投标文件、采购</w:t>
      </w:r>
      <w:r>
        <w:rPr>
          <w:rFonts w:hint="eastAsia" w:ascii="方正仿宋_GBK" w:hAnsi="方正仿宋_GBK" w:eastAsia="方正仿宋_GBK" w:cs="方正仿宋_GBK"/>
          <w:color w:val="auto"/>
          <w:spacing w:val="2"/>
          <w:sz w:val="28"/>
          <w:szCs w:val="28"/>
        </w:rPr>
        <w:t>合同</w:t>
      </w:r>
      <w:r>
        <w:rPr>
          <w:rFonts w:hint="eastAsia" w:ascii="方正仿宋_GBK" w:hAnsi="方正仿宋_GBK" w:eastAsia="方正仿宋_GBK" w:cs="方正仿宋_GBK"/>
          <w:color w:val="auto"/>
          <w:spacing w:val="3"/>
          <w:sz w:val="28"/>
          <w:szCs w:val="28"/>
        </w:rPr>
        <w:t>等进行的装备数量、规格型号、检测报告或产品认证、质量性能的跟踪检查行为，是检验装备合格与否的必要过程，是装备列装消防救援队伍的最</w:t>
      </w:r>
      <w:r>
        <w:rPr>
          <w:rFonts w:hint="eastAsia" w:ascii="方正仿宋_GBK" w:hAnsi="方正仿宋_GBK" w:eastAsia="方正仿宋_GBK" w:cs="方正仿宋_GBK"/>
          <w:color w:val="auto"/>
          <w:sz w:val="28"/>
          <w:szCs w:val="28"/>
        </w:rPr>
        <w:t>终关</w:t>
      </w:r>
      <w:r>
        <w:rPr>
          <w:rFonts w:hint="eastAsia" w:ascii="方正仿宋_GBK" w:hAnsi="方正仿宋_GBK" w:eastAsia="方正仿宋_GBK" w:cs="方正仿宋_GBK"/>
          <w:color w:val="auto"/>
          <w:spacing w:val="-67"/>
          <w:sz w:val="28"/>
          <w:szCs w:val="28"/>
        </w:rPr>
        <w:t xml:space="preserve"> </w:t>
      </w:r>
      <w:r>
        <w:rPr>
          <w:rFonts w:hint="eastAsia" w:ascii="方正仿宋_GBK" w:hAnsi="方正仿宋_GBK" w:eastAsia="方正仿宋_GBK" w:cs="方正仿宋_GBK"/>
          <w:color w:val="auto"/>
          <w:sz w:val="28"/>
          <w:szCs w:val="28"/>
        </w:rPr>
        <w:t>口。装备验收坚持“科学客观、公平公正、公</w:t>
      </w:r>
      <w:r>
        <w:rPr>
          <w:rFonts w:hint="eastAsia" w:ascii="方正仿宋_GBK" w:hAnsi="方正仿宋_GBK" w:eastAsia="方正仿宋_GBK" w:cs="方正仿宋_GBK"/>
          <w:color w:val="auto"/>
          <w:spacing w:val="-1"/>
          <w:sz w:val="28"/>
          <w:szCs w:val="28"/>
        </w:rPr>
        <w:t>开透明</w:t>
      </w:r>
      <w:r>
        <w:rPr>
          <w:rFonts w:hint="eastAsia" w:ascii="方正仿宋_GBK" w:hAnsi="方正仿宋_GBK" w:eastAsia="方正仿宋_GBK" w:cs="方正仿宋_GBK"/>
          <w:color w:val="auto"/>
          <w:spacing w:val="-100"/>
          <w:sz w:val="28"/>
          <w:szCs w:val="28"/>
        </w:rPr>
        <w:t xml:space="preserve"> </w:t>
      </w:r>
      <w:r>
        <w:rPr>
          <w:rFonts w:hint="eastAsia" w:ascii="方正仿宋_GBK" w:hAnsi="方正仿宋_GBK" w:eastAsia="方正仿宋_GBK" w:cs="方正仿宋_GBK"/>
          <w:color w:val="auto"/>
          <w:spacing w:val="-1"/>
          <w:sz w:val="28"/>
          <w:szCs w:val="28"/>
        </w:rPr>
        <w:t>”的原则。以下</w:t>
      </w:r>
      <w:r>
        <w:rPr>
          <w:rFonts w:hint="eastAsia" w:ascii="方正仿宋_GBK" w:hAnsi="方正仿宋_GBK" w:eastAsia="方正仿宋_GBK" w:cs="方正仿宋_GBK"/>
          <w:color w:val="auto"/>
          <w:sz w:val="28"/>
          <w:szCs w:val="28"/>
        </w:rPr>
        <w:t>为具体须知内容：</w:t>
      </w:r>
    </w:p>
    <w:p w14:paraId="07BD8474">
      <w:pPr>
        <w:keepNext w:val="0"/>
        <w:keepLines w:val="0"/>
        <w:pageBreakBefore w:val="0"/>
        <w:widowControl/>
        <w:kinsoku w:val="0"/>
        <w:wordWrap/>
        <w:overflowPunct/>
        <w:topLinePunct w:val="0"/>
        <w:autoSpaceDE w:val="0"/>
        <w:autoSpaceDN w:val="0"/>
        <w:bidi w:val="0"/>
        <w:adjustRightInd/>
        <w:snapToGrid/>
        <w:spacing w:line="360" w:lineRule="auto"/>
        <w:ind w:left="0" w:right="0" w:firstLine="566" w:firstLineChars="200"/>
        <w:textAlignment w:val="baseline"/>
        <w:rPr>
          <w:rFonts w:hint="eastAsia" w:ascii="方正仿宋_GBK" w:hAnsi="方正仿宋_GBK" w:eastAsia="方正仿宋_GBK" w:cs="方正仿宋_GBK"/>
          <w:b/>
          <w:bCs/>
          <w:color w:val="auto"/>
          <w:sz w:val="28"/>
          <w:szCs w:val="28"/>
        </w:rPr>
      </w:pPr>
      <w:r>
        <w:rPr>
          <w:rFonts w:hint="eastAsia" w:ascii="方正仿宋_GBK" w:hAnsi="方正仿宋_GBK" w:eastAsia="方正仿宋_GBK" w:cs="方正仿宋_GBK"/>
          <w:b/>
          <w:bCs/>
          <w:color w:val="auto"/>
          <w:spacing w:val="1"/>
          <w:sz w:val="28"/>
          <w:szCs w:val="28"/>
        </w:rPr>
        <w:t>一、装备验收标准</w:t>
      </w:r>
    </w:p>
    <w:p w14:paraId="49B8CD6C">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装备验收包括一致性验收和质量性能验收。</w:t>
      </w:r>
    </w:p>
    <w:p w14:paraId="205F3AFF">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（一）装备一致性验收应符合以下标准：</w:t>
      </w:r>
    </w:p>
    <w:p w14:paraId="29584524">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1.同国家、行业标准等相关市场准入要求一致；</w:t>
      </w:r>
    </w:p>
    <w:p w14:paraId="16B2C704">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2.同投标文件、评标时提供样品一致；</w:t>
      </w:r>
    </w:p>
    <w:p w14:paraId="0C824933">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3.供应商履约情况与合同约定一致。</w:t>
      </w:r>
    </w:p>
    <w:p w14:paraId="6EF6DBC5">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（二）装备质量性能验收应符合以下标准：</w:t>
      </w:r>
    </w:p>
    <w:p w14:paraId="6DC3731D">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1.符合国家标准和行业标准质量要求；</w:t>
      </w:r>
    </w:p>
    <w:p w14:paraId="40C07F98">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2.具备供应商投标文件所描述的性能参数；</w:t>
      </w:r>
    </w:p>
    <w:p w14:paraId="36E6FCDC">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3.提供的检测报告、规格说明书（中文）与投标文件和实物相符；</w:t>
      </w:r>
    </w:p>
    <w:p w14:paraId="0831202B">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4.相关组成部件齐全，无明显缺陷，装配符合要求；</w:t>
      </w:r>
    </w:p>
    <w:p w14:paraId="5D729E86">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5.安装调试后装备运行正常、操作性能稳定、性能指标达标。</w:t>
      </w:r>
    </w:p>
    <w:p w14:paraId="12F21FDF">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受验装备不符合装备验收一致性和质量性能任意一条标准的均判定为验收“不合格”。</w:t>
      </w:r>
    </w:p>
    <w:p w14:paraId="1C28B141">
      <w:pPr>
        <w:keepNext w:val="0"/>
        <w:keepLines w:val="0"/>
        <w:pageBreakBefore w:val="0"/>
        <w:widowControl/>
        <w:kinsoku w:val="0"/>
        <w:wordWrap/>
        <w:overflowPunct/>
        <w:topLinePunct w:val="0"/>
        <w:autoSpaceDE w:val="0"/>
        <w:autoSpaceDN w:val="0"/>
        <w:bidi w:val="0"/>
        <w:adjustRightInd/>
        <w:snapToGrid/>
        <w:spacing w:line="360" w:lineRule="auto"/>
        <w:ind w:left="0" w:right="0" w:firstLine="566" w:firstLineChars="200"/>
        <w:textAlignment w:val="baseline"/>
        <w:rPr>
          <w:rFonts w:hint="eastAsia" w:ascii="方正仿宋_GBK" w:hAnsi="方正仿宋_GBK" w:eastAsia="方正仿宋_GBK" w:cs="方正仿宋_GBK"/>
          <w:b/>
          <w:bCs/>
          <w:color w:val="auto"/>
          <w:spacing w:val="1"/>
          <w:sz w:val="28"/>
          <w:szCs w:val="28"/>
        </w:rPr>
      </w:pPr>
      <w:r>
        <w:rPr>
          <w:rFonts w:hint="eastAsia" w:ascii="方正仿宋_GBK" w:hAnsi="方正仿宋_GBK" w:eastAsia="方正仿宋_GBK" w:cs="方正仿宋_GBK"/>
          <w:b/>
          <w:bCs/>
          <w:color w:val="auto"/>
          <w:spacing w:val="1"/>
          <w:sz w:val="28"/>
          <w:szCs w:val="28"/>
        </w:rPr>
        <w:t>二、装备验收内容</w:t>
      </w:r>
    </w:p>
    <w:p w14:paraId="7548E60C">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（一）消防车辆验收采取“逐车逐验”的方式进行，每辆车对一份《新 购消防车辆验收报告》，具体核查下列资料：</w:t>
      </w:r>
    </w:p>
    <w:p w14:paraId="29927AFE">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1.招标文件要求提供的国家认可的自愿性认证证书、检测报告及其复印件；</w:t>
      </w:r>
    </w:p>
    <w:p w14:paraId="3CE4AE35">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2.工信部公告复印件，底盘生产合格证、整车出厂检验合格证及其复印件；</w:t>
      </w:r>
    </w:p>
    <w:p w14:paraId="2815C1DF">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3.进口车辆或部件报关单；</w:t>
      </w:r>
    </w:p>
    <w:p w14:paraId="0CAD7F2C">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4.底盘驾驶员操作手册、上装操作手册及视频资料；</w:t>
      </w:r>
    </w:p>
    <w:p w14:paraId="0945015C">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华文仿宋" w:hAnsi="华文仿宋" w:eastAsia="华文仿宋" w:cs="华文仿宋"/>
          <w:color w:val="auto"/>
          <w:sz w:val="28"/>
          <w:szCs w:val="28"/>
        </w:rPr>
      </w:pPr>
      <w:r>
        <w:rPr>
          <w:rFonts w:hint="eastAsia" w:ascii="方正仿宋_GBK" w:hAnsi="方正仿宋_GBK" w:eastAsia="方正仿宋_GBK" w:cs="方正仿宋_GBK"/>
          <w:color w:val="auto"/>
          <w:spacing w:val="3"/>
          <w:sz w:val="28"/>
          <w:szCs w:val="28"/>
        </w:rPr>
        <w:t>5.底盘维修手册、保养保修手册和零件目录图册；</w:t>
      </w:r>
    </w:p>
    <w:p w14:paraId="70B05071">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6.上装维修手册、保养保修手册及云梯、水泵结构图，水（管）路、液压、电路配线系统图；</w:t>
      </w:r>
    </w:p>
    <w:p w14:paraId="131F19CF">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7.附属外购设备和随车器材的合格证、使用说明书、保养维修手册；</w:t>
      </w:r>
    </w:p>
    <w:p w14:paraId="7EF51180">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8.发动机、车辆识别码拓印件（两份），45度角车辆照片，购车发票（一式四联）；</w:t>
      </w:r>
    </w:p>
    <w:p w14:paraId="121A1535">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9.泵浦类消防车应出具水力性能测试报告；</w:t>
      </w:r>
    </w:p>
    <w:p w14:paraId="075F923F">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10.到货验收清单；</w:t>
      </w:r>
    </w:p>
    <w:p w14:paraId="4E78D649">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11.其他应当提供的资料。</w:t>
      </w:r>
    </w:p>
    <w:p w14:paraId="20708D6C">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（二）消防车辆一致性与质量性能验收内容包括：</w:t>
      </w:r>
    </w:p>
    <w:p w14:paraId="134BB29E">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1.一致性验收</w:t>
      </w:r>
    </w:p>
    <w:p w14:paraId="527D8C33">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（1）车辆资料是否符合国家和行业标准；</w:t>
      </w:r>
    </w:p>
    <w:p w14:paraId="1B65C26F">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（2）产品型号、规格是否与铭牌、检验报告一致；</w:t>
      </w:r>
    </w:p>
    <w:p w14:paraId="700F3195">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（3）车辆的各功能部件（包括：水、电、气、液压等相关系统以及其他附属设备的品牌、型号、数量等）是否满足投标文件内容。</w:t>
      </w:r>
    </w:p>
    <w:p w14:paraId="1A3DFE9F">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2.质量性能验收</w:t>
      </w:r>
    </w:p>
    <w:p w14:paraId="271B799E">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1）外观检查：包括油漆颜色及光亮度，外表平整度，车门及卷帘门密封情况，车上各主要部件铭牌标牌、警示标识和重要设备操作流程图以及是否满足《消防救援局关于做好消防救援车辆外观制式涂装工作的通知》要求。</w:t>
      </w:r>
    </w:p>
    <w:p w14:paraId="09671084">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2）部件运行情况检查：包括底盘、泵、炮、取力器、臂架、压缩空气泡沫系统、起吊设备、牵引设备等主要部件，固定升降照明灯、固定排烟设备、警灯、警报、车灯、空调、照明、发电机、消防梯等附属设备，随车器材的性能，车门、卷帘门、器材箱、翻板、踏板及其他部件是否与投标文件一致，运行、使用情况是否良好。</w:t>
      </w:r>
    </w:p>
    <w:p w14:paraId="60218831">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（3）整车性能验收：包括车辆运转、行驶性能，车辆车灯、空调、照 明等电气电路系统，车辆取力器开闭及其他性能。</w:t>
      </w:r>
    </w:p>
    <w:p w14:paraId="3D4F2D5A">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华文仿宋" w:hAnsi="华文仿宋" w:eastAsia="华文仿宋" w:cs="华文仿宋"/>
          <w:color w:val="auto"/>
          <w:sz w:val="28"/>
          <w:szCs w:val="28"/>
        </w:rPr>
      </w:pPr>
      <w:r>
        <w:rPr>
          <w:rFonts w:hint="eastAsia" w:ascii="方正仿宋_GBK" w:hAnsi="方正仿宋_GBK" w:eastAsia="方正仿宋_GBK" w:cs="方正仿宋_GBK"/>
          <w:color w:val="auto"/>
          <w:spacing w:val="3"/>
          <w:sz w:val="28"/>
          <w:szCs w:val="28"/>
        </w:rPr>
        <w:t>（4）消防性能验收：包括消防泵吸水、出水、高层供液性能、消防炮射水性能，压缩空气泡沫系统、固定升降照明灯、固定排烟设备、起吊设备、牵引绞盘、液压系统等设备性能，随车器材性能，举高车上下车互锁、超载报警、应急回收、臂架和工作斗避碰、臂架运行平稳性、液压锁、安全操作标识等安全防护系统，其他性能。</w:t>
      </w:r>
    </w:p>
    <w:p w14:paraId="1A3508D6">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（三）除车辆以外单价在100万元以上的装备器材采取“逐装逐验”方式进行，每件装备器材对应一份《新购消防器材验收报告》，其余装备器材采取抽验方式进行，核查下列资料：</w:t>
      </w:r>
    </w:p>
    <w:p w14:paraId="08638AFB">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1.招标文件要求提供的相应的认证证书及其复印件；</w:t>
      </w:r>
    </w:p>
    <w:p w14:paraId="15BCEF5F">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2.生产合格证、检验报告及其复印件；</w:t>
      </w:r>
    </w:p>
    <w:p w14:paraId="1E2E2C15">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3.进口装备器材报关单；</w:t>
      </w:r>
    </w:p>
    <w:p w14:paraId="4675450D">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4.操作手册及视频资料；</w:t>
      </w:r>
    </w:p>
    <w:p w14:paraId="737DE746">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5.装备器材的使用中文说明书、保养维修手册；</w:t>
      </w:r>
    </w:p>
    <w:p w14:paraId="7D50356A">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6.双方签字版到货清单；</w:t>
      </w:r>
    </w:p>
    <w:p w14:paraId="6643A083">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7.其他应当提供的资料。</w:t>
      </w:r>
    </w:p>
    <w:p w14:paraId="7461BEFA">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（四）除车辆以外的装备器材的一致性验收与质量性能验收包括：</w:t>
      </w:r>
    </w:p>
    <w:p w14:paraId="175627B0">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1.一致性验收</w:t>
      </w:r>
    </w:p>
    <w:p w14:paraId="7C123FFE">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（1）装备器材资料（检测报告、规格说明书、生产合格证等）是否符合国家和行业规定；</w:t>
      </w:r>
    </w:p>
    <w:p w14:paraId="1863F7E1">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华文仿宋" w:hAnsi="华文仿宋" w:eastAsia="华文仿宋" w:cs="华文仿宋"/>
          <w:color w:val="auto"/>
          <w:sz w:val="28"/>
          <w:szCs w:val="28"/>
        </w:rPr>
      </w:pPr>
      <w:r>
        <w:rPr>
          <w:rFonts w:hint="eastAsia" w:ascii="方正仿宋_GBK" w:hAnsi="方正仿宋_GBK" w:eastAsia="方正仿宋_GBK" w:cs="方正仿宋_GBK"/>
          <w:color w:val="auto"/>
          <w:spacing w:val="3"/>
          <w:sz w:val="28"/>
          <w:szCs w:val="28"/>
        </w:rPr>
        <w:t>（2）装备器材是否与投标文件内容和样品实物信息一致，包括各功能部件、相关系统及附属设备的品牌、型号、数量等；</w:t>
      </w:r>
    </w:p>
    <w:p w14:paraId="3D1F354C">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（3）同投标时样品比对，优于样品或与样品一致均符合。</w:t>
      </w:r>
    </w:p>
    <w:p w14:paraId="72289A78">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2.质量性能验收</w:t>
      </w:r>
    </w:p>
    <w:p w14:paraId="18CD5193">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（1）外观检查：包括装备器材外观、颜色及光亮度，铭牌标识及满足国家和行业标准，是否与投标文件等资料一致。</w:t>
      </w:r>
    </w:p>
    <w:p w14:paraId="671D411F">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（2）部件检查：包括检查各组成部件是否齐全，有无明显缺陷，装配是否符合要求等。</w:t>
      </w:r>
    </w:p>
    <w:p w14:paraId="7398B496">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（3）性能验收：安装调试后运行是否正常、操作是否稳定、有无安全隐患、性能指标是否达到投标文件的响应等。</w:t>
      </w:r>
    </w:p>
    <w:p w14:paraId="4C273BEC">
      <w:pPr>
        <w:keepNext w:val="0"/>
        <w:keepLines w:val="0"/>
        <w:pageBreakBefore w:val="0"/>
        <w:widowControl/>
        <w:kinsoku w:val="0"/>
        <w:wordWrap/>
        <w:overflowPunct/>
        <w:topLinePunct w:val="0"/>
        <w:autoSpaceDE w:val="0"/>
        <w:autoSpaceDN w:val="0"/>
        <w:bidi w:val="0"/>
        <w:adjustRightInd/>
        <w:snapToGrid/>
        <w:spacing w:line="360" w:lineRule="auto"/>
        <w:ind w:left="0" w:right="0" w:firstLine="566" w:firstLineChars="200"/>
        <w:textAlignment w:val="baseline"/>
        <w:rPr>
          <w:rFonts w:hint="eastAsia" w:ascii="方正仿宋_GBK" w:hAnsi="方正仿宋_GBK" w:eastAsia="方正仿宋_GBK" w:cs="方正仿宋_GBK"/>
          <w:b/>
          <w:bCs/>
          <w:color w:val="auto"/>
          <w:spacing w:val="1"/>
          <w:sz w:val="28"/>
          <w:szCs w:val="28"/>
        </w:rPr>
      </w:pPr>
      <w:r>
        <w:rPr>
          <w:rFonts w:hint="eastAsia" w:ascii="方正仿宋_GBK" w:hAnsi="方正仿宋_GBK" w:eastAsia="方正仿宋_GBK" w:cs="方正仿宋_GBK"/>
          <w:b/>
          <w:bCs/>
          <w:color w:val="auto"/>
          <w:spacing w:val="1"/>
          <w:sz w:val="28"/>
          <w:szCs w:val="28"/>
        </w:rPr>
        <w:t>三、装备验收程序</w:t>
      </w:r>
    </w:p>
    <w:p w14:paraId="47539FA9">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装备验收采取“初验与复验结合、集中检验和强制送检结合、厂商自检和用户检验结合”的方式进行，装备初次验收“不合格”，适情安排复验，每次验收均应按照一致性验收和质量性能验收两部分开展。按照合同文本、补充协议、采购文件、投标文件、规范标准等内容和要求，参照以下程序组织验收：</w:t>
      </w:r>
    </w:p>
    <w:p w14:paraId="11D284FA">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华文仿宋" w:hAnsi="华文仿宋" w:eastAsia="华文仿宋" w:cs="华文仿宋"/>
          <w:color w:val="auto"/>
          <w:sz w:val="28"/>
          <w:szCs w:val="28"/>
        </w:rPr>
      </w:pPr>
      <w:r>
        <w:rPr>
          <w:rFonts w:hint="eastAsia" w:ascii="方正仿宋_GBK" w:hAnsi="方正仿宋_GBK" w:eastAsia="方正仿宋_GBK" w:cs="方正仿宋_GBK"/>
          <w:color w:val="auto"/>
          <w:spacing w:val="3"/>
          <w:sz w:val="28"/>
          <w:szCs w:val="28"/>
        </w:rPr>
        <w:t>（一）验收准备</w:t>
      </w:r>
    </w:p>
    <w:p w14:paraId="2BBDC644">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1.总队接到供应商预交货通知后，要求供应商提前做好装备的清理、调整、测试等自验工作，并告知验收地点和时间。供应商向总队递交《新购消防器材验收申请表》或《新购消防车辆验收申请表》。</w:t>
      </w:r>
    </w:p>
    <w:p w14:paraId="5E467C89">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2.总队收到验收申请后，制定验收方案，明确验收的主体、时间、方式、程序、内容和验收标准等事项。</w:t>
      </w:r>
    </w:p>
    <w:p w14:paraId="36AF8732">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（二）现场验收</w:t>
      </w:r>
    </w:p>
    <w:p w14:paraId="0829BF11">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1.总队和供应商召开采购项目验收会，通报项目基本情况，合同执行情况和交付运行情况，听取供应商自评验收意见，明确验收人员职责分工；按照合同约定同供应商明确可能因装备质量问题或人员操作不当造成安全事故或经济损失的相关责任；验收人员做好安全防护，在供应商的管理和指导下开展装备操作。</w:t>
      </w:r>
    </w:p>
    <w:p w14:paraId="55BC967D">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2.实施一致性和质量性能验收时，按照本文第一、二条执行。一致性验收合格的装备，进入质量性能验收环节。资料不齐全不予验收。</w:t>
      </w:r>
    </w:p>
    <w:p w14:paraId="0D25F75B">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华文仿宋" w:hAnsi="华文仿宋" w:eastAsia="华文仿宋" w:cs="华文仿宋"/>
          <w:color w:val="auto"/>
          <w:sz w:val="28"/>
          <w:szCs w:val="28"/>
        </w:rPr>
      </w:pPr>
      <w:r>
        <w:rPr>
          <w:rFonts w:hint="eastAsia" w:ascii="方正仿宋_GBK" w:hAnsi="方正仿宋_GBK" w:eastAsia="方正仿宋_GBK" w:cs="方正仿宋_GBK"/>
          <w:color w:val="auto"/>
          <w:spacing w:val="3"/>
          <w:sz w:val="28"/>
          <w:szCs w:val="28"/>
        </w:rPr>
        <w:t>3.每个标段验收活动结束后，验收组汇总验收意见，对现场评定为不合格的装备，向供应商反馈问题或原因，提出整改意见或建议。</w:t>
      </w:r>
    </w:p>
    <w:p w14:paraId="37C40BA1">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4.装备验收过程中，可根据甲方需求开展抽样送具有法定检验资质的检测机构进行检测，检测结论作为验收结论使用。</w:t>
      </w:r>
    </w:p>
    <w:p w14:paraId="745C796B">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（三）验收报告编制</w:t>
      </w:r>
    </w:p>
    <w:p w14:paraId="0682348F">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验收合格的标段，总队向供应商移交验收报告；验收不合格的标段，向供应商出具验收报告和《消防装备验收限期整改通知书》，明确整改要求和时限，并适时组织复验工作。复验按照初验程序实施，如装备复验仍判定“不合格”，总队将根据合同约定，追究供应商相关责任。</w:t>
      </w:r>
    </w:p>
    <w:p w14:paraId="0A520E74">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（四）退还履约保证金</w:t>
      </w:r>
    </w:p>
    <w:p w14:paraId="11F6D886">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装备履约保证期满后，供应商提出履约保证金退还申请，填写《消防装备履约保证金退还申请表》，装备使用单位出具《消防装备质量核验报告》，按规定退还履约保证金。</w:t>
      </w:r>
    </w:p>
    <w:p w14:paraId="564739D0">
      <w:pPr>
        <w:keepNext w:val="0"/>
        <w:keepLines w:val="0"/>
        <w:pageBreakBefore w:val="0"/>
        <w:widowControl/>
        <w:kinsoku w:val="0"/>
        <w:wordWrap/>
        <w:overflowPunct/>
        <w:topLinePunct w:val="0"/>
        <w:autoSpaceDE w:val="0"/>
        <w:autoSpaceDN w:val="0"/>
        <w:bidi w:val="0"/>
        <w:adjustRightInd/>
        <w:snapToGrid/>
        <w:spacing w:line="360" w:lineRule="auto"/>
        <w:ind w:left="0" w:right="0" w:firstLine="566" w:firstLineChars="200"/>
        <w:textAlignment w:val="baseline"/>
        <w:rPr>
          <w:rFonts w:hint="eastAsia" w:ascii="方正仿宋_GBK" w:hAnsi="方正仿宋_GBK" w:eastAsia="方正仿宋_GBK" w:cs="方正仿宋_GBK"/>
          <w:b/>
          <w:bCs/>
          <w:color w:val="auto"/>
          <w:spacing w:val="1"/>
          <w:sz w:val="28"/>
          <w:szCs w:val="28"/>
        </w:rPr>
      </w:pPr>
      <w:r>
        <w:rPr>
          <w:rFonts w:hint="eastAsia" w:ascii="方正仿宋_GBK" w:hAnsi="方正仿宋_GBK" w:eastAsia="方正仿宋_GBK" w:cs="方正仿宋_GBK"/>
          <w:b/>
          <w:bCs/>
          <w:color w:val="auto"/>
          <w:spacing w:val="1"/>
          <w:sz w:val="28"/>
          <w:szCs w:val="28"/>
        </w:rPr>
        <w:t>四、其他</w:t>
      </w:r>
    </w:p>
    <w:p w14:paraId="3E38B67E">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default" w:ascii="方正仿宋_GBK" w:hAnsi="方正仿宋_GBK" w:eastAsia="方正仿宋_GBK" w:cs="方正仿宋_GBK"/>
          <w:color w:val="auto"/>
          <w:spacing w:val="3"/>
          <w:sz w:val="28"/>
          <w:szCs w:val="28"/>
          <w:lang w:val="en-US" w:eastAsia="zh-CN"/>
        </w:rPr>
      </w:pPr>
      <w:r>
        <w:rPr>
          <w:rFonts w:hint="eastAsia" w:ascii="方正仿宋_GBK" w:hAnsi="方正仿宋_GBK" w:eastAsia="方正仿宋_GBK" w:cs="方正仿宋_GBK"/>
          <w:color w:val="auto"/>
          <w:spacing w:val="3"/>
          <w:sz w:val="28"/>
          <w:szCs w:val="28"/>
        </w:rPr>
        <w:t>装备验收工作完成后，总队针对项目开展结算审计工作，审计结果将通报供货商，同时按照甲乙双方合同约定的付款条件办理尾款结算；初验“不合格”装备，总队视情适情安排复验，下达《消防装备验收限期整改通知书》，供货商整改超过限定期限的天数将计入供货逾期时间；验收过程中，供货商项目负责人及装备技术人员须到场参与验收。</w:t>
      </w:r>
    </w:p>
    <w:p w14:paraId="0D382D84">
      <w:pPr>
        <w:rPr>
          <w:color w:val="auto"/>
        </w:rPr>
      </w:pPr>
    </w:p>
    <w:p w14:paraId="11F47C47">
      <w:pPr>
        <w:rPr>
          <w:color w:val="auto"/>
        </w:rPr>
      </w:pPr>
    </w:p>
    <w:sectPr>
      <w:pgSz w:w="11906" w:h="16838"/>
      <w:pgMar w:top="1213" w:right="1236" w:bottom="1213" w:left="1236"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B1BC62BB-E6A0-4DDF-BEDE-6A3B562E96A3}"/>
  </w:font>
  <w:font w:name="黑体">
    <w:panose1 w:val="02010609060101010101"/>
    <w:charset w:val="86"/>
    <w:family w:val="auto"/>
    <w:pitch w:val="default"/>
    <w:sig w:usb0="800002BF" w:usb1="38CF7CFA" w:usb2="00000016" w:usb3="00000000" w:csb0="00040001" w:csb1="00000000"/>
    <w:embedRegular r:id="rId2" w:fontKey="{EA40F911-A942-4D8C-B3EA-08E63819CDE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E9192E69-375C-45ED-AC04-F91804E3F5A3}"/>
  </w:font>
  <w:font w:name="Microsoft JhengHei UI">
    <w:panose1 w:val="020B0604030504040204"/>
    <w:charset w:val="88"/>
    <w:family w:val="swiss"/>
    <w:pitch w:val="default"/>
    <w:sig w:usb0="000002A7" w:usb1="28CF4400" w:usb2="00000016" w:usb3="00000000" w:csb0="00100009" w:csb1="00000000"/>
  </w:font>
  <w:font w:name="华文仿宋">
    <w:panose1 w:val="02010600040101010101"/>
    <w:charset w:val="86"/>
    <w:family w:val="auto"/>
    <w:pitch w:val="default"/>
    <w:sig w:usb0="00000287" w:usb1="080F0000" w:usb2="00000000" w:usb3="00000000" w:csb0="0004009F" w:csb1="DFD70000"/>
    <w:embedRegular r:id="rId4" w:fontKey="{227AAE10-7334-40F9-AC53-262BD446F1B7}"/>
  </w:font>
  <w:font w:name="仿宋">
    <w:panose1 w:val="02010609060101010101"/>
    <w:charset w:val="86"/>
    <w:family w:val="auto"/>
    <w:pitch w:val="default"/>
    <w:sig w:usb0="800002BF" w:usb1="38CF7CFA" w:usb2="00000016" w:usb3="00000000" w:csb0="00040001" w:csb1="00000000"/>
    <w:embedRegular r:id="rId5" w:fontKey="{A3F24149-BE37-4043-AFA1-56BF55DF4E87}"/>
  </w:font>
  <w:font w:name="方正仿宋_GBK">
    <w:panose1 w:val="03000509000000000000"/>
    <w:charset w:val="86"/>
    <w:family w:val="auto"/>
    <w:pitch w:val="default"/>
    <w:sig w:usb0="00000001" w:usb1="080E0000" w:usb2="00000000" w:usb3="00000000" w:csb0="00040000" w:csb1="00000000"/>
    <w:embedRegular r:id="rId6" w:fontKey="{3F6F4E1B-7415-4DEA-916C-FAFDE85BF194}"/>
  </w:font>
  <w:font w:name="方正仿宋_GB2312">
    <w:panose1 w:val="02000000000000000000"/>
    <w:charset w:val="86"/>
    <w:family w:val="auto"/>
    <w:pitch w:val="default"/>
    <w:sig w:usb0="A00002BF" w:usb1="184F6CFA" w:usb2="00000012" w:usb3="00000000" w:csb0="00040001" w:csb1="00000000"/>
    <w:embedRegular r:id="rId7" w:fontKey="{27F7FA5D-7C1A-49D2-9907-BF4C6E7E9904}"/>
  </w:font>
  <w:font w:name="方正小标宋_GBK">
    <w:panose1 w:val="03000509000000000000"/>
    <w:charset w:val="86"/>
    <w:family w:val="auto"/>
    <w:pitch w:val="default"/>
    <w:sig w:usb0="00000001" w:usb1="080E0000" w:usb2="00000000" w:usb3="00000000" w:csb0="00040000" w:csb1="00000000"/>
    <w:embedRegular r:id="rId8" w:fontKey="{9F76ADB1-56AA-4A69-9835-6DE29FA755BC}"/>
  </w:font>
  <w:font w:name="方正黑体_GBK">
    <w:panose1 w:val="03000509000000000000"/>
    <w:charset w:val="86"/>
    <w:family w:val="script"/>
    <w:pitch w:val="default"/>
    <w:sig w:usb0="00000001" w:usb1="080E0000" w:usb2="00000000" w:usb3="00000000" w:csb0="00040000" w:csb1="00000000"/>
    <w:embedRegular r:id="rId9" w:fontKey="{CB1388F0-1D4B-419B-BD20-AC3BB9B8E937}"/>
  </w:font>
  <w:font w:name="WPSEMBED2">
    <w:panose1 w:val="03000509000000000000"/>
    <w:charset w:val="86"/>
    <w:family w:val="auto"/>
    <w:pitch w:val="default"/>
    <w:sig w:usb0="00000001" w:usb1="080E0000" w:usb2="00000000" w:usb3="00000000" w:csb0="00040000" w:csb1="00000000"/>
  </w:font>
  <w:font w:name="WPSEMBED4">
    <w:panose1 w:val="03000509000000000000"/>
    <w:charset w:val="86"/>
    <w:family w:val="auto"/>
    <w:pitch w:val="default"/>
    <w:sig w:usb0="00000001" w:usb1="080E0000" w:usb2="00000000" w:usb3="00000000" w:csb0="00040000" w:csb1="00000000"/>
  </w:font>
  <w:font w:name="WPSEMBED5">
    <w:panose1 w:val="03000509000000000000"/>
    <w:charset w:val="86"/>
    <w:family w:val="auto"/>
    <w:pitch w:val="default"/>
    <w:sig w:usb0="00000001" w:usb1="080E0000" w:usb2="00000000" w:usb3="00000000" w:csb0="00040000" w:csb1="00000000"/>
  </w:font>
  <w:font w:name="WPSEMBED1">
    <w:panose1 w:val="02010600040101010101"/>
    <w:charset w:val="86"/>
    <w:family w:val="auto"/>
    <w:pitch w:val="default"/>
    <w:sig w:usb0="00000287" w:usb1="080F0000" w:usb2="00000000" w:usb3="00000000" w:csb0="0004009F" w:csb1="DFD70000"/>
  </w:font>
  <w:font w:name="WPSEMBED3">
    <w:panose1 w:val="02000000000000000000"/>
    <w:charset w:val="86"/>
    <w:family w:val="auto"/>
    <w:pitch w:val="default"/>
    <w:sig w:usb0="A00002BF" w:usb1="184F6CFA" w:usb2="00000012"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0D615D"/>
    <w:multiLevelType w:val="singleLevel"/>
    <w:tmpl w:val="AE0D615D"/>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0MDgwZDkwMzNjYTAyNDVkMWFkOGFlNmY1NDAwOGYifQ=="/>
  </w:docVars>
  <w:rsids>
    <w:rsidRoot w:val="00000000"/>
    <w:rsid w:val="013B7B86"/>
    <w:rsid w:val="05A54683"/>
    <w:rsid w:val="0606770D"/>
    <w:rsid w:val="076B2738"/>
    <w:rsid w:val="117421EC"/>
    <w:rsid w:val="218C6865"/>
    <w:rsid w:val="2F561AA3"/>
    <w:rsid w:val="3A875311"/>
    <w:rsid w:val="3DD91F25"/>
    <w:rsid w:val="40D13907"/>
    <w:rsid w:val="4F05790C"/>
    <w:rsid w:val="5103255D"/>
    <w:rsid w:val="5C095479"/>
    <w:rsid w:val="67341693"/>
    <w:rsid w:val="69676DA1"/>
    <w:rsid w:val="6CA57C2D"/>
    <w:rsid w:val="6FD6290B"/>
    <w:rsid w:val="764741E2"/>
    <w:rsid w:val="79BB32A9"/>
    <w:rsid w:val="7C740E04"/>
    <w:rsid w:val="7FEF2B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nhideWhenUsed="0" w:uiPriority="1"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6"/>
    <w:basedOn w:val="1"/>
    <w:next w:val="1"/>
    <w:qFormat/>
    <w:uiPriority w:val="1"/>
    <w:pPr>
      <w:ind w:left="1044"/>
      <w:outlineLvl w:val="6"/>
    </w:pPr>
    <w:rPr>
      <w:rFonts w:ascii="Microsoft JhengHei UI" w:hAnsi="Microsoft JhengHei UI" w:eastAsia="Microsoft JhengHei UI" w:cs="Microsoft JhengHei UI"/>
      <w:b/>
      <w:bCs/>
      <w:sz w:val="28"/>
      <w:szCs w:val="28"/>
      <w:lang w:val="zh-CN" w:eastAsia="zh-CN" w:bidi="zh-CN"/>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semiHidden/>
    <w:qFormat/>
    <w:uiPriority w:val="0"/>
    <w:rPr>
      <w:rFonts w:ascii="华文仿宋" w:hAnsi="华文仿宋" w:eastAsia="华文仿宋" w:cs="华文仿宋"/>
      <w:sz w:val="35"/>
      <w:szCs w:val="35"/>
      <w:lang w:val="en-US" w:eastAsia="en-US" w:bidi="ar-SA"/>
    </w:rPr>
  </w:style>
  <w:style w:type="paragraph" w:customStyle="1" w:styleId="6">
    <w:name w:val="Table Paragraph"/>
    <w:basedOn w:val="1"/>
    <w:qFormat/>
    <w:uiPriority w:val="1"/>
    <w:rPr>
      <w:rFonts w:ascii="仿宋" w:hAnsi="仿宋" w:eastAsia="仿宋" w:cs="仿宋"/>
      <w:lang w:val="zh-CN" w:eastAsia="zh-CN" w:bidi="zh-CN"/>
    </w:rPr>
  </w:style>
  <w:style w:type="paragraph" w:customStyle="1" w:styleId="7">
    <w:name w:val="Table Text"/>
    <w:basedOn w:val="1"/>
    <w:semiHidden/>
    <w:qFormat/>
    <w:uiPriority w:val="0"/>
    <w:rPr>
      <w:rFonts w:ascii="仿宋" w:hAnsi="仿宋" w:eastAsia="仿宋" w:cs="仿宋"/>
      <w:sz w:val="24"/>
      <w:szCs w:val="24"/>
      <w:lang w:val="en-US" w:eastAsia="en-US" w:bidi="ar-SA"/>
    </w:rPr>
  </w:style>
  <w:style w:type="table" w:customStyle="1" w:styleId="8">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3623</Words>
  <Characters>3714</Characters>
  <Lines>0</Lines>
  <Paragraphs>0</Paragraphs>
  <TotalTime>1</TotalTime>
  <ScaleCrop>false</ScaleCrop>
  <LinksUpToDate>false</LinksUpToDate>
  <CharactersWithSpaces>3906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2026-01-09T01:50:00Z</dcterms:created>
  <dc:creator>Administrator</dc:creator>
  <cp:lastModifiedBy>蓝月亮</cp:lastModifiedBy>
  <dcterms:modified xsi:type="dcterms:W3CDTF">2026-04-10T03:21:13Z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A0A1F91C0ECA49BB8D462137E50A7A76_13</vt:lpwstr>
  </property>
  <property fmtid="{D5CDD505-2E9C-101B-9397-08002B2CF9AE}" pid="4" name="KSOTemplateDocerSaveRecord">
    <vt:lpwstr>eyJoZGlkIjoiZDQ4NDRjMzFkYjk0NTVkMWYzZmE4NTI3OGUzOWRiYzgiLCJ1c2VySWQiOiIzNTMzMzU0NjEifQ==</vt:lpwstr>
  </property>
</Properties>
</file>