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版本号：LZBE2026-27320260527001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中心线路租用及数据端口服务项目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LZBE2026-273</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中心线路租用及数据端口服务项目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LZBE2026-273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中心线路租用及数据端口服务项目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确保中心办公及业务工作的正常开展，按照部省有关规定，结合单位工作实际，通过租用线路及设备来保障中心办公及业务网络的正常运行。本项目由十一部分内容组成，分别为：中心办公1条：中心互联网宽带；数据传输类5条：高速公路部站专线链路、联网收费数据备用无线传输线路、收费公路收费数据传输线路、部级在线密钥平台通信网络传输链路服务；ETC发行业务线路2条：ETC发行系统互联网专线、ETC发行网点移动终端VPDN专线；12122业务专线&amp;12328呼叫线路2条：12122业务专线、12328呼叫线路；数据端口服务2项：票据传输线路及端口保障、数据保障,具体详见服务内容及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采购包1（中心线路租用及数据端口服务项目）：属于专门面向中小企业采购。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供应商提供响应文件递交截止时间前三个月内基本开户银行出具的资信证明；或提供专业担保机构出具的投标担保函，供应商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供应商需提供参加本次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5、具有履行合同所必需的设备和专业技术能力书面声明函：供应商需提供具有履行合同所必需的设备和专业技术能力书面声明函。供应商需在项目电子化交易系统中按要求上传相应证明文件并进行电子签章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pPr>
      <w:r>
        <w:rPr>
          <w:rFonts w:ascii="仿宋_GB2312" w:hAnsi="仿宋_GB2312" w:cs="仿宋_GB2312" w:eastAsia="仿宋_GB2312"/>
        </w:rPr>
        <w:t>7、法定代表人授权书：法定代表人授权书：法定代表人授权书及被授权人身份证明。（法定代表人直接磋商只须提供其身份证明）。</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9、特殊资质：供应商须为具备《增值电信业务经营许可证》的法人或其分支机构，或授权代理商。</w:t>
      </w:r>
    </w:p>
    <w:p>
      <w:pPr>
        <w:pStyle w:val="null3"/>
      </w:pPr>
      <w:r>
        <w:rPr>
          <w:rFonts w:ascii="仿宋_GB2312" w:hAnsi="仿宋_GB2312" w:cs="仿宋_GB2312" w:eastAsia="仿宋_GB2312"/>
        </w:rPr>
        <w:t>10、中小企业声明函：本项目专门面向中小企业采购(残疾人福利性单位、监狱企业视同小型、微型企业)，供应商需提供《中小企业声明函》(监狱企业的证明文件或《残疾人福利性单位声明函》)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下浮12%收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中心办公及业务工作的正常开展，按照部省有关规定，结合单位工作实际，通过租用线路及设备来保障中心办公及业务网络的正常运行。本项目由十一部分内容组成，分别为：中心办公1条：中心互联网宽带；数据传输类5条：高速公路部站专线链路、联网收费数据备用无线传输线路、收费公路收费数据传输线路、部级在线密钥平台通信网络传输链路服务；ETC发行业务线路2条：ETC发行系统互联网专线、ETC发行网点移动终端VPDN专线；12122业务专线&amp;12328呼叫线路2条：12122业务专线、12328呼叫线路；数据端口服务2项：票据传输线路及端口保障、数据保障,具体详见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2,540,000.00</w:t>
      </w:r>
    </w:p>
    <w:p>
      <w:pPr>
        <w:pStyle w:val="null3"/>
      </w:pPr>
      <w:r>
        <w:rPr>
          <w:rFonts w:ascii="仿宋_GB2312" w:hAnsi="仿宋_GB2312" w:cs="仿宋_GB2312" w:eastAsia="仿宋_GB2312"/>
        </w:rPr>
        <w:t>采购包最高限价（元）: 2,540,000.00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中心线路租用及数据端口服务项目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标的名称：中心线路租用及数据端口服务项目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（一）基本情况</w:t>
            </w:r>
            <w:r>
              <w:br/>
            </w:r>
            <w:r>
              <w:rPr>
                <w:rFonts w:ascii="仿宋_GB2312" w:hAnsi="仿宋_GB2312" w:cs="仿宋_GB2312" w:eastAsia="仿宋_GB2312"/>
              </w:rPr>
              <w:t xml:space="preserve"> 为确保中心办公及业务工作的正常开展，按照部省有关规定，结合单位工作实际，通过租用线路及设备来保障中心办公及业务网络的正常运行。本项目由十一部分内容组成，分别为：中心办公1条：中心互联网宽带；数据传输类5条：高速公路部站专线链路、联网收费数据备用无线传输线路、收费公路收费数据传输线路、部级在线密钥平台通信网络传输链路服务；ETC发行业务线路2条：ETC发行系统互联网专线、ETC发行网点移动终端VPDN专线；12122业务专线&amp;12328呼叫线路2条：12122业务专线、12328呼叫线路；数据端口服务2项：票据传输线路及端口保障、数据保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w:t>
            </w:r>
            <w:r>
              <w:br/>
            </w:r>
            <w:r>
              <w:rPr>
                <w:rFonts w:ascii="仿宋_GB2312" w:hAnsi="仿宋_GB2312" w:cs="仿宋_GB2312" w:eastAsia="仿宋_GB2312"/>
              </w:rPr>
              <w:t xml:space="preserve"> （一）省收费中心至交通运输部路网监测与应急处置中心1Gbps专线通道</w:t>
            </w:r>
            <w:r>
              <w:br/>
            </w:r>
            <w:r>
              <w:rPr>
                <w:rFonts w:ascii="仿宋_GB2312" w:hAnsi="仿宋_GB2312" w:cs="仿宋_GB2312" w:eastAsia="仿宋_GB2312"/>
              </w:rPr>
              <w:t xml:space="preserve"> 根据交通运输部路网监测与应急处置中心《关于加快推进取消高速公路省界收费站部站传输工作的函》（交路网函〔2019〕223号）、《陕西省关于加快取消省界收费站站部（省）传输线路建设的函》（陕高收函〔2019〕318号）等文件要求，收费数据传输至部路网中心应建立安全、稳定、可靠的部站直传通信链路，部站通信链路用于确保车道及门架数据实时上传。技术要求如下：</w:t>
            </w:r>
            <w:r>
              <w:br/>
            </w:r>
            <w:r>
              <w:rPr>
                <w:rFonts w:ascii="仿宋_GB2312" w:hAnsi="仿宋_GB2312" w:cs="仿宋_GB2312" w:eastAsia="仿宋_GB2312"/>
              </w:rPr>
              <w:t xml:space="preserve"> 1.一条带宽不小于1000M专线；</w:t>
            </w:r>
            <w:r>
              <w:br/>
            </w:r>
            <w:r>
              <w:rPr>
                <w:rFonts w:ascii="仿宋_GB2312" w:hAnsi="仿宋_GB2312" w:cs="仿宋_GB2312" w:eastAsia="仿宋_GB2312"/>
              </w:rPr>
              <w:t xml:space="preserve"> 2.省收费中心至部路网中心链路需有环网保护；</w:t>
            </w:r>
            <w:r>
              <w:br/>
            </w:r>
            <w:r>
              <w:rPr>
                <w:rFonts w:ascii="仿宋_GB2312" w:hAnsi="仿宋_GB2312" w:cs="仿宋_GB2312" w:eastAsia="仿宋_GB2312"/>
              </w:rPr>
              <w:t xml:space="preserve"> 3.省收费中心到部路网中心ping丢包率≤1%；</w:t>
            </w:r>
            <w:r>
              <w:br/>
            </w:r>
            <w:r>
              <w:rPr>
                <w:rFonts w:ascii="仿宋_GB2312" w:hAnsi="仿宋_GB2312" w:cs="仿宋_GB2312" w:eastAsia="仿宋_GB2312"/>
              </w:rPr>
              <w:t xml:space="preserve"> 4.省收费中心到部路网中心ping时延≤30ms；</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（二）安全办公网络宽带</w:t>
            </w:r>
            <w:r>
              <w:br/>
            </w:r>
            <w:r>
              <w:rPr>
                <w:rFonts w:ascii="仿宋_GB2312" w:hAnsi="仿宋_GB2312" w:cs="仿宋_GB2312" w:eastAsia="仿宋_GB2312"/>
              </w:rPr>
              <w:t xml:space="preserve"> 该线路为中心人员办公、稽查数据报送平台、中心网站等相关业务链接互联网专用线路。技术要求如下：</w:t>
            </w:r>
            <w:r>
              <w:br/>
            </w:r>
            <w:r>
              <w:rPr>
                <w:rFonts w:ascii="仿宋_GB2312" w:hAnsi="仿宋_GB2312" w:cs="仿宋_GB2312" w:eastAsia="仿宋_GB2312"/>
              </w:rPr>
              <w:t xml:space="preserve"> 1.一条带宽不小于100M互联网专线；</w:t>
            </w:r>
            <w:r>
              <w:br/>
            </w:r>
            <w:r>
              <w:rPr>
                <w:rFonts w:ascii="仿宋_GB2312" w:hAnsi="仿宋_GB2312" w:cs="仿宋_GB2312" w:eastAsia="仿宋_GB2312"/>
              </w:rPr>
              <w:t xml:space="preserve"> 2.提供两组8个IP；</w:t>
            </w:r>
            <w:r>
              <w:br/>
            </w:r>
            <w:r>
              <w:rPr>
                <w:rFonts w:ascii="仿宋_GB2312" w:hAnsi="仿宋_GB2312" w:cs="仿宋_GB2312" w:eastAsia="仿宋_GB2312"/>
              </w:rPr>
              <w:t xml:space="preserve"> 3.上行带宽不小于80Mbps，下行带宽不小于90Mbps；</w:t>
            </w:r>
            <w:r>
              <w:br/>
            </w:r>
            <w:r>
              <w:rPr>
                <w:rFonts w:ascii="仿宋_GB2312" w:hAnsi="仿宋_GB2312" w:cs="仿宋_GB2312" w:eastAsia="仿宋_GB2312"/>
              </w:rPr>
              <w:t xml:space="preserve"> 4.提供光网络单元及网关设备；</w:t>
            </w:r>
            <w:r>
              <w:br/>
            </w:r>
            <w:r>
              <w:rPr>
                <w:rFonts w:ascii="仿宋_GB2312" w:hAnsi="仿宋_GB2312" w:cs="仿宋_GB2312" w:eastAsia="仿宋_GB2312"/>
              </w:rPr>
              <w:t xml:space="preserve"> 5.确保现有IP继续保持，如需更换IP，需保证现有业务正常运行无缝衔接。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（三）收费公路收费数据传输线路</w:t>
            </w:r>
            <w:r>
              <w:br/>
            </w:r>
            <w:r>
              <w:rPr>
                <w:rFonts w:ascii="仿宋_GB2312" w:hAnsi="仿宋_GB2312" w:cs="仿宋_GB2312" w:eastAsia="仿宋_GB2312"/>
              </w:rPr>
              <w:t xml:space="preserve"> 为保障相关收费公路数据的正常传输，收费资金的日常结算，向运营商租用50M数据传输专线。技术要求如下：</w:t>
            </w:r>
            <w:r>
              <w:br/>
            </w:r>
            <w:r>
              <w:rPr>
                <w:rFonts w:ascii="仿宋_GB2312" w:hAnsi="仿宋_GB2312" w:cs="仿宋_GB2312" w:eastAsia="仿宋_GB2312"/>
              </w:rPr>
              <w:t xml:space="preserve"> 1.一条带宽不小于50M互联网专线；</w:t>
            </w:r>
            <w:r>
              <w:br/>
            </w:r>
            <w:r>
              <w:rPr>
                <w:rFonts w:ascii="仿宋_GB2312" w:hAnsi="仿宋_GB2312" w:cs="仿宋_GB2312" w:eastAsia="仿宋_GB2312"/>
              </w:rPr>
              <w:t xml:space="preserve"> 2.提供两组8个IP；</w:t>
            </w:r>
            <w:r>
              <w:br/>
            </w:r>
            <w:r>
              <w:rPr>
                <w:rFonts w:ascii="仿宋_GB2312" w:hAnsi="仿宋_GB2312" w:cs="仿宋_GB2312" w:eastAsia="仿宋_GB2312"/>
              </w:rPr>
              <w:t xml:space="preserve"> 3.上行带宽不小于30Mbps，下行带宽不小于40Mbps；</w:t>
            </w:r>
            <w:r>
              <w:br/>
            </w:r>
            <w:r>
              <w:rPr>
                <w:rFonts w:ascii="仿宋_GB2312" w:hAnsi="仿宋_GB2312" w:cs="仿宋_GB2312" w:eastAsia="仿宋_GB2312"/>
              </w:rPr>
              <w:t xml:space="preserve"> 4.提供光网络单元及网关设备，并能够实现VPDN服务；</w:t>
            </w:r>
            <w:r>
              <w:br/>
            </w:r>
            <w:r>
              <w:rPr>
                <w:rFonts w:ascii="仿宋_GB2312" w:hAnsi="仿宋_GB2312" w:cs="仿宋_GB2312" w:eastAsia="仿宋_GB2312"/>
              </w:rPr>
              <w:t xml:space="preserve"> 5.确保现有IP继续保持，如需更换IP，需保证现有业务正常运行无缝衔接。</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（四）省收费中心联网收费数据备用无线传输线路</w:t>
            </w:r>
            <w:r>
              <w:br/>
            </w:r>
            <w:r>
              <w:rPr>
                <w:rFonts w:ascii="仿宋_GB2312" w:hAnsi="仿宋_GB2312" w:cs="仿宋_GB2312" w:eastAsia="仿宋_GB2312"/>
              </w:rPr>
              <w:t xml:space="preserve"> 为提高高速公路联网收费数据传输可靠性，保证用户状态名单和车道收费数据及时传输，该线路为无线传输链路，当高速公路通信系统中断后，无线路由器将自动切换到备用传输网络；当高速公路通信系统故障排除后，无线路由器自动切换回高速公路通信系统。技术要求如下：</w:t>
            </w:r>
            <w:r>
              <w:br/>
            </w:r>
            <w:r>
              <w:rPr>
                <w:rFonts w:ascii="仿宋_GB2312" w:hAnsi="仿宋_GB2312" w:cs="仿宋_GB2312" w:eastAsia="仿宋_GB2312"/>
              </w:rPr>
              <w:t xml:space="preserve"> 1.省收费中心至运营商一条带宽不小于50M专线；</w:t>
            </w:r>
            <w:r>
              <w:br/>
            </w:r>
            <w:r>
              <w:rPr>
                <w:rFonts w:ascii="仿宋_GB2312" w:hAnsi="仿宋_GB2312" w:cs="仿宋_GB2312" w:eastAsia="仿宋_GB2312"/>
              </w:rPr>
              <w:t xml:space="preserve"> 2.支持流量校准功能，可精确获取SIM卡在运营商处使用的真实流量；</w:t>
            </w:r>
            <w:r>
              <w:br/>
            </w:r>
            <w:r>
              <w:rPr>
                <w:rFonts w:ascii="仿宋_GB2312" w:hAnsi="仿宋_GB2312" w:cs="仿宋_GB2312" w:eastAsia="仿宋_GB2312"/>
              </w:rPr>
              <w:t xml:space="preserve"> 3.支持国密算法，支持后台主备线路自动切换；</w:t>
            </w:r>
            <w:r>
              <w:br/>
            </w:r>
            <w:r>
              <w:rPr>
                <w:rFonts w:ascii="仿宋_GB2312" w:hAnsi="仿宋_GB2312" w:cs="仿宋_GB2312" w:eastAsia="仿宋_GB2312"/>
              </w:rPr>
              <w:t xml:space="preserve"> 4.站级通信设备到省收费中心上、下行TCP/IP报文时延≤100ms（无线方式≤200ms）；</w:t>
            </w:r>
            <w:r>
              <w:br/>
            </w:r>
            <w:r>
              <w:rPr>
                <w:rFonts w:ascii="仿宋_GB2312" w:hAnsi="仿宋_GB2312" w:cs="仿宋_GB2312" w:eastAsia="仿宋_GB2312"/>
              </w:rPr>
              <w:t xml:space="preserve"> 5.收费站到省收费中心机房ping丢包率≤1%；</w:t>
            </w:r>
            <w:r>
              <w:br/>
            </w:r>
            <w:r>
              <w:rPr>
                <w:rFonts w:ascii="仿宋_GB2312" w:hAnsi="仿宋_GB2312" w:cs="仿宋_GB2312" w:eastAsia="仿宋_GB2312"/>
              </w:rPr>
              <w:t xml:space="preserve"> 6.收费站到省联网中心机房ping时延≤100ms（无线方式≤200ms）。</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（五）12122业务专线</w:t>
            </w:r>
            <w:r>
              <w:br/>
            </w:r>
            <w:r>
              <w:rPr>
                <w:rFonts w:ascii="仿宋_GB2312" w:hAnsi="仿宋_GB2312" w:cs="仿宋_GB2312" w:eastAsia="仿宋_GB2312"/>
              </w:rPr>
              <w:t xml:space="preserve"> 1.12122呼叫线路</w:t>
            </w:r>
            <w:r>
              <w:br/>
            </w:r>
            <w:r>
              <w:rPr>
                <w:rFonts w:ascii="仿宋_GB2312" w:hAnsi="仿宋_GB2312" w:cs="仿宋_GB2312" w:eastAsia="仿宋_GB2312"/>
              </w:rPr>
              <w:t xml:space="preserve"> 通过租用运营商电话线路，为12122全省交通服务热线能够正常接听社会来电提供基础支撑。保障12122全省交通服务热线能够正常接听社会来电，为社会提供政策咨询、路况信息、投诉转达、收费查询、救援信息、出行路线、非现金收费咨询等全面、及时、准确的高速公路信息，服务公众出行。技术要求如下：</w:t>
            </w:r>
            <w:r>
              <w:br/>
            </w:r>
            <w:r>
              <w:rPr>
                <w:rFonts w:ascii="仿宋_GB2312" w:hAnsi="仿宋_GB2312" w:cs="仿宋_GB2312" w:eastAsia="仿宋_GB2312"/>
              </w:rPr>
              <w:t xml:space="preserve"> （1）租用6条2M数字语音专线中继电路，用于12122号码的接入，可实现多运营商统一接入；</w:t>
            </w:r>
            <w:r>
              <w:br/>
            </w:r>
            <w:r>
              <w:rPr>
                <w:rFonts w:ascii="仿宋_GB2312" w:hAnsi="仿宋_GB2312" w:cs="仿宋_GB2312" w:eastAsia="仿宋_GB2312"/>
              </w:rPr>
              <w:t xml:space="preserve"> （2）该线路需提供双向呼叫功能，需确保用户可正常呼入呼出；</w:t>
            </w:r>
            <w:r>
              <w:br/>
            </w:r>
            <w:r>
              <w:rPr>
                <w:rFonts w:ascii="仿宋_GB2312" w:hAnsi="仿宋_GB2312" w:cs="仿宋_GB2312" w:eastAsia="仿宋_GB2312"/>
              </w:rPr>
              <w:t xml:space="preserve"> （3）该线路应确保移动、联通、电信等运营商号码的呼入呼出；</w:t>
            </w:r>
            <w:r>
              <w:br/>
            </w:r>
            <w:r>
              <w:rPr>
                <w:rFonts w:ascii="仿宋_GB2312" w:hAnsi="仿宋_GB2312" w:cs="仿宋_GB2312" w:eastAsia="仿宋_GB2312"/>
              </w:rPr>
              <w:t xml:space="preserve"> （4）该线路应具备备用路由或备用措施，确保除不可抗力外无中断情况。</w:t>
            </w:r>
            <w:r>
              <w:br/>
            </w:r>
            <w:r>
              <w:rPr>
                <w:rFonts w:ascii="仿宋_GB2312" w:hAnsi="仿宋_GB2312" w:cs="仿宋_GB2312" w:eastAsia="仿宋_GB2312"/>
              </w:rPr>
              <w:t xml:space="preserve"> 2.12122互联网专线&amp;12122互联网备用专线</w:t>
            </w:r>
            <w:r>
              <w:br/>
            </w:r>
            <w:r>
              <w:rPr>
                <w:rFonts w:ascii="仿宋_GB2312" w:hAnsi="仿宋_GB2312" w:cs="仿宋_GB2312" w:eastAsia="仿宋_GB2312"/>
              </w:rPr>
              <w:t xml:space="preserve"> 由于12122话务系统的重要性与服务及时性，必须保证7*24小时话务通畅，因此对网络带宽质量及稳定性要求非常高，故需要单独布设互联网专线保证系统使用的网络带宽质量。同时，由于从运营商到收费中心机房中间长途链路环节多，链路故障不可避免，容易导致网络访问中断，因此需要布设两家不同运营商的互联网专线相互备用，保证12122系统网络稳定性。技术要求如下：</w:t>
            </w:r>
            <w:r>
              <w:br/>
            </w:r>
            <w:r>
              <w:rPr>
                <w:rFonts w:ascii="仿宋_GB2312" w:hAnsi="仿宋_GB2312" w:cs="仿宋_GB2312" w:eastAsia="仿宋_GB2312"/>
              </w:rPr>
              <w:t xml:space="preserve"> （1）两条带宽不小于50M专线；</w:t>
            </w:r>
            <w:r>
              <w:br/>
            </w:r>
            <w:r>
              <w:rPr>
                <w:rFonts w:ascii="仿宋_GB2312" w:hAnsi="仿宋_GB2312" w:cs="仿宋_GB2312" w:eastAsia="仿宋_GB2312"/>
              </w:rPr>
              <w:t xml:space="preserve"> （2）省收费中心到互联网IP地址ping丢包率≤1%；</w:t>
            </w:r>
            <w:r>
              <w:br/>
            </w:r>
            <w:r>
              <w:rPr>
                <w:rFonts w:ascii="仿宋_GB2312" w:hAnsi="仿宋_GB2312" w:cs="仿宋_GB2312" w:eastAsia="仿宋_GB2312"/>
              </w:rPr>
              <w:t xml:space="preserve"> （3）省收费中心到互联网IP地址ping时延≤30ms；</w:t>
            </w:r>
            <w:r>
              <w:br/>
            </w:r>
            <w:r>
              <w:rPr>
                <w:rFonts w:ascii="仿宋_GB2312" w:hAnsi="仿宋_GB2312" w:cs="仿宋_GB2312" w:eastAsia="仿宋_GB2312"/>
              </w:rPr>
              <w:t xml:space="preserve"> （4）运营商至少需要提供两个互联网固定 IP；</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（六）12328呼叫线路</w:t>
            </w:r>
            <w:r>
              <w:br/>
            </w:r>
            <w:r>
              <w:rPr>
                <w:rFonts w:ascii="仿宋_GB2312" w:hAnsi="仿宋_GB2312" w:cs="仿宋_GB2312" w:eastAsia="仿宋_GB2312"/>
              </w:rPr>
              <w:t xml:space="preserve"> 2018年8月底按照《陕西省交通运输监测中心关于陕西省12328交通运输服务监督电话系统后期运行维护事项的说明》（陕交监测函〔2018〕20号）要求，系统后期运行管理工作移交省收费中心。根据实际使用需求，目前，陕西省12328交通运输服务监督电话系统需租用1条PRI电路作为呼叫线路，用于支撑全省12328热线的呼入和呼出业务。12328呼叫线路主要用于全省12328热线号码的呼入和呼出服务，通过运营商提供的呼叫线路，将各运营商的电话用户呼叫接入12328系统，同时也将12328系统呼出电话通过呼叫线路送出。技术要求如下：</w:t>
            </w:r>
            <w:r>
              <w:br/>
            </w:r>
            <w:r>
              <w:rPr>
                <w:rFonts w:ascii="仿宋_GB2312" w:hAnsi="仿宋_GB2312" w:cs="仿宋_GB2312" w:eastAsia="仿宋_GB2312"/>
              </w:rPr>
              <w:t xml:space="preserve"> 1.租用一条PRI电路，用于12328号码的接入，同时支持30个座席同时呼入呼出业务；</w:t>
            </w:r>
            <w:r>
              <w:br/>
            </w:r>
            <w:r>
              <w:rPr>
                <w:rFonts w:ascii="仿宋_GB2312" w:hAnsi="仿宋_GB2312" w:cs="仿宋_GB2312" w:eastAsia="仿宋_GB2312"/>
              </w:rPr>
              <w:t xml:space="preserve"> 2.该线路需提供双向呼叫功能，需确保用户可正常呼入呼出；</w:t>
            </w:r>
            <w:r>
              <w:br/>
            </w:r>
            <w:r>
              <w:rPr>
                <w:rFonts w:ascii="仿宋_GB2312" w:hAnsi="仿宋_GB2312" w:cs="仿宋_GB2312" w:eastAsia="仿宋_GB2312"/>
              </w:rPr>
              <w:t xml:space="preserve"> 3.该线路应确保移动、联通、电信等运营商号码的呼入呼出；</w:t>
            </w:r>
            <w:r>
              <w:br/>
            </w:r>
            <w:r>
              <w:rPr>
                <w:rFonts w:ascii="仿宋_GB2312" w:hAnsi="仿宋_GB2312" w:cs="仿宋_GB2312" w:eastAsia="仿宋_GB2312"/>
              </w:rPr>
              <w:t xml:space="preserve"> 4.该线路应具备备用路由或备用措施，确保除不可抗力外无中断情况。</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（七）ETC发行有关业务专线</w:t>
            </w:r>
            <w:r>
              <w:br/>
            </w:r>
            <w:r>
              <w:rPr>
                <w:rFonts w:ascii="仿宋_GB2312" w:hAnsi="仿宋_GB2312" w:cs="仿宋_GB2312" w:eastAsia="仿宋_GB2312"/>
              </w:rPr>
              <w:t xml:space="preserve"> 为保障陕西省高速公路ETC发行服务系统向我省ETC用户提供持续高效、优质稳定的服务，满足线上线下服务网点、移动发行终端、拓展应用场景、合作银行系统接入等多渠道服务方式与功能的需要，利用电信基础运营商提供的互联网或专线组网，实现我省ETC发行服务系统与合作银行、ETC网点、拓展应用场景、移动发行终端、用户访问互联，向外提供相关ETC服务。技术要求如下：</w:t>
            </w:r>
            <w:r>
              <w:br/>
            </w:r>
            <w:r>
              <w:rPr>
                <w:rFonts w:ascii="仿宋_GB2312" w:hAnsi="仿宋_GB2312" w:cs="仿宋_GB2312" w:eastAsia="仿宋_GB2312"/>
              </w:rPr>
              <w:t xml:space="preserve"> 1.租用三条各100M互联网专线；</w:t>
            </w:r>
            <w:r>
              <w:br/>
            </w:r>
            <w:r>
              <w:rPr>
                <w:rFonts w:ascii="仿宋_GB2312" w:hAnsi="仿宋_GB2312" w:cs="仿宋_GB2312" w:eastAsia="仿宋_GB2312"/>
              </w:rPr>
              <w:t xml:space="preserve"> 2.IP地址要求：每条线路带两组8个互联网IP地址；</w:t>
            </w:r>
            <w:r>
              <w:br/>
            </w:r>
            <w:r>
              <w:rPr>
                <w:rFonts w:ascii="仿宋_GB2312" w:hAnsi="仿宋_GB2312" w:cs="仿宋_GB2312" w:eastAsia="仿宋_GB2312"/>
              </w:rPr>
              <w:t xml:space="preserve"> 3.每条专线上行带宽不小于80Mbps，下行带宽不小于90Mbps；</w:t>
            </w:r>
            <w:r>
              <w:br/>
            </w:r>
            <w:r>
              <w:rPr>
                <w:rFonts w:ascii="仿宋_GB2312" w:hAnsi="仿宋_GB2312" w:cs="仿宋_GB2312" w:eastAsia="仿宋_GB2312"/>
              </w:rPr>
              <w:t xml:space="preserve"> 4.省收费中心到互联网IP地址ping丢包率≤1%；</w:t>
            </w:r>
            <w:r>
              <w:br/>
            </w:r>
            <w:r>
              <w:rPr>
                <w:rFonts w:ascii="仿宋_GB2312" w:hAnsi="仿宋_GB2312" w:cs="仿宋_GB2312" w:eastAsia="仿宋_GB2312"/>
              </w:rPr>
              <w:t xml:space="preserve"> 5.省收费中心到互联网IP地址ping时延≤30ms；</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（八）ETC发行网点移动终端VPDN专线</w:t>
            </w:r>
            <w:r>
              <w:br/>
            </w:r>
            <w:r>
              <w:rPr>
                <w:rFonts w:ascii="仿宋_GB2312" w:hAnsi="仿宋_GB2312" w:cs="仿宋_GB2312" w:eastAsia="仿宋_GB2312"/>
              </w:rPr>
              <w:t xml:space="preserve"> 为方便网点移动办理，为网点配置移动发行终端设备进行ETC业务服务，该线路用于移动发行终端设备接入ETC发行系统。</w:t>
            </w:r>
            <w:r>
              <w:br/>
            </w:r>
            <w:r>
              <w:rPr>
                <w:rFonts w:ascii="仿宋_GB2312" w:hAnsi="仿宋_GB2312" w:cs="仿宋_GB2312" w:eastAsia="仿宋_GB2312"/>
              </w:rPr>
              <w:t xml:space="preserve"> 技术要求如下：</w:t>
            </w:r>
            <w:r>
              <w:br/>
            </w:r>
            <w:r>
              <w:rPr>
                <w:rFonts w:ascii="仿宋_GB2312" w:hAnsi="仿宋_GB2312" w:cs="仿宋_GB2312" w:eastAsia="仿宋_GB2312"/>
              </w:rPr>
              <w:t xml:space="preserve"> 1.租用一条2M专线和一条4M专线；</w:t>
            </w:r>
            <w:r>
              <w:br/>
            </w:r>
            <w:r>
              <w:rPr>
                <w:rFonts w:ascii="仿宋_GB2312" w:hAnsi="仿宋_GB2312" w:cs="仿宋_GB2312" w:eastAsia="仿宋_GB2312"/>
              </w:rPr>
              <w:t xml:space="preserve"> 2.2M专线带宽不小于2M、4M专线带宽不小于4M；</w:t>
            </w:r>
            <w:r>
              <w:br/>
            </w:r>
            <w:r>
              <w:rPr>
                <w:rFonts w:ascii="仿宋_GB2312" w:hAnsi="仿宋_GB2312" w:cs="仿宋_GB2312" w:eastAsia="仿宋_GB2312"/>
              </w:rPr>
              <w:t xml:space="preserve"> 3.省收费中心到互联网IP地址ping丢包率≤1%；</w:t>
            </w:r>
            <w:r>
              <w:br/>
            </w:r>
            <w:r>
              <w:rPr>
                <w:rFonts w:ascii="仿宋_GB2312" w:hAnsi="仿宋_GB2312" w:cs="仿宋_GB2312" w:eastAsia="仿宋_GB2312"/>
              </w:rPr>
              <w:t xml:space="preserve"> 4.省收费中心到互联网IP地址ping时延≤30ms；</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（九）部级在线密钥平台通信网络传输链路服务</w:t>
            </w:r>
            <w:r>
              <w:br/>
            </w:r>
            <w:r>
              <w:rPr>
                <w:rFonts w:ascii="仿宋_GB2312" w:hAnsi="仿宋_GB2312" w:cs="仿宋_GB2312" w:eastAsia="仿宋_GB2312"/>
              </w:rPr>
              <w:t xml:space="preserve"> 我省接入部级在线密钥平台的通信网络传输链路按照两条主线路、一条备用线路配置。 技术指标如下：                                         </w:t>
            </w:r>
            <w:r>
              <w:br/>
            </w:r>
            <w:r>
              <w:rPr>
                <w:rFonts w:ascii="仿宋_GB2312" w:hAnsi="仿宋_GB2312" w:cs="仿宋_GB2312" w:eastAsia="仿宋_GB2312"/>
              </w:rPr>
              <w:t xml:space="preserve"> 1.租用三条2M专线；</w:t>
            </w:r>
            <w:r>
              <w:br/>
            </w:r>
            <w:r>
              <w:rPr>
                <w:rFonts w:ascii="仿宋_GB2312" w:hAnsi="仿宋_GB2312" w:cs="仿宋_GB2312" w:eastAsia="仿宋_GB2312"/>
              </w:rPr>
              <w:t xml:space="preserve"> 2.每条带宽不小于2M专线；</w:t>
            </w:r>
            <w:r>
              <w:br/>
            </w:r>
            <w:r>
              <w:rPr>
                <w:rFonts w:ascii="仿宋_GB2312" w:hAnsi="仿宋_GB2312" w:cs="仿宋_GB2312" w:eastAsia="仿宋_GB2312"/>
              </w:rPr>
              <w:t xml:space="preserve"> 3.省收费中心到部路网中心ping丢包率≤1%；</w:t>
            </w:r>
            <w:r>
              <w:br/>
            </w:r>
            <w:r>
              <w:rPr>
                <w:rFonts w:ascii="仿宋_GB2312" w:hAnsi="仿宋_GB2312" w:cs="仿宋_GB2312" w:eastAsia="仿宋_GB2312"/>
              </w:rPr>
              <w:t xml:space="preserve"> 4.省收费中心到部路网中心ping时延≤30ms；</w:t>
            </w:r>
            <w:r>
              <w:br/>
            </w:r>
            <w:r>
              <w:rPr>
                <w:rFonts w:ascii="仿宋_GB2312" w:hAnsi="仿宋_GB2312" w:cs="仿宋_GB2312" w:eastAsia="仿宋_GB2312"/>
              </w:rPr>
              <w:t xml:space="preserve"> 5.利用不同的网络结构组合，使专线具有应对网络故障的能力，支持网络保护结构间的互通，网络切换时间小于50ms；</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（十）票据传输线路及端口保障</w:t>
            </w:r>
            <w:r>
              <w:br/>
            </w:r>
            <w:r>
              <w:rPr>
                <w:rFonts w:ascii="仿宋_GB2312" w:hAnsi="仿宋_GB2312" w:cs="仿宋_GB2312" w:eastAsia="仿宋_GB2312"/>
              </w:rPr>
              <w:t xml:space="preserve"> 为保障收费公路通行费电子票据业务正常运行，一级公路收费站交易信息经串口传输至数据安全传输终端加密后，通过专用 4G 链路上传至电子票据服务平台，需租用专线1条。技术指标如下：</w:t>
            </w:r>
            <w:r>
              <w:br/>
            </w:r>
            <w:r>
              <w:rPr>
                <w:rFonts w:ascii="仿宋_GB2312" w:hAnsi="仿宋_GB2312" w:cs="仿宋_GB2312" w:eastAsia="仿宋_GB2312"/>
              </w:rPr>
              <w:t xml:space="preserve"> 1.租用一条10M专线；</w:t>
            </w:r>
            <w:r>
              <w:br/>
            </w:r>
            <w:r>
              <w:rPr>
                <w:rFonts w:ascii="仿宋_GB2312" w:hAnsi="仿宋_GB2312" w:cs="仿宋_GB2312" w:eastAsia="仿宋_GB2312"/>
              </w:rPr>
              <w:t xml:space="preserve"> 2.提供专线卡给一级公路收费站使用；</w:t>
            </w:r>
            <w:r>
              <w:br/>
            </w:r>
            <w:r>
              <w:rPr>
                <w:rFonts w:ascii="仿宋_GB2312" w:hAnsi="仿宋_GB2312" w:cs="仿宋_GB2312" w:eastAsia="仿宋_GB2312"/>
              </w:rPr>
              <w:t xml:space="preserve"> 3.收费站到票据服务平台ping丢包率≤1%；</w:t>
            </w:r>
            <w:r>
              <w:br/>
            </w:r>
            <w:r>
              <w:rPr>
                <w:rFonts w:ascii="仿宋_GB2312" w:hAnsi="仿宋_GB2312" w:cs="仿宋_GB2312" w:eastAsia="仿宋_GB2312"/>
              </w:rPr>
              <w:t xml:space="preserve"> 4.收费站到票据服务平台ping丢包率≤200ms；</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（十一）数据提供保障</w:t>
            </w:r>
            <w:r>
              <w:br/>
            </w:r>
            <w:r>
              <w:rPr>
                <w:rFonts w:ascii="仿宋_GB2312" w:hAnsi="仿宋_GB2312" w:cs="仿宋_GB2312" w:eastAsia="仿宋_GB2312"/>
              </w:rPr>
              <w:t xml:space="preserve"> 根据工作需要，负责现有高速公路通行数据、视频数据对外数据端口开发，每次开发按5万元支付，最多不超过7次。</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三、服务要求</w:t>
            </w:r>
            <w:r>
              <w:br/>
            </w:r>
            <w:r>
              <w:rPr>
                <w:rFonts w:ascii="仿宋_GB2312" w:hAnsi="仿宋_GB2312" w:cs="仿宋_GB2312" w:eastAsia="仿宋_GB2312"/>
              </w:rPr>
              <w:t xml:space="preserve"> （一）服务基本要求</w:t>
            </w:r>
            <w:r>
              <w:br/>
            </w:r>
            <w:r>
              <w:rPr>
                <w:rFonts w:ascii="仿宋_GB2312" w:hAnsi="仿宋_GB2312" w:cs="仿宋_GB2312" w:eastAsia="仿宋_GB2312"/>
              </w:rPr>
              <w:t xml:space="preserve"> 1.服务要求</w:t>
            </w:r>
            <w:r>
              <w:br/>
            </w:r>
            <w:r>
              <w:rPr>
                <w:rFonts w:ascii="仿宋_GB2312" w:hAnsi="仿宋_GB2312" w:cs="仿宋_GB2312" w:eastAsia="仿宋_GB2312"/>
              </w:rPr>
              <w:t xml:space="preserve"> （1）供应商在合同签订后5个工作日内，完成线路分配、配置以及网络专线的开通调试工作。</w:t>
            </w:r>
            <w:r>
              <w:br/>
            </w:r>
            <w:r>
              <w:rPr>
                <w:rFonts w:ascii="仿宋_GB2312" w:hAnsi="仿宋_GB2312" w:cs="仿宋_GB2312" w:eastAsia="仿宋_GB2312"/>
              </w:rPr>
              <w:t xml:space="preserve"> （2）服务供应商在服务期内，提供7×24小时电话服务及免费上门服务。服务期内服务供应商承担服务、维护、维修所发生的一切费用。</w:t>
            </w:r>
            <w:r>
              <w:br/>
            </w:r>
            <w:r>
              <w:rPr>
                <w:rFonts w:ascii="仿宋_GB2312" w:hAnsi="仿宋_GB2312" w:cs="仿宋_GB2312" w:eastAsia="仿宋_GB2312"/>
              </w:rPr>
              <w:t xml:space="preserve"> （3）供应商提供的线路若租用第三方的，须提供相关服务商或运营商的项目授权书及售后服务承诺。</w:t>
            </w:r>
            <w:r>
              <w:br/>
            </w:r>
            <w:r>
              <w:rPr>
                <w:rFonts w:ascii="仿宋_GB2312" w:hAnsi="仿宋_GB2312" w:cs="仿宋_GB2312" w:eastAsia="仿宋_GB2312"/>
              </w:rPr>
              <w:t xml:space="preserve"> 2.服务依据</w:t>
            </w:r>
            <w:r>
              <w:br/>
            </w:r>
            <w:r>
              <w:rPr>
                <w:rFonts w:ascii="仿宋_GB2312" w:hAnsi="仿宋_GB2312" w:cs="仿宋_GB2312" w:eastAsia="仿宋_GB2312"/>
              </w:rPr>
              <w:t xml:space="preserve"> （1）GB/T51398-2019《光传送网（OTN）工程技术标准》；</w:t>
            </w:r>
            <w:r>
              <w:br/>
            </w:r>
            <w:r>
              <w:rPr>
                <w:rFonts w:ascii="仿宋_GB2312" w:hAnsi="仿宋_GB2312" w:cs="仿宋_GB2312" w:eastAsia="仿宋_GB2312"/>
              </w:rPr>
              <w:t xml:space="preserve"> （2）GB/T51398-2019光传送网（OTN）工程技术国家标准。</w:t>
            </w:r>
            <w:r>
              <w:br/>
            </w:r>
            <w:r>
              <w:rPr>
                <w:rFonts w:ascii="仿宋_GB2312" w:hAnsi="仿宋_GB2312" w:cs="仿宋_GB2312" w:eastAsia="仿宋_GB2312"/>
              </w:rPr>
              <w:t xml:space="preserve"> 3.售后技术支持服务</w:t>
            </w:r>
            <w:r>
              <w:br/>
            </w:r>
            <w:r>
              <w:rPr>
                <w:rFonts w:ascii="仿宋_GB2312" w:hAnsi="仿宋_GB2312" w:cs="仿宋_GB2312" w:eastAsia="仿宋_GB2312"/>
              </w:rPr>
              <w:t xml:space="preserve"> （1）供应商应具备完善的技术支持和售后服务体系，并承诺提供7*24小时的电话支持服务、故障处理服务等。</w:t>
            </w:r>
            <w:r>
              <w:br/>
            </w:r>
            <w:r>
              <w:rPr>
                <w:rFonts w:ascii="仿宋_GB2312" w:hAnsi="仿宋_GB2312" w:cs="仿宋_GB2312" w:eastAsia="仿宋_GB2312"/>
              </w:rPr>
              <w:t xml:space="preserve"> （2）网络故障承诺2小时到现场进行处理。</w:t>
            </w:r>
            <w:r>
              <w:br/>
            </w:r>
            <w:r>
              <w:rPr>
                <w:rFonts w:ascii="仿宋_GB2312" w:hAnsi="仿宋_GB2312" w:cs="仿宋_GB2312" w:eastAsia="仿宋_GB2312"/>
              </w:rPr>
              <w:t xml:space="preserve"> 4.供应商应配合采购方在法定时间内完成合同的签订工作，签订地点由采购方指定。</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（二）网络安全要求</w:t>
            </w:r>
            <w:r>
              <w:br/>
            </w:r>
            <w:r>
              <w:rPr>
                <w:rFonts w:ascii="仿宋_GB2312" w:hAnsi="仿宋_GB2312" w:cs="仿宋_GB2312" w:eastAsia="仿宋_GB2312"/>
              </w:rPr>
              <w:t xml:space="preserve"> 供应商具备健全的网络安全服务体系，具有网络安全隐患排查、完善加固、预警监测、应对攻击等服务能力，配备具有相关技术能力的网络安全专项人员，为本项目提供漏洞检测、策略配置、加固整改、安全监测、应急处置等保障措施，确保系统安全稳定运行，按照要求签署网络安全责任协议。</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（三）保密要求</w:t>
            </w:r>
            <w:r>
              <w:br/>
            </w:r>
            <w:r>
              <w:rPr>
                <w:rFonts w:ascii="仿宋_GB2312" w:hAnsi="仿宋_GB2312" w:cs="仿宋_GB2312" w:eastAsia="仿宋_GB2312"/>
              </w:rPr>
              <w:t xml:space="preserve"> 项目实施过程中所收集、产生的所有与本项目相关的文档、资料，包括文字、图片、表格、数字等各种形式的所属权均归属省收费中心，供应商必须对所涉及的内容保密，供应商及服务人员应按照要求签署保密协议。保密期限不受合同有效期的限制，在合同有效期结束后，供应商仍应承担保密义务。</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（四）供应链管理</w:t>
            </w:r>
            <w:r>
              <w:br/>
            </w:r>
            <w:r>
              <w:rPr>
                <w:rFonts w:ascii="仿宋_GB2312" w:hAnsi="仿宋_GB2312" w:cs="仿宋_GB2312" w:eastAsia="仿宋_GB2312"/>
              </w:rPr>
              <w:t xml:space="preserve"> 供应商应严格落实网络安全和保密及人员管理要求，承担相应人员的网络安全和保密及人员管理责任，按要求签订协议和承诺书。供应商应强化配备人员管理，项目团队成员一经确认，原则上不得更换。如因特殊情况确需调整，须提前15个日历天向采购人提交书面申请，经采购人审核同意后方可更换，且替换人员的职称、专业背景、从业年限及项目经验不得低于原定人员标准，确保项目服务质量不受影响。</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center"/>
            </w:pPr>
            <w:r>
              <w:rPr>
                <w:rFonts w:ascii="仿宋_GB2312" w:hAnsi="仿宋_GB2312" w:cs="仿宋_GB2312" w:eastAsia="仿宋_GB2312"/>
                <w:sz w:val="21"/>
                <w:b/>
              </w:rPr>
              <w:t>线路及端口清单</w:t>
            </w:r>
          </w:p>
          <w:tbl>
            <w:tblPr>
              <w:tblBorders>
                <w:top w:val="none" w:color="000000" w:sz="4"/>
                <w:left w:val="none" w:color="000000" w:sz="4"/>
                <w:bottom w:val="none" w:color="000000" w:sz="4"/>
                <w:right w:val="none" w:color="000000" w:sz="4"/>
                <w:insideH w:val="none"/>
                <w:insideV w:val="none"/>
              </w:tblBorders>
            </w:tblPr>
            <w:tblGrid>
              <w:gridCol w:w="200"/>
              <w:gridCol w:w="724"/>
              <w:gridCol w:w="509"/>
              <w:gridCol w:w="521"/>
              <w:gridCol w:w="358"/>
              <w:gridCol w:w="240"/>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线路名称</w:t>
                  </w:r>
                </w:p>
              </w:tc>
              <w:tc>
                <w:tcPr>
                  <w:tcW w:type="dxa" w:w="10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线路指标</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业务部门</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省收费中心至交通运输部路网监测与应急处置中心</w:t>
                  </w:r>
                  <w:r>
                    <w:rPr>
                      <w:rFonts w:ascii="仿宋_GB2312" w:hAnsi="仿宋_GB2312" w:cs="仿宋_GB2312" w:eastAsia="仿宋_GB2312"/>
                      <w:sz w:val="21"/>
                      <w:color w:val="000000"/>
                    </w:rPr>
                    <w:t>1Gbps专线通道</w:t>
                  </w:r>
                </w:p>
              </w:tc>
              <w:tc>
                <w:tcPr>
                  <w:tcW w:type="dxa" w:w="10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1条1000M专线</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技术科</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安全办公网络宽带</w:t>
                  </w:r>
                </w:p>
              </w:tc>
              <w:tc>
                <w:tcPr>
                  <w:tcW w:type="dxa" w:w="10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1条100M专线</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技术科</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收费公路收费数据传输线路</w:t>
                  </w:r>
                </w:p>
              </w:tc>
              <w:tc>
                <w:tcPr>
                  <w:tcW w:type="dxa" w:w="10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1条50M专线</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技术科</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省收费中心联网收费数据备用无线传输线路</w:t>
                  </w:r>
                </w:p>
              </w:tc>
              <w:tc>
                <w:tcPr>
                  <w:tcW w:type="dxa" w:w="10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1条50M专线</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技术科</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2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12122业务专线</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12122呼叫线路</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6条PRI电路，带宽为2M。</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监控科</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vMerge/>
                  <w:tcBorders>
                    <w:top w:val="none" w:color="000000" w:sz="4"/>
                    <w:left w:val="single" w:color="000000" w:sz="4"/>
                    <w:bottom w:val="none" w:color="000000" w:sz="4"/>
                    <w:right w:val="single" w:color="000000" w:sz="4"/>
                  </w:tcBorders>
                </w:tcPr>
                <w:p/>
              </w:tc>
              <w:tc>
                <w:tcPr>
                  <w:tcW w:type="dxa" w:w="724"/>
                  <w:vMerge/>
                  <w:tcBorders>
                    <w:top w:val="none" w:color="000000" w:sz="4"/>
                    <w:left w:val="none" w:color="000000" w:sz="4"/>
                    <w:bottom w:val="none" w:color="000000" w:sz="4"/>
                    <w:right w:val="single" w:color="000000" w:sz="4"/>
                  </w:tcBorders>
                </w:tc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12122互联网专线&amp;12122互联网备用专线</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2条50M专线</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监控科</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12328呼叫线路</w:t>
                  </w:r>
                </w:p>
              </w:tc>
              <w:tc>
                <w:tcPr>
                  <w:tcW w:type="dxa" w:w="10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1条PRI电路，带宽为2M。</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监控科</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ETC发行系统互联网专线</w:t>
                  </w:r>
                </w:p>
              </w:tc>
              <w:tc>
                <w:tcPr>
                  <w:tcW w:type="dxa" w:w="10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3条100M专线</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电子公司</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ETC发行网点移动终端VPDN专线</w:t>
                  </w:r>
                </w:p>
              </w:tc>
              <w:tc>
                <w:tcPr>
                  <w:tcW w:type="dxa" w:w="10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1条2M和1条4M专线</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电子公司</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部级在线密钥平台通信网络传输链路服务</w:t>
                  </w:r>
                </w:p>
              </w:tc>
              <w:tc>
                <w:tcPr>
                  <w:tcW w:type="dxa" w:w="10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3条2M</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结算科</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票据传输线路及端口保障</w:t>
                  </w:r>
                </w:p>
              </w:tc>
              <w:tc>
                <w:tcPr>
                  <w:tcW w:type="dxa" w:w="10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1条10M</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收费科、</w:t>
                  </w:r>
                  <w:r>
                    <w:rPr>
                      <w:rFonts w:ascii="仿宋_GB2312" w:hAnsi="仿宋_GB2312" w:cs="仿宋_GB2312" w:eastAsia="仿宋_GB2312"/>
                      <w:sz w:val="21"/>
                      <w:color w:val="000000"/>
                    </w:rPr>
                    <w:t>技术科</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数据保障</w:t>
                  </w:r>
                </w:p>
              </w:tc>
              <w:tc>
                <w:tcPr>
                  <w:tcW w:type="dxa" w:w="10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按需</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按需</w:t>
                  </w:r>
                </w:p>
              </w:tc>
              <w:tc>
                <w:tcPr>
                  <w:tcW w:type="dxa" w:w="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满足本项目采购需求中最低要求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满足本项目采购需求中最低要求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 线路租用服务期限：2026年7月1日至2027年6月30日； 票据传输线路及端口保障服务期限：2026年9月1日至2027年8月31日； 数据提供保障服务期限：2026年7月1日至2027年6月30日。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所提供服务应遵循中华人民共和国及地方的有关法律规范，达到采购人使用要求，由采购人组织验收。验收依据：（1）竞争性磋商文件；（2）磋商响应文件；（3）合同文本；（4）国家有关的验收标准及规范。 项目履约验收主体为采购人，验收工作流程为供应商提出验收申请之日起30日内，由采购人组织验收工作。本项目为一次性验收，采购人严格按照招标文件、投标文件和合同约定内容进行履约验收。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进度款，合同签订生效并进入服务期后按月支付服务费（供应商须向采购人出具合法有效的发票，采购人进行支付结算。首次支付时供应商应开具全额发票）； 服务期第二个月，供应商按照合同约定每月完成服务并提交服务报告，经采购人审核后，达到付款条件起15个工作日内，支付合同总金额的8.33%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进度款，服务期第三个月，供应商按照合同约定每月完成服务并提交服务报告，经采购人审核后，达到付款条件起15个工作日内，支付合同总金额的8.33%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进度款，服务期第四个月，供应商按照合同约定每月完成服务并提交服务报告，经采购人审核后，达到付款条件起15个工作日内，支付合同总金额的8.33%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进度款，服务期第五个月，供应商按照合同约定每月完成服务并提交服务报告，经采购人审核后，达到付款条件起15个工作日内，支付合同总金额的8.33%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其他，服务期第六个月，2026年12月申请年度最后一次支付时，供应商需提供剩余款项的有效银行保函（待到项目验收通过后中心退还保函），达到付款条件起15个工作日内，支付合同总金额的66.68%</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1.出现下列情况，每次扣除维护服务费1000元，从当期维护服务费中扣除。 （1）应做好巡检，形成巡检记录，因巡检不到位造成故障不能及时发现处置，每次扣除服务费1000元。 （2）若专线未达到要求带宽，对业务产生较大影响的，每次扣除服务费1000元。 2.出现下列情况，每次扣除维护服务费2000元，从当期维护服务费中扣除。 （1）未及时发现处置网络故障的，造成网络一般故障。 （2）节假日、重要活动等特殊时期的保障，应加强值班值守，若发现有人擅离职守。 （3）遇有网络故障，未在两小时内到达现场。 3.发生重大网络故障的，将按照国家，部、省网络相关规定，根据造成的实际损失、影响，按照相应的违约责任扣除服务费。 4.因供应商原因，导致合同无法按时签订的，视为对项目的自动放弃，采购方有权取消供应商的中标或成交资格、并有权依据采购文件中的约定及相关法律规定，追究供应商的违约责任。 5.供应商如不能及时开具全额发票或采购人要求的保函，采购人有权延时付款且不承担违约责任，直至供应商开具全额发票或采购人要求的保函后再进行付款。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一、采购项目需要落实的政府采购政策 （1）《国务院办公厅关于建立政府强制采购节能产品制度的通知》（国办发〔2007〕51号）；（2）《财政部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 二、政府采购信用融资政策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 三、磋商保证金退还 成交通知书发出之日起5个工作日内退还未成交供应商的磋商保证金，自政府采购合同签订之日起5个工作日内退还成交供应商的磋商保证金。 四、磋商文件中所有的商务要求均为实质性要求，供应商必须响应并满足。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其他说明.docx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供应商提供响应文件递交截止时间前三个月内基本开户银行出具的资信证明；或提供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供应商需提供参加本次政府采购活动前3年内在经营活动中没有重大违法记录的书面声明。供应商需在项目电子化交易系统中按要求上传相应证明文件并进行电子签章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供应商需提供具有履行合同所必需的设备和专业技术能力书面声明函。供应商需在项目电子化交易系统中按要求上传相应证明文件并进行电子签章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供应商须为具备《增值电信业务经营许可证》的法人或其分支机构，或授权代理商。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残疾人福利性单位声明函 中小企业声明函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磋商小组认为供应商响应报价明显低于其他通过符合性审查供应商的响应报价，有可能影响项目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分项报价表.docx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残疾人福利性单位声明函 商务应答表 标的清单 报价表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供应商提供针对本项目需求的认知和理解，包含项目背景分析和业务理解、重难点分析及应对措施、项目执行过程中的关键点分析等内容 二、评审标准： 1、完整性：内容必须全面，对评审内容中的各项要求有详细描述； 2、可实施性：切合本项目实际情况，提出清晰、合理的内容； 3、针对性：内容能够紧扣项目实际情况，内容科学合理。 三、赋分标准（满分9分） 需求分析每完全满足1项评审标准得3分，若每一项评审标准响应相对一般，每项得1.5分，满分9分。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供应商针对本项目提供详细的实施方案，包括①本项目互联网专线、数据专线、数字电路接入方案；②风险管控要求方案；③履约验收方案；④应急方案及响应时限等内容 二、评审标准： 1、完整性：内容必须全面，对评审内容中的各项要求有详细描述； 2、可实施性：切合本项目实际情况，提出清晰、合理的内容； 3、针对性：内容能够紧扣项目实际情况，内容科学合理。 三、赋分标准（满分18分） ①本项目互联网专线、数据专线、数字电路接入方案：每完全满足一项评审标准，每项得2分，若每一项评审标准内容相对一般，每项得1分，满分6分； ②风险管控要求方案：每完全满足一项评审标准，每项得1分，满分3分； ③履约验收方案：每完全满足一项评审标准，每项得1分，满分3分； ④应急方案及响应时限等内容：每完全满足一项评审标准，每项得2分，若每一项评审标准内容相对一般，每项得1分，满分6分。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组网技术方案</w:t>
            </w:r>
          </w:p>
        </w:tc>
        <w:tc>
          <w:tcPr>
            <w:tcW w:type="dxa" w:w="2492"/>
          </w:tcPr>
          <w:p>
            <w:pPr>
              <w:pStyle w:val="null3"/>
            </w:pPr>
            <w:r>
              <w:rPr>
                <w:rFonts w:ascii="仿宋_GB2312" w:hAnsi="仿宋_GB2312" w:cs="仿宋_GB2312" w:eastAsia="仿宋_GB2312"/>
              </w:rPr>
              <w:t>一、评审内容： 供应商针对本项目采购需求提供详细的组网技术方案，包括①技术标准及网络类型及结构②各部分详细光缆路由图、③配套设备部署④网速保障方案； 二、评审标准： 1、完整性：内容必须全面，对评审内容中的各项要求有详细描述； 2、可实施性：切合本项目实际情况，提出清晰、合理的内容； 3、针对性：内容能够紧扣项目实际情况，内容科学合理。 三、赋分标准（满分15分） ①技术标准及网络类型及结构：每完全满足一项评审标准每项得1.5分，满分4.5分； ②各部分详细光缆路由图：每完全满足一项评审标准每项得1.5分，满分4.5分； ③配套设备部署：每完全满足一项评审标准每项得1分，满分3分； ④网速保障方案：每完全满足一项评审标准每项得1分，满分3分。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3详细评审--组网技术方案.docx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供应商针对本项目运行过程提供完善的网络安全保障措施，包括①对业务可靠运行提出完备的预防策略、监控告警措施、解决方案②网络安全防护方案； 二、评审标准： 1、完整性：内容必须全面，对评审内容中的各项要求有详细描述； 2、可实施性：切合本项目实际情况，提出清晰、合理的内容； 3、针对性：内容能够紧扣项目实际情况，内容科学合理。 三、赋分标准（满分12分） ①对业务可靠运行提出完备的预防策略、监控告警措施、解决方案：每完全满足一项评审标准，每项得2分，满分6分； ②网络安全防护方案：每完全满足一项评审标准，每项得2分，满分6分。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4详细评审--安全保障措施.docx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拟派本项目的项目经理具有三年以上通信行业从业经验，能在第一时间判断故障点及处理故障，计3分。 注：需提供供应商为其缴纳的2025年至今任意一个月的社保证明材料或银行卡工资流水或劳动合同及从业经验证明材料，未提供或提供不全不计分。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5详细评审--项目经理.docx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1、供应商需提供针对本项目拟投入的团队人员相关信息，不限于团队人员分工、职责、数量名单及简历。 a.人员分工明确，职责清晰，能充分满足项目需求，可得4分； b.人员分工模糊，职责不明确，仅能满足部分需求，可得2分； c.未提供相关信息则不计分。 2、供应商需现场派驻一名驻场人员，驻场人员应提供驻场值守服务，驻场期间产生的一切费用由供应商提供，提供驻场服务方案，方案内容不限于：工作内容、工作时间、汇报机制、替换流程等，根据方案内容进行综合评审，计0-2分。 注：需提供供应商为以上人员缴纳的2025年至今任意一个月的社保证明材料或银行卡工资流水或劳动合同，未提供或提供不全不计分。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6详细评审--项目团队人员.docx</w:t>
            </w:r>
          </w:p>
        </w:tc>
      </w:tr>
      <w:tr>
        <w:tc>
          <w:tcPr>
            <w:tcW w:type="dxa" w:w="831"/>
            <w:vMerge/>
          </w:tcPr>
          <w:p/>
        </w:tc>
        <w:tc>
          <w:tcPr>
            <w:tcW w:type="dxa" w:w="1661"/>
          </w:tcPr>
          <w:p>
            <w:pPr>
              <w:pStyle w:val="null3"/>
            </w:pPr>
            <w:r>
              <w:rPr>
                <w:rFonts w:ascii="仿宋_GB2312" w:hAnsi="仿宋_GB2312" w:cs="仿宋_GB2312" w:eastAsia="仿宋_GB2312"/>
              </w:rPr>
              <w:t>服务保证措施</w:t>
            </w:r>
          </w:p>
        </w:tc>
        <w:tc>
          <w:tcPr>
            <w:tcW w:type="dxa" w:w="2492"/>
          </w:tcPr>
          <w:p>
            <w:pPr>
              <w:pStyle w:val="null3"/>
            </w:pPr>
            <w:r>
              <w:rPr>
                <w:rFonts w:ascii="仿宋_GB2312" w:hAnsi="仿宋_GB2312" w:cs="仿宋_GB2312" w:eastAsia="仿宋_GB2312"/>
              </w:rPr>
              <w:t>一、评审内容： 针对本项目服务目标和各项服务任务提出服务保证措施，内容包含：①服务质量保证措施；②技术支持服务方案；③ 服务承诺（服务质量承诺、保密承诺、应急响应承诺、服务时间、网络安全、数据安全保障） 二、评审标准： 1、完整性：内容必须全面，对评审内容中的各项要求有详细描述； 2、可实施性：切合本项目实际情况，提出清晰、合理的内容； 3、针对性：内容能够紧扣项目实际情况，内容科学合理。 三、赋分标准（满分12分） ①服务质量保证措施：每完全满足一项评审标准，每项得1.5分，满分4.5分； ②技术支持服务方案及故障维修响应时间：每完全满足一项评审标准，每项得1.5分，满分4.5分； ③ 服务承诺：每完全满足一项评审标准，每项得1分，满分3分。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7详细评审--服务保证措施.docx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提供2023年1月至今同类项目业绩证明，每提供1个有效业绩证明得1分，满分5分，不提供不得分。 （业绩时间以合同签订时间为准，并提供合同扫描件。复印件能清晰的表明合同双方名称、项目内容和签署日期。）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采用低价优先法计算，即满足磋商文件要求且最终磋商价格最低的磋商报价为评标基准价，其价格分为满分。 磋商报价得分＝（磋商基准价／最后磋商报价）×20。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其他说明.docx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详见附件：1详细评审--项目理解.docx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详见附件：3详细评审--组网技术方案.docx</w:t>
      </w:r>
    </w:p>
    <w:p>
      <w:pPr>
        <w:pStyle w:val="null3"/>
        <w:ind w:firstLine="960"/>
      </w:pPr>
      <w:r>
        <w:rPr>
          <w:rFonts w:ascii="仿宋_GB2312" w:hAnsi="仿宋_GB2312" w:cs="仿宋_GB2312" w:eastAsia="仿宋_GB2312"/>
        </w:rPr>
        <w:t>详见附件：4详细评审--安全保障措施.docx</w:t>
      </w:r>
    </w:p>
    <w:p>
      <w:pPr>
        <w:pStyle w:val="null3"/>
        <w:ind w:firstLine="960"/>
      </w:pPr>
      <w:r>
        <w:rPr>
          <w:rFonts w:ascii="仿宋_GB2312" w:hAnsi="仿宋_GB2312" w:cs="仿宋_GB2312" w:eastAsia="仿宋_GB2312"/>
        </w:rPr>
        <w:t>详见附件：5详细评审--项目经理.docx</w:t>
      </w:r>
    </w:p>
    <w:p>
      <w:pPr>
        <w:pStyle w:val="null3"/>
        <w:ind w:firstLine="960"/>
      </w:pPr>
      <w:r>
        <w:rPr>
          <w:rFonts w:ascii="仿宋_GB2312" w:hAnsi="仿宋_GB2312" w:cs="仿宋_GB2312" w:eastAsia="仿宋_GB2312"/>
        </w:rPr>
        <w:t>详见附件：6详细评审--项目团队人员.docx</w:t>
      </w:r>
    </w:p>
    <w:p>
      <w:pPr>
        <w:pStyle w:val="null3"/>
        <w:ind w:firstLine="960"/>
      </w:pPr>
      <w:r>
        <w:rPr>
          <w:rFonts w:ascii="仿宋_GB2312" w:hAnsi="仿宋_GB2312" w:cs="仿宋_GB2312" w:eastAsia="仿宋_GB2312"/>
        </w:rPr>
        <w:t>详见附件：7详细评审--服务保证措施.docx</w:t>
      </w:r>
    </w:p>
    <w:p>
      <w:pPr>
        <w:pStyle w:val="null3"/>
        <w:ind w:firstLine="960"/>
      </w:pPr>
      <w:r>
        <w:rPr>
          <w:rFonts w:ascii="仿宋_GB2312" w:hAnsi="仿宋_GB2312" w:cs="仿宋_GB2312" w:eastAsia="仿宋_GB2312"/>
        </w:rPr>
        <w:t>详见附件：8详细评审--业绩.docx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