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D0C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center"/>
        <w:rPr>
          <w:rFonts w:hint="default" w:ascii="仿宋" w:hAnsi="仿宋" w:eastAsia="仿宋" w:cs="仿宋"/>
          <w:i w:val="0"/>
          <w:iCs w:val="0"/>
          <w:caps w:val="0"/>
          <w:color w:val="auto"/>
          <w:spacing w:val="0"/>
          <w:bdr w:val="none" w:color="auto" w:sz="0" w:space="0"/>
          <w:shd w:val="clear" w:fill="FFFFFF"/>
          <w:lang w:val="en-US" w:eastAsia="zh-CN"/>
        </w:rPr>
      </w:pPr>
      <w:r>
        <w:rPr>
          <w:rFonts w:hint="eastAsia" w:ascii="仿宋" w:hAnsi="仿宋" w:eastAsia="仿宋" w:cs="仿宋"/>
          <w:i w:val="0"/>
          <w:iCs w:val="0"/>
          <w:caps w:val="0"/>
          <w:color w:val="auto"/>
          <w:spacing w:val="0"/>
          <w:bdr w:val="none" w:color="auto" w:sz="0" w:space="0"/>
          <w:shd w:val="clear" w:fill="FFFFFF"/>
          <w:lang w:val="en-US" w:eastAsia="zh-CN"/>
        </w:rPr>
        <w:t>采购需求</w:t>
      </w:r>
    </w:p>
    <w:p w14:paraId="00A367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ascii="仿宋" w:hAnsi="仿宋" w:eastAsia="仿宋" w:cs="仿宋"/>
          <w:i w:val="0"/>
          <w:iCs w:val="0"/>
          <w:caps w:val="0"/>
          <w:color w:val="auto"/>
          <w:spacing w:val="0"/>
          <w:bdr w:val="none" w:color="auto" w:sz="0" w:space="0"/>
          <w:shd w:val="clear" w:fill="FFFFFF"/>
        </w:rPr>
        <w:t>一、项目概况</w:t>
      </w:r>
    </w:p>
    <w:p w14:paraId="00BB79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为贯彻落实国家扩大内需战略，抢抓“金九银十”传统消费旺季机遇，激发西安市消费市场活力，充分发挥全市购物中心与商</w:t>
      </w:r>
      <w:bookmarkStart w:id="0" w:name="_GoBack"/>
      <w:bookmarkEnd w:id="0"/>
      <w:r>
        <w:rPr>
          <w:rFonts w:hint="eastAsia" w:ascii="仿宋" w:hAnsi="仿宋" w:eastAsia="仿宋" w:cs="仿宋"/>
          <w:i w:val="0"/>
          <w:iCs w:val="0"/>
          <w:caps w:val="0"/>
          <w:color w:val="auto"/>
          <w:spacing w:val="0"/>
          <w:bdr w:val="none" w:color="auto" w:sz="0" w:space="0"/>
          <w:shd w:val="clear" w:fill="FFFFFF"/>
        </w:rPr>
        <w:t>业街区的消费主阵地作用，本次活动借势秦腔文化热度，以“长安有戏·乐购金秋”为主题，创新探索“秦腔赋能商业”新模式，举办西安秦腔-商业联动暨金秋购物季系列活动。活动以“长安有戏·乐购金秋”为主题，通过秦腔进街区全城巡演（覆盖全市十家以上商业综合体）、主会场秦腔主题演艺、国际面包饮品节等板块，将秦腔文化引入商圈，聚焦烘焙饮品消费、夜间消费、节假日消费、商文旅融合消费四大板块，整合全市重点商圈、商业综合体、特色街区等资源，通过政企联动、线上线下融合模式，以文化引流带动商业消费，推动商文旅深度融合，助力西安国际消费中心城市建设。</w:t>
      </w:r>
    </w:p>
    <w:p w14:paraId="53877E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二、服务内容</w:t>
      </w:r>
    </w:p>
    <w:p w14:paraId="0028CD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1.开幕式及专场活动统筹</w:t>
      </w:r>
    </w:p>
    <w:p w14:paraId="77926E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场地租赁与搭建：主会场场地租赁，舞台搭建及灯光音响配置等。</w:t>
      </w:r>
    </w:p>
    <w:p w14:paraId="2876F03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活动内容：秦腔主题文艺演出、活动手册及消费指引地图发布等。</w:t>
      </w:r>
    </w:p>
    <w:p w14:paraId="5C06C0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执行要求：确保整体活动流程顺畅，包括领导致辞、启动仪式、活动手册发布等环节。</w:t>
      </w:r>
    </w:p>
    <w:p w14:paraId="4ADFE8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执行支持：摄影摄像、主持礼仪、照片直播、安全保障、氛围物料设计及制作。</w:t>
      </w:r>
    </w:p>
    <w:p w14:paraId="597ABED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2.专场活动执行</w:t>
      </w:r>
    </w:p>
    <w:p w14:paraId="5E20DC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主会场秦腔主题演艺：为期三天，涵盖秦腔惠民展演（经典唱段、传统折子戏）、秦腔互动体验区（脸谱彩绘、服饰试穿、唱腔教学、乐器体验）、秦腔主题创意打卡区等。</w:t>
      </w:r>
    </w:p>
    <w:p w14:paraId="3A8371C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国际面包饮品节执行：涵盖品牌展示与主题市集（含国际风味长廊、国潮新风实验室、长安本味记忆馆等板块）、品牌招商、互动体验区搭建（DIY工坊、秦腔脸谱面包DIY专场等）、舞台演艺组织（秦腔主题演出、汉服巡游、古风舞蹈、街头魔术等）、福利优惠活动等。</w:t>
      </w:r>
    </w:p>
    <w:p w14:paraId="62B7C1B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秦腔进街区全城巡演：组织专业秦腔演出团队，在全市十家以上商业综合体开展秦腔巡演。</w:t>
      </w:r>
    </w:p>
    <w:p w14:paraId="51A0623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3.趣味互动大赛</w:t>
      </w:r>
    </w:p>
    <w:p w14:paraId="3CECAED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组织系列趣味互动大赛，包括：畅饮挑战赛、垒绿豆糕大赛、秦腔脸谱彩绘大赛、秦腔唱腔模仿赛等，增强消费者互动参与感。</w:t>
      </w:r>
    </w:p>
    <w:p w14:paraId="5ECADB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4.线下联动与消费场景整合</w:t>
      </w:r>
    </w:p>
    <w:p w14:paraId="680324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组织联动全市十家以上商业综合体，各商场内商户统一开展优惠让利活动，重点组织烘焙类、饮品类、餐饮类、零售类商户参与。</w:t>
      </w:r>
    </w:p>
    <w:p w14:paraId="3C1E50E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统一店面装饰：为参与商户统一设计、制作并配送店面装饰物料（含门贴、台卡、窗贴等），物料融入秦腔元素设计，形成全域统一的品牌识别。</w:t>
      </w:r>
    </w:p>
    <w:p w14:paraId="4B3B42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秦腔主题氛围营造：各联动商场在巡演期间进行秦腔主题氛围布置，与巡演活动形成呼应。</w:t>
      </w:r>
    </w:p>
    <w:p w14:paraId="181F67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5.宣传推广服务</w:t>
      </w:r>
    </w:p>
    <w:p w14:paraId="3E65BD8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所有装饰物料采用“长安有戏·2026年金秋购物季”统一主视觉形象与标准标识系统；参与联动的商户及巡演排期信息编入官方消费指引地图，并在官方微信小程序、公众号开设专区展示；联合官方媒体、传统媒体、新媒体进行全程跟踪报道；参与联动商户授权使用“长安有戏·2026年金秋购物季推荐体验点”统一标识。</w:t>
      </w:r>
    </w:p>
    <w:p w14:paraId="0F4AC4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三、技术要求</w:t>
      </w:r>
    </w:p>
    <w:p w14:paraId="06ABF8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一）本次活动借势秦腔文化热度，以“长安有戏·乐购金秋”为主题，创新探索“秦腔赋能商业”新模式，聚焦烘焙饮品消费、夜间消费、节假日消费、商文旅融合消费四大板块，整合全市重点商圈、商业综合体、特色街区等消费场景，通过“政企联动、市区协同、线上线下融合”模式，打造覆盖全年龄段、全时段的消费盛宴。</w:t>
      </w:r>
    </w:p>
    <w:p w14:paraId="576B6C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二）邀请政府领导、行业协会代表、各商业综合体及特色街区负责人、参展品牌商户等嘉宾，共同参与金秋购物季开幕式暨国际面包饮品节，通过致辞、活动发布、互动体验等环节，见证活动盛况并深化政企协作，为打造金秋消费品牌凝聚多方合力。</w:t>
      </w:r>
    </w:p>
    <w:p w14:paraId="29108D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三）组织全市十家以上商业综合体及特色街区共同参与金秋购物季活动，各商场内商户统一开展优惠让利，重点组织烘焙类、饮品类、餐饮类、零售类商户参与，形成全域消费热点矩阵，扩大活动覆盖范围与品牌声量。</w:t>
      </w:r>
    </w:p>
    <w:p w14:paraId="648BAE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四）统一设计制作店面装饰物料（含门贴、台卡、窗贴等）并配送至各参与商户，物料融入秦腔元素设计，形成全域统一的品牌识别；统一授权“长安有戏·2026年金秋购物季推荐体验点”标识，形成长期品牌资产。</w:t>
      </w:r>
    </w:p>
    <w:p w14:paraId="7556283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（五）对参与金秋购物季的商户进行统一宣传推广，在官方平台开设“联动商户”专区展示，编入消费指引地图，联合主流媒体全程跟踪报道，联合大型媒体平台发起话题挑战。</w:t>
      </w:r>
    </w:p>
    <w:p w14:paraId="31BE7E6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四、服务要求</w:t>
      </w:r>
    </w:p>
    <w:p w14:paraId="7EE26C6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一）统筹执行包含一场开幕式暨主会场秦腔主题演艺（为期三天）、国际面包饮品节（涵盖品牌展示、主题市集等板块、互动体验、舞台演艺等内容）、秦腔进街区全城巡演、系列趣味互动大赛、覆盖全市十家以上商业综合体的联动促销活动以及统一店面装饰的全流程服务，确保活动主题鲜明、资源协同高效，并突出西安商文旅融合与消费升级的核心目标。</w:t>
      </w:r>
    </w:p>
    <w:p w14:paraId="321E4F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（二）充分做好资源协调与商户服务，联动全市重点商业综合体及烘焙、饮品品牌商户，推动优惠让利活动广泛落地，确保活动效果。</w:t>
      </w:r>
    </w:p>
    <w:p w14:paraId="0CE7F0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（三）供应商需具有策划团队、执行团队、宣传团队等服务人员。</w:t>
      </w:r>
    </w:p>
    <w:p w14:paraId="01C2666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（四）供应商必须按磋商文件的要求，在规定的时间内，完成活动策划方案和视觉设计。根据需要对方案进行完善，并严格执行方案，确保活动效果。</w:t>
      </w:r>
    </w:p>
    <w:p w14:paraId="3F4F4D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（五）结合实际，制订安防预案，严格抓好落实，在确保安全前提下组织实施活动。</w:t>
      </w:r>
    </w:p>
    <w:p w14:paraId="70C357F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（六）供应商必须配合做好事前、事中、事后绩效评价工作。活动结束后提交完整成果资料，包括影像记录及活动总结报告。</w:t>
      </w:r>
    </w:p>
    <w:p w14:paraId="71436A6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五、商务要求</w:t>
      </w:r>
    </w:p>
    <w:p w14:paraId="539AE9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（一）服务期限</w:t>
      </w:r>
    </w:p>
    <w:p w14:paraId="1A7FCB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自合同签订之日起至项目结束</w:t>
      </w:r>
    </w:p>
    <w:p w14:paraId="59622CC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（二）款项结算</w:t>
      </w:r>
    </w:p>
    <w:p w14:paraId="6FDFBE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1、进度款，合同签订后，供应商向采购方开具等额的增值税普通发票，采购方收到合规的发票，达到付款条件起15个工作日内，支付合同总金额的50.0%</w:t>
      </w:r>
    </w:p>
    <w:p w14:paraId="6826CB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2、进度款，供应商项目执行结束经验收合格后，向采购方开具等额的增值税普通发票。采购方收到合规的发票，达到付款条件起15个工作日内，支付合同总金额的50.0%</w:t>
      </w:r>
    </w:p>
    <w:p w14:paraId="0B642A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六、其他</w:t>
      </w:r>
    </w:p>
    <w:p w14:paraId="44895A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（一）进度要求</w:t>
      </w:r>
    </w:p>
    <w:p w14:paraId="5A0A49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1、合同签订后3个工作日内完成整体方案准备工作。</w:t>
      </w:r>
    </w:p>
    <w:p w14:paraId="3B48DE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2、中标单位在成果交付后10个工作日内提出验收申请。</w:t>
      </w:r>
    </w:p>
    <w:p w14:paraId="6CA942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（二）成果交付要求</w:t>
      </w:r>
    </w:p>
    <w:p w14:paraId="68528E2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按合同约定条款，保质保量完成整体活动执行，以文、图、视频形式整理成完整验收报告。</w:t>
      </w:r>
    </w:p>
    <w:p w14:paraId="590E92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（三）质量验收标准或规范</w:t>
      </w:r>
    </w:p>
    <w:p w14:paraId="461DDFC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1、服务期满后按照成交供应商所提供的资料及数据进行验收；</w:t>
      </w:r>
    </w:p>
    <w:p w14:paraId="7E656AF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2、最终验收：自合同签订之日起至完成全部项目内容，需按照采购人确定的时间完成交付并验收合格，验收合格后，填写验收单。</w:t>
      </w:r>
    </w:p>
    <w:p w14:paraId="3383E03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3、验收和评价方式</w:t>
      </w:r>
    </w:p>
    <w:p w14:paraId="220405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3.1  乙方提供的服务最终验收达不到磋商文件要求和磋商响应文件承诺及国家或行业标准，或在使用中发现甲方不能容忍的缺陷等，将视为验收不合格，乙方应在甲方要求的时间内无条件完善或要求赔付采购人损失。</w:t>
      </w:r>
    </w:p>
    <w:p w14:paraId="3E62756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3.2  若发现乙方有弄虚作假的，及在项目实施阶段故意或随意夸大服务，本项目合同解除，乙方赔偿甲方相应的损失。</w:t>
      </w:r>
    </w:p>
    <w:p w14:paraId="42A1F0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3.3  验收标准：按磋商文件、磋商响应文件等服务指标进行逐项验收，各项指标均应符合验收标准及要求。</w:t>
      </w:r>
    </w:p>
    <w:p w14:paraId="4BF85D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3.4  验收合格后，填写验收单，双方盖章、签字生效。</w:t>
      </w:r>
    </w:p>
    <w:p w14:paraId="3C5D0F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3.5  验收依据</w:t>
      </w:r>
    </w:p>
    <w:p w14:paraId="2409F0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3.5.1  合同文本。</w:t>
      </w:r>
    </w:p>
    <w:p w14:paraId="3CDBE2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3.5.2  磋商响应文件、磋商文件、澄清函。</w:t>
      </w:r>
    </w:p>
    <w:p w14:paraId="719D3E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3.5.3  国家和行业制定的相应的标准和规范。</w:t>
      </w:r>
    </w:p>
    <w:p w14:paraId="2C8A104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（四）违约责任</w:t>
      </w:r>
    </w:p>
    <w:p w14:paraId="2FEE29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1、按《中华人民共和国民法典》中的相关条款执行。</w:t>
      </w:r>
    </w:p>
    <w:p w14:paraId="551C6DD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2、乙方未按协议要求提供服务或服务质量不能满足协议要求的，甲方应当将供应商违约的情况以及拟采取的措施以书面形式报政府采购监管部门，根据政府采购监管部门的处理意见，甲方有权依据《中华人民共和国民法典》有关条款及合同约定终止合同，并要求乙方承担违约责任。同时，政府采购监管部门有权依据《中华人民共和国政府采购法》及相关法律法规对乙方的违法行为进行相应的处罚。</w:t>
      </w:r>
    </w:p>
    <w:p w14:paraId="431955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42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3、因为不可抗力因素造成无法按照原计划提供服务，双方互不追究违约责任，供应商如未按照采购要求完成服务内容，除应赔偿采购人所受全部损失以外，还应承担本合同总额20%的违约金。</w:t>
      </w:r>
    </w:p>
    <w:p w14:paraId="433944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jc w:val="both"/>
        <w:rPr>
          <w:rFonts w:hint="eastAsia" w:ascii="宋体" w:hAnsi="宋体" w:eastAsia="宋体" w:cs="宋体"/>
          <w:i w:val="0"/>
          <w:iCs w:val="0"/>
          <w:caps w:val="0"/>
          <w:color w:val="auto"/>
          <w:spacing w:val="0"/>
        </w:rPr>
      </w:pPr>
      <w:r>
        <w:rPr>
          <w:rFonts w:hint="eastAsia" w:ascii="仿宋" w:hAnsi="仿宋" w:eastAsia="仿宋" w:cs="仿宋"/>
          <w:i w:val="0"/>
          <w:iCs w:val="0"/>
          <w:caps w:val="0"/>
          <w:color w:val="auto"/>
          <w:spacing w:val="0"/>
          <w:bdr w:val="none" w:color="auto" w:sz="0" w:space="0"/>
          <w:shd w:val="clear" w:fill="FFFFFF"/>
        </w:rPr>
        <w:t>        4、如有异议另行协商。</w:t>
      </w:r>
    </w:p>
    <w:p w14:paraId="2183DF40">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414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2026-09-11T08:52:34Z</dcterms:created>
  <dc:creator>hi wang</dc:creator>
  <cp:lastModifiedBy>Y</cp:lastModifiedBy>
  <dcterms:modified xsi:type="dcterms:W3CDTF">2026-09-11T08:52:55Z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KSOTemplateDocerSaveRecord">
    <vt:lpwstr>eyJoZGlkIjoiZDIxMWVhM2Y3Mzk4YmMyZjRlY2Y5MTg1ZTVjOGFlMjAiLCJ1c2VySWQiOiIxMDMyOTA1OTI4In0=</vt:lpwstr>
  </property>
  <property fmtid="{D5CDD505-2E9C-101B-9397-08002B2CF9AE}" pid="4" name="ICV">
    <vt:lpwstr>E785014C4F27478B88C79C5CEDA27299_12</vt:lpwstr>
  </property>
</Properties>
</file>