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892C6">
      <w:pPr>
        <w:pStyle w:val="3"/>
        <w:pageBreakBefore w:val="0"/>
        <w:numPr>
          <w:ilvl w:val="0"/>
          <w:numId w:val="0"/>
        </w:numPr>
        <w:wordWrap/>
        <w:overflowPunct/>
        <w:topLinePunct w:val="0"/>
        <w:bidi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拟签订的合同文本</w:t>
      </w:r>
    </w:p>
    <w:p w14:paraId="2E349962">
      <w:pPr>
        <w:keepNext w:val="0"/>
        <w:keepLines w:val="0"/>
        <w:pageBreakBefore w:val="0"/>
        <w:tabs>
          <w:tab w:val="left" w:pos="735"/>
        </w:tabs>
        <w:kinsoku/>
        <w:wordWrap/>
        <w:overflowPunct/>
        <w:topLinePunct w:val="0"/>
        <w:autoSpaceDE w:val="0"/>
        <w:autoSpaceDN w:val="0"/>
        <w:bidi w:val="0"/>
        <w:adjustRightInd w:val="0"/>
        <w:snapToGrid w:val="0"/>
        <w:spacing w:before="240" w:beforeLines="100" w:line="360" w:lineRule="auto"/>
        <w:ind w:firstLine="482" w:firstLineChars="200"/>
        <w:rPr>
          <w:rFonts w:hint="eastAsia" w:ascii="宋体" w:hAnsi="宋体" w:eastAsia="宋体" w:cs="宋体"/>
          <w:b/>
          <w:bCs/>
          <w:color w:val="auto"/>
          <w:sz w:val="24"/>
          <w:szCs w:val="24"/>
          <w:lang w:val="zh-CN"/>
        </w:rPr>
      </w:pPr>
      <w:r>
        <w:rPr>
          <w:rFonts w:hint="eastAsia" w:ascii="宋体" w:hAnsi="宋体" w:eastAsia="宋体" w:cs="宋体"/>
          <w:b/>
          <w:bCs/>
          <w:color w:val="auto"/>
          <w:sz w:val="24"/>
          <w:szCs w:val="24"/>
          <w:lang w:val="zh-CN"/>
        </w:rPr>
        <w:t>甲方：</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lang w:val="zh-CN"/>
        </w:rPr>
        <w:t xml:space="preserve">         </w:t>
      </w:r>
      <w:r>
        <w:rPr>
          <w:rFonts w:hint="eastAsia" w:ascii="宋体" w:hAnsi="宋体" w:eastAsia="宋体" w:cs="宋体"/>
          <w:bCs/>
          <w:color w:val="auto"/>
          <w:sz w:val="24"/>
          <w:szCs w:val="24"/>
          <w:lang w:val="en-US" w:eastAsia="zh-CN"/>
        </w:rPr>
        <w:t xml:space="preserve">                    </w:t>
      </w:r>
    </w:p>
    <w:p w14:paraId="583FF712">
      <w:pPr>
        <w:keepNext w:val="0"/>
        <w:keepLines w:val="0"/>
        <w:pageBreakBefore w:val="0"/>
        <w:tabs>
          <w:tab w:val="left" w:pos="735"/>
        </w:tabs>
        <w:kinsoku/>
        <w:wordWrap/>
        <w:overflowPunct/>
        <w:topLinePunct w:val="0"/>
        <w:autoSpaceDE w:val="0"/>
        <w:autoSpaceDN w:val="0"/>
        <w:bidi w:val="0"/>
        <w:adjustRightInd w:val="0"/>
        <w:snapToGrid w:val="0"/>
        <w:spacing w:line="360" w:lineRule="auto"/>
        <w:ind w:firstLine="482" w:firstLineChars="200"/>
        <w:rPr>
          <w:rFonts w:hint="eastAsia" w:ascii="宋体" w:hAnsi="宋体" w:eastAsia="宋体" w:cs="宋体"/>
          <w:bCs/>
          <w:color w:val="auto"/>
          <w:sz w:val="24"/>
          <w:szCs w:val="24"/>
          <w:lang w:val="zh-CN"/>
        </w:rPr>
      </w:pPr>
      <w:r>
        <w:rPr>
          <w:rFonts w:hint="eastAsia" w:ascii="宋体" w:hAnsi="宋体" w:eastAsia="宋体" w:cs="宋体"/>
          <w:b/>
          <w:bCs/>
          <w:color w:val="auto"/>
          <w:sz w:val="24"/>
          <w:szCs w:val="24"/>
          <w:lang w:val="zh-CN"/>
        </w:rPr>
        <w:t xml:space="preserve">乙方： </w:t>
      </w:r>
      <w:r>
        <w:rPr>
          <w:rFonts w:hint="eastAsia" w:ascii="宋体" w:hAnsi="宋体" w:eastAsia="宋体" w:cs="宋体"/>
          <w:bCs/>
          <w:color w:val="auto"/>
          <w:sz w:val="24"/>
          <w:szCs w:val="24"/>
          <w:lang w:val="zh-CN"/>
        </w:rPr>
        <w:t xml:space="preserve">   </w:t>
      </w:r>
      <w:r>
        <w:rPr>
          <w:rFonts w:hint="eastAsia" w:ascii="宋体" w:hAnsi="宋体" w:eastAsia="宋体" w:cs="宋体"/>
          <w:bCs/>
          <w:color w:val="auto"/>
          <w:sz w:val="24"/>
          <w:szCs w:val="24"/>
          <w:lang w:val="en-US" w:eastAsia="zh-CN"/>
        </w:rPr>
        <w:t xml:space="preserve">                        </w:t>
      </w:r>
    </w:p>
    <w:p w14:paraId="4C2410F8">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一、合同内容</w:t>
      </w:r>
    </w:p>
    <w:p w14:paraId="406E93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（标的、数量、</w:t>
      </w:r>
      <w:r>
        <w:rPr>
          <w:rFonts w:hint="eastAsia" w:ascii="宋体" w:hAnsi="宋体" w:eastAsia="宋体" w:cs="宋体"/>
          <w:color w:val="auto"/>
          <w:sz w:val="24"/>
          <w:szCs w:val="24"/>
          <w:lang w:eastAsia="zh-CN"/>
        </w:rPr>
        <w:t>服务标准</w:t>
      </w:r>
      <w:r>
        <w:rPr>
          <w:rFonts w:hint="eastAsia" w:ascii="宋体" w:hAnsi="宋体" w:eastAsia="宋体" w:cs="宋体"/>
          <w:color w:val="auto"/>
          <w:sz w:val="24"/>
          <w:szCs w:val="24"/>
        </w:rPr>
        <w:t>等）:</w:t>
      </w:r>
    </w:p>
    <w:p w14:paraId="3697BC2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二、合同价款</w:t>
      </w:r>
    </w:p>
    <w:p w14:paraId="473EAA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w:t>
      </w:r>
      <w:r>
        <w:rPr>
          <w:rFonts w:hint="eastAsia" w:ascii="宋体" w:hAnsi="宋体" w:eastAsia="宋体" w:cs="宋体"/>
          <w:color w:val="auto"/>
          <w:sz w:val="24"/>
          <w:szCs w:val="24"/>
          <w:highlight w:val="none"/>
          <w:lang w:eastAsia="zh-CN"/>
        </w:rPr>
        <w:t>单价</w:t>
      </w:r>
      <w:r>
        <w:rPr>
          <w:rFonts w:hint="eastAsia" w:ascii="宋体" w:hAnsi="宋体" w:eastAsia="宋体" w:cs="宋体"/>
          <w:color w:val="auto"/>
          <w:sz w:val="24"/>
          <w:szCs w:val="24"/>
          <w:highlight w:val="none"/>
        </w:rPr>
        <w:t>：</w:t>
      </w:r>
    </w:p>
    <w:p w14:paraId="7CC42E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瓷器、玉器、金银器</w:t>
      </w:r>
      <w:r>
        <w:rPr>
          <w:rFonts w:hint="eastAsia" w:ascii="宋体" w:hAnsi="宋体" w:cs="宋体"/>
          <w:color w:val="auto"/>
          <w:sz w:val="24"/>
          <w:szCs w:val="24"/>
          <w:highlight w:val="none"/>
          <w:lang w:val="en-US" w:eastAsia="zh-CN"/>
        </w:rPr>
        <w:t>中标单价：小写</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元/张</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大写</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元/张</w:t>
      </w:r>
      <w:r>
        <w:rPr>
          <w:rFonts w:hint="eastAsia" w:ascii="宋体" w:hAnsi="宋体" w:cs="宋体"/>
          <w:color w:val="auto"/>
          <w:sz w:val="24"/>
          <w:szCs w:val="24"/>
          <w:highlight w:val="none"/>
          <w:lang w:eastAsia="zh-CN"/>
        </w:rPr>
        <w:t>；</w:t>
      </w:r>
    </w:p>
    <w:p w14:paraId="11FC4CC4">
      <w:pPr>
        <w:pStyle w:val="2"/>
        <w:pageBreakBefore w:val="0"/>
        <w:widowControl w:val="0"/>
        <w:numPr>
          <w:ilvl w:val="3"/>
          <w:numId w:val="0"/>
        </w:numPr>
        <w:kinsoku/>
        <w:wordWrap/>
        <w:overflowPunct/>
        <w:topLinePunct w:val="0"/>
        <w:autoSpaceDE/>
        <w:autoSpaceDN/>
        <w:bidi w:val="0"/>
        <w:spacing w:after="0" w:line="360" w:lineRule="auto"/>
        <w:ind w:firstLine="480" w:firstLineChars="200"/>
        <w:textAlignment w:val="auto"/>
        <w:rPr>
          <w:rFonts w:hint="default"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highlight w:val="none"/>
          <w:lang w:val="en-US" w:eastAsia="zh-CN" w:bidi="ar-SA"/>
        </w:rPr>
        <w:t>2）铜器、铁器、陶器(俑除外)中标单价：小写</w:t>
      </w:r>
      <w:r>
        <w:rPr>
          <w:rFonts w:hint="default"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cs="宋体"/>
          <w:b w:val="0"/>
          <w:bCs w:val="0"/>
          <w:color w:val="auto"/>
          <w:kern w:val="2"/>
          <w:sz w:val="24"/>
          <w:szCs w:val="24"/>
          <w:highlight w:val="none"/>
          <w:u w:val="single"/>
          <w:lang w:val="en-US" w:eastAsia="zh-CN" w:bidi="ar-SA"/>
        </w:rPr>
        <w:t xml:space="preserve">  </w:t>
      </w:r>
      <w:r>
        <w:rPr>
          <w:rFonts w:hint="default" w:ascii="宋体" w:hAnsi="宋体" w:eastAsia="宋体" w:cs="宋体"/>
          <w:b w:val="0"/>
          <w:bCs w:val="0"/>
          <w:color w:val="auto"/>
          <w:kern w:val="2"/>
          <w:sz w:val="24"/>
          <w:szCs w:val="24"/>
          <w:highlight w:val="none"/>
          <w:lang w:val="en-US" w:eastAsia="zh-CN" w:bidi="ar-SA"/>
        </w:rPr>
        <w:t>元/张，大写</w:t>
      </w:r>
      <w:r>
        <w:rPr>
          <w:rFonts w:hint="eastAsia" w:ascii="宋体" w:hAnsi="宋体" w:cs="宋体"/>
          <w:b w:val="0"/>
          <w:bCs w:val="0"/>
          <w:color w:val="auto"/>
          <w:kern w:val="2"/>
          <w:sz w:val="24"/>
          <w:szCs w:val="24"/>
          <w:highlight w:val="none"/>
          <w:u w:val="single"/>
          <w:lang w:val="en-US" w:eastAsia="zh-CN" w:bidi="ar-SA"/>
        </w:rPr>
        <w:t xml:space="preserve">   </w:t>
      </w:r>
      <w:r>
        <w:rPr>
          <w:rFonts w:hint="default" w:ascii="宋体" w:hAnsi="宋体" w:eastAsia="宋体" w:cs="宋体"/>
          <w:b w:val="0"/>
          <w:bCs w:val="0"/>
          <w:color w:val="auto"/>
          <w:kern w:val="2"/>
          <w:sz w:val="24"/>
          <w:szCs w:val="24"/>
          <w:highlight w:val="none"/>
          <w:lang w:val="en-US" w:eastAsia="zh-CN" w:bidi="ar-SA"/>
        </w:rPr>
        <w:t>元/张；</w:t>
      </w:r>
    </w:p>
    <w:p w14:paraId="48BC3BD0">
      <w:pPr>
        <w:pStyle w:val="2"/>
        <w:pageBreakBefore w:val="0"/>
        <w:widowControl w:val="0"/>
        <w:numPr>
          <w:ilvl w:val="3"/>
          <w:numId w:val="0"/>
        </w:numPr>
        <w:kinsoku/>
        <w:wordWrap/>
        <w:overflowPunct/>
        <w:topLinePunct w:val="0"/>
        <w:autoSpaceDE/>
        <w:autoSpaceDN/>
        <w:bidi w:val="0"/>
        <w:spacing w:after="0" w:line="360" w:lineRule="auto"/>
        <w:ind w:firstLine="480" w:firstLineChars="200"/>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zh-CN" w:bidi="ar-SA"/>
        </w:rPr>
        <w:t>陶俑中标单价：</w:t>
      </w:r>
      <w:r>
        <w:rPr>
          <w:rFonts w:hint="default" w:ascii="宋体" w:hAnsi="宋体" w:eastAsia="宋体" w:cs="宋体"/>
          <w:b w:val="0"/>
          <w:bCs w:val="0"/>
          <w:color w:val="auto"/>
          <w:kern w:val="2"/>
          <w:sz w:val="24"/>
          <w:szCs w:val="24"/>
          <w:highlight w:val="none"/>
          <w:lang w:val="en-US" w:eastAsia="zh-CN" w:bidi="ar-SA"/>
        </w:rPr>
        <w:t>小写</w:t>
      </w:r>
      <w:r>
        <w:rPr>
          <w:rFonts w:hint="default" w:ascii="宋体" w:hAnsi="宋体" w:eastAsia="宋体" w:cs="宋体"/>
          <w:b w:val="0"/>
          <w:bCs w:val="0"/>
          <w:color w:val="auto"/>
          <w:kern w:val="2"/>
          <w:sz w:val="24"/>
          <w:szCs w:val="24"/>
          <w:highlight w:val="none"/>
          <w:u w:val="single"/>
          <w:lang w:val="en-US" w:eastAsia="zh-CN" w:bidi="ar-SA"/>
        </w:rPr>
        <w:t xml:space="preserve">   </w:t>
      </w:r>
      <w:r>
        <w:rPr>
          <w:rFonts w:hint="default" w:ascii="宋体" w:hAnsi="宋体" w:eastAsia="宋体" w:cs="宋体"/>
          <w:b w:val="0"/>
          <w:bCs w:val="0"/>
          <w:color w:val="auto"/>
          <w:kern w:val="2"/>
          <w:sz w:val="24"/>
          <w:szCs w:val="24"/>
          <w:highlight w:val="none"/>
          <w:lang w:val="en-US" w:eastAsia="zh-CN" w:bidi="ar-SA"/>
        </w:rPr>
        <w:t>元/张，大写</w:t>
      </w:r>
      <w:r>
        <w:rPr>
          <w:rFonts w:hint="default"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cs="宋体"/>
          <w:b w:val="0"/>
          <w:bCs w:val="0"/>
          <w:color w:val="auto"/>
          <w:kern w:val="2"/>
          <w:sz w:val="24"/>
          <w:szCs w:val="24"/>
          <w:highlight w:val="none"/>
          <w:u w:val="single"/>
          <w:lang w:val="en-US" w:eastAsia="zh-CN" w:bidi="ar-SA"/>
        </w:rPr>
        <w:t xml:space="preserve">  </w:t>
      </w:r>
      <w:r>
        <w:rPr>
          <w:rFonts w:hint="default" w:ascii="宋体" w:hAnsi="宋体" w:eastAsia="宋体" w:cs="宋体"/>
          <w:b w:val="0"/>
          <w:bCs w:val="0"/>
          <w:color w:val="auto"/>
          <w:kern w:val="2"/>
          <w:sz w:val="24"/>
          <w:szCs w:val="24"/>
          <w:highlight w:val="none"/>
          <w:lang w:val="en-US" w:eastAsia="zh-CN" w:bidi="ar-SA"/>
        </w:rPr>
        <w:t>元/张；</w:t>
      </w:r>
    </w:p>
    <w:p w14:paraId="50C46918">
      <w:pPr>
        <w:pageBreakBefore w:val="0"/>
        <w:widowControl w:val="0"/>
        <w:kinsoku/>
        <w:wordWrap/>
        <w:overflowPunct/>
        <w:topLinePunct w:val="0"/>
        <w:autoSpaceDE/>
        <w:autoSpaceDN/>
        <w:bidi w:val="0"/>
        <w:spacing w:line="360" w:lineRule="auto"/>
        <w:ind w:firstLine="480" w:firstLineChars="200"/>
        <w:textAlignment w:val="auto"/>
        <w:rPr>
          <w:rFonts w:hint="default"/>
          <w:color w:val="auto"/>
          <w:lang w:val="en-US" w:eastAsia="zh-CN"/>
        </w:rPr>
      </w:pPr>
      <w:r>
        <w:rPr>
          <w:rFonts w:hint="eastAsia" w:ascii="宋体" w:hAnsi="宋体" w:cs="宋体"/>
          <w:b w:val="0"/>
          <w:bCs w:val="0"/>
          <w:color w:val="auto"/>
          <w:kern w:val="2"/>
          <w:sz w:val="24"/>
          <w:szCs w:val="24"/>
          <w:highlight w:val="none"/>
          <w:lang w:val="en-US" w:eastAsia="zh-CN" w:bidi="ar-SA"/>
        </w:rPr>
        <w:t>2.预算金额：小写</w:t>
      </w:r>
      <w:r>
        <w:rPr>
          <w:rFonts w:hint="eastAsia" w:ascii="宋体" w:hAnsi="宋体" w:cs="宋体"/>
          <w:b w:val="0"/>
          <w:bCs w:val="0"/>
          <w:color w:val="auto"/>
          <w:kern w:val="2"/>
          <w:sz w:val="24"/>
          <w:szCs w:val="24"/>
          <w:highlight w:val="none"/>
          <w:u w:val="single"/>
          <w:lang w:val="en-US" w:eastAsia="zh-CN" w:bidi="ar-SA"/>
        </w:rPr>
        <w:t>1050000.00</w:t>
      </w:r>
      <w:r>
        <w:rPr>
          <w:rFonts w:hint="eastAsia" w:ascii="宋体" w:hAnsi="宋体" w:cs="宋体"/>
          <w:b w:val="0"/>
          <w:bCs w:val="0"/>
          <w:color w:val="auto"/>
          <w:kern w:val="2"/>
          <w:sz w:val="24"/>
          <w:szCs w:val="24"/>
          <w:highlight w:val="none"/>
          <w:lang w:val="en-US" w:eastAsia="zh-CN" w:bidi="ar-SA"/>
        </w:rPr>
        <w:t>，大写</w:t>
      </w:r>
      <w:r>
        <w:rPr>
          <w:rFonts w:hint="eastAsia" w:ascii="宋体" w:hAnsi="宋体" w:cs="宋体"/>
          <w:b w:val="0"/>
          <w:bCs w:val="0"/>
          <w:color w:val="auto"/>
          <w:kern w:val="2"/>
          <w:sz w:val="24"/>
          <w:szCs w:val="24"/>
          <w:highlight w:val="none"/>
          <w:u w:val="single"/>
          <w:lang w:val="en-US" w:eastAsia="zh-CN" w:bidi="ar-SA"/>
        </w:rPr>
        <w:t>壹佰零伍万元整</w:t>
      </w:r>
    </w:p>
    <w:p w14:paraId="25529F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eastAsia="zh-CN"/>
        </w:rPr>
        <w:t>单价</w:t>
      </w:r>
      <w:r>
        <w:rPr>
          <w:rFonts w:hint="eastAsia" w:ascii="宋体" w:hAnsi="宋体" w:eastAsia="宋体" w:cs="宋体"/>
          <w:color w:val="auto"/>
          <w:sz w:val="24"/>
          <w:szCs w:val="24"/>
          <w:highlight w:val="none"/>
        </w:rPr>
        <w:t>包死，不受市场价变化的影响。</w:t>
      </w:r>
    </w:p>
    <w:p w14:paraId="016D28B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三、合同结算</w:t>
      </w:r>
    </w:p>
    <w:p w14:paraId="4FFC04EA">
      <w:pPr>
        <w:pStyle w:val="6"/>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付款方式</w:t>
      </w:r>
      <w:r>
        <w:rPr>
          <w:rFonts w:hint="eastAsia" w:ascii="宋体" w:hAnsi="宋体" w:eastAsia="宋体" w:cs="宋体"/>
          <w:color w:val="auto"/>
          <w:sz w:val="24"/>
          <w:szCs w:val="24"/>
          <w:highlight w:val="none"/>
        </w:rPr>
        <w:t>：</w:t>
      </w:r>
      <w:r>
        <w:rPr>
          <w:rFonts w:hint="eastAsia" w:ascii="宋体" w:hAnsi="宋体" w:eastAsia="宋体" w:cs="宋体"/>
          <w:color w:val="auto"/>
          <w:highlight w:val="none"/>
        </w:rPr>
        <w:t xml:space="preserve"> </w:t>
      </w:r>
      <w:r>
        <w:rPr>
          <w:rFonts w:hint="eastAsia" w:ascii="宋体" w:hAnsi="宋体" w:eastAsia="宋体" w:cs="宋体"/>
          <w:color w:val="auto"/>
          <w:sz w:val="24"/>
          <w:szCs w:val="24"/>
          <w:highlight w:val="none"/>
          <w:lang w:val="en-US" w:eastAsia="zh-CN"/>
        </w:rPr>
        <w:t>项目完成度达到预算金额的40%，且经采购人验收合格后</w:t>
      </w:r>
      <w:r>
        <w:rPr>
          <w:rFonts w:hint="eastAsia" w:ascii="宋体" w:hAnsi="宋体" w:eastAsia="宋体" w:cs="宋体"/>
          <w:color w:val="auto"/>
          <w:sz w:val="24"/>
          <w:szCs w:val="24"/>
          <w:highlight w:val="none"/>
          <w:lang w:eastAsia="zh-CN"/>
        </w:rPr>
        <w:t xml:space="preserve"> ，达到付款条件起 30 </w:t>
      </w:r>
      <w:r>
        <w:rPr>
          <w:rFonts w:hint="eastAsia" w:ascii="宋体" w:hAnsi="宋体" w:eastAsia="宋体" w:cs="宋体"/>
          <w:color w:val="auto"/>
          <w:sz w:val="24"/>
          <w:szCs w:val="24"/>
          <w:highlight w:val="none"/>
          <w:lang w:val="en-US" w:eastAsia="zh-CN"/>
        </w:rPr>
        <w:t>个工作</w:t>
      </w:r>
      <w:r>
        <w:rPr>
          <w:rFonts w:hint="eastAsia" w:ascii="宋体" w:hAnsi="宋体" w:eastAsia="宋体" w:cs="宋体"/>
          <w:color w:val="auto"/>
          <w:sz w:val="24"/>
          <w:szCs w:val="24"/>
          <w:highlight w:val="none"/>
          <w:lang w:eastAsia="zh-CN"/>
        </w:rPr>
        <w:t>日内，支</w:t>
      </w:r>
      <w:bookmarkStart w:id="5" w:name="_GoBack"/>
      <w:bookmarkEnd w:id="5"/>
      <w:r>
        <w:rPr>
          <w:rFonts w:hint="eastAsia" w:ascii="宋体" w:hAnsi="宋体" w:eastAsia="宋体" w:cs="宋体"/>
          <w:color w:val="auto"/>
          <w:sz w:val="24"/>
          <w:szCs w:val="24"/>
          <w:highlight w:val="none"/>
          <w:lang w:eastAsia="zh-CN"/>
        </w:rPr>
        <w:t xml:space="preserve">付合同总金额的 </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lang w:eastAsia="zh-CN"/>
        </w:rPr>
        <w:t>.00%。</w:t>
      </w:r>
      <w:r>
        <w:rPr>
          <w:rFonts w:hint="eastAsia" w:ascii="宋体" w:hAnsi="宋体" w:eastAsia="宋体" w:cs="宋体"/>
          <w:color w:val="auto"/>
          <w:sz w:val="24"/>
          <w:szCs w:val="24"/>
          <w:highlight w:val="none"/>
          <w:lang w:val="en-US" w:eastAsia="zh-CN"/>
        </w:rPr>
        <w:t>项目完成度达到预算金额的100%，且经采购人验收合格后</w:t>
      </w:r>
      <w:r>
        <w:rPr>
          <w:rFonts w:hint="eastAsia" w:ascii="宋体" w:hAnsi="宋体" w:eastAsia="宋体" w:cs="宋体"/>
          <w:color w:val="auto"/>
          <w:sz w:val="24"/>
          <w:szCs w:val="24"/>
          <w:highlight w:val="none"/>
          <w:lang w:eastAsia="zh-CN"/>
        </w:rPr>
        <w:t xml:space="preserve"> ，达到付款条件起 30 </w:t>
      </w:r>
      <w:r>
        <w:rPr>
          <w:rFonts w:hint="eastAsia" w:ascii="宋体" w:hAnsi="宋体" w:eastAsia="宋体" w:cs="宋体"/>
          <w:color w:val="auto"/>
          <w:sz w:val="24"/>
          <w:szCs w:val="24"/>
          <w:highlight w:val="none"/>
          <w:lang w:val="en-US" w:eastAsia="zh-CN"/>
        </w:rPr>
        <w:t>个工作</w:t>
      </w:r>
      <w:r>
        <w:rPr>
          <w:rFonts w:hint="eastAsia" w:ascii="宋体" w:hAnsi="宋体" w:eastAsia="宋体" w:cs="宋体"/>
          <w:color w:val="auto"/>
          <w:sz w:val="24"/>
          <w:szCs w:val="24"/>
          <w:highlight w:val="none"/>
          <w:lang w:eastAsia="zh-CN"/>
        </w:rPr>
        <w:t xml:space="preserve">日内，支付合同总金额的 </w:t>
      </w:r>
      <w:r>
        <w:rPr>
          <w:rFonts w:hint="eastAsia" w:ascii="宋体" w:hAnsi="宋体" w:eastAsia="宋体" w:cs="宋体"/>
          <w:color w:val="auto"/>
          <w:sz w:val="24"/>
          <w:szCs w:val="24"/>
          <w:highlight w:val="none"/>
          <w:lang w:val="en-US" w:eastAsia="zh-CN"/>
        </w:rPr>
        <w:t>60</w:t>
      </w:r>
      <w:r>
        <w:rPr>
          <w:rFonts w:hint="eastAsia" w:ascii="宋体" w:hAnsi="宋体" w:eastAsia="宋体" w:cs="宋体"/>
          <w:color w:val="auto"/>
          <w:sz w:val="24"/>
          <w:szCs w:val="24"/>
          <w:highlight w:val="none"/>
          <w:lang w:eastAsia="zh-CN"/>
        </w:rPr>
        <w:t>.00%。</w:t>
      </w:r>
    </w:p>
    <w:p w14:paraId="416A84C2">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2、结算方式：</w:t>
      </w:r>
      <w:r>
        <w:rPr>
          <w:rFonts w:hint="eastAsia" w:ascii="宋体" w:hAnsi="宋体" w:eastAsia="宋体" w:cs="宋体"/>
          <w:color w:val="auto"/>
          <w:sz w:val="24"/>
          <w:szCs w:val="24"/>
          <w:highlight w:val="none"/>
          <w:lang w:val="zh-CN"/>
        </w:rPr>
        <w:t>以成交供应商所报最终综合单价及实际工作量据实结算。</w:t>
      </w:r>
    </w:p>
    <w:p w14:paraId="41B92CA3">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w:t>
      </w:r>
      <w:r>
        <w:rPr>
          <w:rFonts w:hint="eastAsia" w:ascii="宋体" w:hAnsi="宋体" w:eastAsia="宋体" w:cs="宋体"/>
          <w:b/>
          <w:color w:val="auto"/>
          <w:sz w:val="24"/>
          <w:szCs w:val="24"/>
          <w:lang w:eastAsia="zh-CN"/>
        </w:rPr>
        <w:t>服务</w:t>
      </w:r>
      <w:r>
        <w:rPr>
          <w:rFonts w:hint="eastAsia" w:ascii="宋体" w:hAnsi="宋体" w:eastAsia="宋体" w:cs="宋体"/>
          <w:b/>
          <w:color w:val="auto"/>
          <w:sz w:val="24"/>
          <w:szCs w:val="24"/>
        </w:rPr>
        <w:t>期限、地点</w:t>
      </w:r>
    </w:p>
    <w:p w14:paraId="533F359A">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Cs/>
          <w:color w:val="auto"/>
          <w:sz w:val="24"/>
          <w:szCs w:val="24"/>
          <w:highlight w:val="none"/>
          <w:lang w:val="zh-CN" w:eastAsia="zh-CN"/>
        </w:rPr>
        <w:t>服务</w:t>
      </w:r>
      <w:r>
        <w:rPr>
          <w:rFonts w:hint="eastAsia" w:ascii="宋体" w:hAnsi="宋体" w:eastAsia="宋体" w:cs="宋体"/>
          <w:bCs/>
          <w:color w:val="auto"/>
          <w:sz w:val="24"/>
          <w:szCs w:val="24"/>
          <w:highlight w:val="none"/>
          <w:lang w:val="zh-CN"/>
        </w:rPr>
        <w:t>期限：以成交供应商所报最终综合单价及实际工作量据实结算，直至该合同包预算金额用完为止。</w:t>
      </w:r>
      <w:r>
        <w:rPr>
          <w:rFonts w:hint="eastAsia" w:ascii="宋体" w:hAnsi="宋体" w:eastAsia="宋体" w:cs="宋体"/>
          <w:bCs/>
          <w:color w:val="auto"/>
          <w:sz w:val="24"/>
          <w:szCs w:val="24"/>
          <w:highlight w:val="none"/>
          <w:lang w:val="en-US" w:eastAsia="zh-CN"/>
        </w:rPr>
        <w:t xml:space="preserve"> </w:t>
      </w:r>
    </w:p>
    <w:p w14:paraId="4307A2DE">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2、地点：</w:t>
      </w:r>
      <w:r>
        <w:rPr>
          <w:rFonts w:hint="eastAsia" w:ascii="宋体" w:hAnsi="宋体" w:eastAsia="宋体" w:cs="宋体"/>
          <w:color w:val="auto"/>
          <w:sz w:val="24"/>
          <w:szCs w:val="24"/>
          <w:lang w:val="zh-CN"/>
        </w:rPr>
        <w:t>按照采购人要求</w:t>
      </w:r>
    </w:p>
    <w:p w14:paraId="23700633">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五、甲方的权利和义务</w:t>
      </w:r>
    </w:p>
    <w:p w14:paraId="31DFB59E">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bookmarkStart w:id="0" w:name="_Toc19515390"/>
      <w:r>
        <w:rPr>
          <w:rFonts w:hint="eastAsia" w:ascii="宋体" w:hAnsi="宋体" w:eastAsia="宋体" w:cs="宋体"/>
          <w:color w:val="auto"/>
          <w:sz w:val="24"/>
          <w:szCs w:val="24"/>
        </w:rPr>
        <w:t>1、甲方有权对合同规定范围内乙方的</w:t>
      </w:r>
      <w:r>
        <w:rPr>
          <w:rFonts w:hint="eastAsia" w:ascii="宋体" w:hAnsi="宋体" w:eastAsia="宋体" w:cs="宋体"/>
          <w:color w:val="auto"/>
          <w:sz w:val="24"/>
          <w:szCs w:val="24"/>
          <w:u w:val="none"/>
        </w:rPr>
        <w:t>服务</w:t>
      </w:r>
      <w:r>
        <w:rPr>
          <w:rFonts w:hint="eastAsia" w:ascii="宋体" w:hAnsi="宋体" w:eastAsia="宋体" w:cs="宋体"/>
          <w:color w:val="auto"/>
          <w:sz w:val="24"/>
          <w:szCs w:val="24"/>
        </w:rPr>
        <w:t>行为进行监督和检查，拥有监管权。有权定期核对乙方提供</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u w:val="none"/>
        </w:rPr>
        <w:t>服务</w:t>
      </w:r>
      <w:r>
        <w:rPr>
          <w:rFonts w:hint="eastAsia" w:ascii="宋体" w:hAnsi="宋体" w:eastAsia="宋体" w:cs="宋体"/>
          <w:color w:val="auto"/>
          <w:sz w:val="24"/>
          <w:szCs w:val="24"/>
        </w:rPr>
        <w:t>。对甲方认为不合理的部分有权下达整改通知书，并要求乙方限期整改。</w:t>
      </w:r>
    </w:p>
    <w:p w14:paraId="598218DC">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2、负责检查监督乙方管理工作的实施及制度的执行情况。</w:t>
      </w:r>
    </w:p>
    <w:p w14:paraId="7ECBED0A">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3、根据本合同规定，按时向乙方支付应付费用。</w:t>
      </w:r>
    </w:p>
    <w:p w14:paraId="73251464">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4、国家法律、法规所规定由甲方承担的其它责任。</w:t>
      </w:r>
    </w:p>
    <w:p w14:paraId="268F0E3B">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六、乙方的权利和义务</w:t>
      </w:r>
    </w:p>
    <w:p w14:paraId="20F6DD44">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1、对本合同规定的委托范围内的项目享有管理权及服务义务。</w:t>
      </w:r>
    </w:p>
    <w:p w14:paraId="51045351">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2、根据本合同的规定向甲方收取相关服务费用，并有权在本项目管理范围内管理及合理使用。</w:t>
      </w:r>
    </w:p>
    <w:p w14:paraId="7CD0A934">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3、及时向甲方通告本项目执行范围内有关的重大事项，及时配合处理投诉。</w:t>
      </w:r>
    </w:p>
    <w:p w14:paraId="7C2543F9">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4、接受项目行业管理部门及政府有关部门的指导，接受甲方的监督。</w:t>
      </w:r>
    </w:p>
    <w:p w14:paraId="4213C053">
      <w:pPr>
        <w:keepNext w:val="0"/>
        <w:keepLines w:val="0"/>
        <w:pageBreakBefore w:val="0"/>
        <w:kinsoku/>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5、</w:t>
      </w:r>
      <w:r>
        <w:rPr>
          <w:rFonts w:hint="eastAsia" w:ascii="宋体" w:hAnsi="宋体" w:cs="宋体"/>
          <w:color w:val="auto"/>
          <w:sz w:val="24"/>
          <w:szCs w:val="24"/>
          <w:lang w:val="en-US" w:eastAsia="zh-CN"/>
        </w:rPr>
        <w:t>在项目实施过程中接触</w:t>
      </w:r>
      <w:r>
        <w:rPr>
          <w:rFonts w:hint="eastAsia" w:ascii="宋体" w:hAnsi="宋体" w:eastAsia="宋体" w:cs="宋体"/>
          <w:color w:val="auto"/>
          <w:sz w:val="24"/>
          <w:szCs w:val="24"/>
          <w:highlight w:val="none"/>
          <w:lang w:val="en-US" w:eastAsia="zh-CN"/>
        </w:rPr>
        <w:t>到的任何资料</w:t>
      </w:r>
      <w:r>
        <w:rPr>
          <w:rFonts w:hint="eastAsia" w:ascii="宋体" w:hAnsi="宋体" w:eastAsia="宋体" w:cs="宋体"/>
          <w:color w:val="auto"/>
          <w:sz w:val="24"/>
          <w:szCs w:val="24"/>
          <w:highlight w:val="none"/>
          <w:lang w:eastAsia="zh-CN"/>
        </w:rPr>
        <w:t>负有保密责任，不得擅自泄露资料。</w:t>
      </w:r>
    </w:p>
    <w:p w14:paraId="7F8BDCFA">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、国家法律、法规所规定由乙方承担的其它责任。</w:t>
      </w:r>
    </w:p>
    <w:bookmarkEnd w:id="0"/>
    <w:p w14:paraId="7C9CCE58">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bookmarkStart w:id="1" w:name="_Toc19515392"/>
      <w:r>
        <w:rPr>
          <w:rFonts w:hint="eastAsia" w:ascii="宋体" w:hAnsi="宋体" w:eastAsia="宋体" w:cs="宋体"/>
          <w:b/>
          <w:color w:val="auto"/>
          <w:sz w:val="24"/>
          <w:szCs w:val="24"/>
        </w:rPr>
        <w:t>七、违约责任</w:t>
      </w:r>
      <w:bookmarkEnd w:id="1"/>
    </w:p>
    <w:p w14:paraId="5DE85369">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sz w:val="24"/>
          <w:szCs w:val="24"/>
        </w:rPr>
        <w:t>1、违约责任按《中华人民共和国民法典》处理中的相关条款执行。</w:t>
      </w:r>
    </w:p>
    <w:p w14:paraId="397D80D5">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2、乙方应按合同约定时间完成各阶段合同义务，若发生延迟，甲方有权单方解除本合同，乙方应按照</w:t>
      </w:r>
      <w:r>
        <w:rPr>
          <w:rFonts w:hint="eastAsia" w:ascii="宋体" w:hAnsi="宋体" w:eastAsia="宋体" w:cs="宋体"/>
          <w:color w:val="auto"/>
          <w:sz w:val="24"/>
          <w:szCs w:val="24"/>
          <w:lang w:eastAsia="zh-CN"/>
        </w:rPr>
        <w:t>结算总金额</w:t>
      </w:r>
      <w:r>
        <w:rPr>
          <w:rFonts w:hint="eastAsia" w:ascii="宋体" w:hAnsi="宋体" w:eastAsia="宋体" w:cs="宋体"/>
          <w:color w:val="auto"/>
          <w:sz w:val="24"/>
          <w:szCs w:val="24"/>
        </w:rPr>
        <w:t>的10%向甲方支付违约金，并赔偿因此给甲方造成的损失。</w:t>
      </w:r>
    </w:p>
    <w:p w14:paraId="1ED02AA1">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、若乙方未经甲方同意泄露本合同约定的任何秘密信息的，乙方应按照合同总价款的10%向甲方支付违约金，并赔偿因此给甲方造成的损失。</w:t>
      </w:r>
    </w:p>
    <w:p w14:paraId="24F3F3AE">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、乙方保证向甲方开具发票的真实性、合法性，若乙方向甲方开具的发票存在真实性、合法性问题，给甲方造成损失的，乙方应按</w:t>
      </w:r>
      <w:r>
        <w:rPr>
          <w:rFonts w:hint="eastAsia" w:ascii="宋体" w:hAnsi="宋体" w:eastAsia="宋体" w:cs="宋体"/>
          <w:color w:val="auto"/>
          <w:sz w:val="24"/>
          <w:szCs w:val="24"/>
          <w:lang w:eastAsia="zh-CN"/>
        </w:rPr>
        <w:t>结算总金额</w:t>
      </w:r>
      <w:r>
        <w:rPr>
          <w:rFonts w:hint="eastAsia" w:ascii="宋体" w:hAnsi="宋体" w:eastAsia="宋体" w:cs="宋体"/>
          <w:color w:val="auto"/>
          <w:sz w:val="24"/>
          <w:szCs w:val="24"/>
        </w:rPr>
        <w:t>的10%向甲方支付违约金，违约金不足以弥补损失的，乙方还应承担相应赔偿责任；</w:t>
      </w:r>
    </w:p>
    <w:p w14:paraId="54741C61">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八、不可抗力事件处理</w:t>
      </w:r>
    </w:p>
    <w:p w14:paraId="6FA332D2">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10A92A3C">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2、本合同中的不可抗力指不能预见、不能避免并不能克服的客观情况。包括但不限于：自然灾害如地震、台风、洪水、火灾；政府行为、法律规定或其适用的变化或者其他任何无法预见、避免或者控制的事件。</w:t>
      </w:r>
    </w:p>
    <w:p w14:paraId="69C51118">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bookmarkStart w:id="2" w:name="_Toc19515393"/>
      <w:r>
        <w:rPr>
          <w:rFonts w:hint="eastAsia" w:ascii="宋体" w:hAnsi="宋体" w:eastAsia="宋体" w:cs="宋体"/>
          <w:b/>
          <w:color w:val="auto"/>
          <w:sz w:val="24"/>
          <w:szCs w:val="24"/>
        </w:rPr>
        <w:t>九、合同组成</w:t>
      </w:r>
      <w:bookmarkEnd w:id="2"/>
    </w:p>
    <w:p w14:paraId="35FAC1D2">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rPr>
        <w:t>通知书</w:t>
      </w:r>
    </w:p>
    <w:p w14:paraId="37EDD88D">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2、合同文件</w:t>
      </w:r>
    </w:p>
    <w:p w14:paraId="76C2281A">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3、国家相关规范及标准</w:t>
      </w:r>
    </w:p>
    <w:p w14:paraId="41703C53">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4、服务的要求及标准</w:t>
      </w:r>
    </w:p>
    <w:p w14:paraId="46566817">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cs="宋体"/>
          <w:color w:val="auto"/>
          <w:sz w:val="24"/>
          <w:szCs w:val="24"/>
          <w:lang w:val="en-US" w:eastAsia="zh-CN"/>
        </w:rPr>
        <w:t>竞争性磋商</w:t>
      </w:r>
      <w:r>
        <w:rPr>
          <w:rFonts w:hint="eastAsia" w:ascii="宋体" w:hAnsi="宋体" w:eastAsia="宋体" w:cs="宋体"/>
          <w:color w:val="auto"/>
          <w:sz w:val="24"/>
          <w:szCs w:val="24"/>
        </w:rPr>
        <w:t>文件</w:t>
      </w:r>
    </w:p>
    <w:p w14:paraId="59BAABF0">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cs="宋体"/>
          <w:color w:val="auto"/>
          <w:sz w:val="24"/>
          <w:szCs w:val="24"/>
          <w:lang w:val="en-US" w:eastAsia="zh-CN"/>
        </w:rPr>
        <w:t>响应</w:t>
      </w:r>
      <w:r>
        <w:rPr>
          <w:rFonts w:hint="eastAsia" w:ascii="宋体" w:hAnsi="宋体" w:eastAsia="宋体" w:cs="宋体"/>
          <w:color w:val="auto"/>
          <w:sz w:val="24"/>
          <w:szCs w:val="24"/>
        </w:rPr>
        <w:t>文件</w:t>
      </w:r>
    </w:p>
    <w:p w14:paraId="39662504">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bookmarkStart w:id="3" w:name="_Toc19515394"/>
      <w:r>
        <w:rPr>
          <w:rFonts w:hint="eastAsia" w:ascii="宋体" w:hAnsi="宋体" w:eastAsia="宋体" w:cs="宋体"/>
          <w:b/>
          <w:color w:val="auto"/>
          <w:sz w:val="24"/>
          <w:szCs w:val="24"/>
        </w:rPr>
        <w:t>十、解决争议的方法</w:t>
      </w:r>
      <w:bookmarkEnd w:id="3"/>
    </w:p>
    <w:p w14:paraId="49DE67C1">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凡因本合同引起的或与本合同有关的争议，双方应友好协商解决。协商不成时，双方均同意采用以下第（  ）种争议解决方式：</w:t>
      </w:r>
    </w:p>
    <w:p w14:paraId="100CCCAE">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（1）甲、乙双方均同意向（甲方所在地人民法院）提起诉讼。</w:t>
      </w:r>
    </w:p>
    <w:p w14:paraId="5644F36D">
      <w:pPr>
        <w:keepNext w:val="0"/>
        <w:keepLines w:val="0"/>
        <w:pageBreakBefore w:val="0"/>
        <w:widowControl/>
        <w:kinsoku/>
        <w:wordWrap/>
        <w:overflowPunct/>
        <w:topLinePunct w:val="0"/>
        <w:autoSpaceDE w:val="0"/>
        <w:autoSpaceDN w:val="0"/>
        <w:bidi w:val="0"/>
        <w:snapToGrid w:val="0"/>
        <w:spacing w:line="360" w:lineRule="auto"/>
        <w:ind w:right="-110"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（2）甲、乙双方均同意向（</w:t>
      </w:r>
      <w:r>
        <w:rPr>
          <w:rFonts w:hint="eastAsia" w:ascii="宋体" w:hAnsi="宋体" w:eastAsia="宋体" w:cs="宋体"/>
          <w:color w:val="auto"/>
          <w:kern w:val="0"/>
          <w:sz w:val="24"/>
          <w:szCs w:val="24"/>
        </w:rPr>
        <w:fldChar w:fldCharType="begin"/>
      </w:r>
      <w:r>
        <w:rPr>
          <w:rFonts w:hint="eastAsia" w:ascii="宋体" w:hAnsi="宋体" w:eastAsia="宋体" w:cs="宋体"/>
          <w:color w:val="auto"/>
          <w:kern w:val="0"/>
          <w:sz w:val="24"/>
          <w:szCs w:val="24"/>
        </w:rPr>
        <w:instrText xml:space="preserve"> HYPERLINK "http://www.baidu.com/s?wd=%E4%BB%B2%E8%A3%81%E5%A7%94%E5%91%98%E4%BC%9A&amp;tn=SE_PcZhidaonwhc_ngpagmjz&amp;rsv_dl=gh_pc_zhidao" \t "_blank" </w:instrText>
      </w:r>
      <w:r>
        <w:rPr>
          <w:rFonts w:hint="eastAsia" w:ascii="宋体" w:hAnsi="宋体" w:eastAsia="宋体" w:cs="宋体"/>
          <w:color w:val="auto"/>
          <w:kern w:val="0"/>
          <w:sz w:val="24"/>
          <w:szCs w:val="24"/>
        </w:rPr>
        <w:fldChar w:fldCharType="separate"/>
      </w:r>
      <w:r>
        <w:rPr>
          <w:rFonts w:hint="eastAsia" w:ascii="宋体" w:hAnsi="宋体" w:eastAsia="宋体" w:cs="宋体"/>
          <w:color w:val="auto"/>
          <w:kern w:val="0"/>
          <w:sz w:val="24"/>
          <w:szCs w:val="24"/>
        </w:rPr>
        <w:t>仲裁委员会</w:t>
      </w:r>
      <w:r>
        <w:rPr>
          <w:rFonts w:hint="eastAsia" w:ascii="宋体" w:hAnsi="宋体" w:eastAsia="宋体" w:cs="宋体"/>
          <w:color w:val="auto"/>
          <w:kern w:val="0"/>
          <w:sz w:val="24"/>
          <w:szCs w:val="24"/>
        </w:rPr>
        <w:fldChar w:fldCharType="end"/>
      </w:r>
      <w:r>
        <w:rPr>
          <w:rFonts w:hint="eastAsia" w:ascii="宋体" w:hAnsi="宋体" w:eastAsia="宋体" w:cs="宋体"/>
          <w:color w:val="auto"/>
          <w:kern w:val="0"/>
          <w:sz w:val="24"/>
          <w:szCs w:val="24"/>
        </w:rPr>
        <w:t>）提起仲裁。</w:t>
      </w:r>
    </w:p>
    <w:p w14:paraId="1CDD5740">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rPr>
      </w:pPr>
      <w:bookmarkStart w:id="4" w:name="_Toc19515395"/>
      <w:r>
        <w:rPr>
          <w:rFonts w:hint="eastAsia" w:ascii="宋体" w:hAnsi="宋体" w:eastAsia="宋体" w:cs="宋体"/>
          <w:b/>
          <w:color w:val="auto"/>
          <w:sz w:val="24"/>
          <w:szCs w:val="24"/>
        </w:rPr>
        <w:t>十一、合同生效及其它</w:t>
      </w:r>
      <w:bookmarkEnd w:id="4"/>
    </w:p>
    <w:p w14:paraId="226B45AC">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kern w:val="0"/>
          <w:sz w:val="24"/>
          <w:szCs w:val="24"/>
        </w:rPr>
        <w:t>1、合同未尽事宜、由甲、乙双方协商，作为合同补充，与原合同具有同等法律效力。</w:t>
      </w:r>
    </w:p>
    <w:p w14:paraId="797C5A46">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kern w:val="0"/>
          <w:sz w:val="24"/>
          <w:szCs w:val="24"/>
        </w:rPr>
        <w:t>2、 本合同一式</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份，甲方、乙方双方分别执</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份</w:t>
      </w:r>
      <w:r>
        <w:rPr>
          <w:rFonts w:hint="eastAsia" w:ascii="宋体" w:hAnsi="宋体" w:cs="宋体"/>
          <w:color w:val="auto"/>
          <w:kern w:val="0"/>
          <w:sz w:val="24"/>
          <w:szCs w:val="24"/>
          <w:lang w:val="en-US" w:eastAsia="zh-CN"/>
        </w:rPr>
        <w:t xml:space="preserve"> </w:t>
      </w:r>
      <w:r>
        <w:rPr>
          <w:rFonts w:hint="eastAsia" w:ascii="宋体" w:hAnsi="宋体" w:eastAsia="宋体" w:cs="宋体"/>
          <w:color w:val="auto"/>
          <w:kern w:val="0"/>
          <w:sz w:val="24"/>
          <w:szCs w:val="24"/>
        </w:rPr>
        <w:t>。</w:t>
      </w:r>
    </w:p>
    <w:p w14:paraId="714F98EA">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auto"/>
          <w:sz w:val="24"/>
          <w:szCs w:val="24"/>
        </w:rPr>
      </w:pPr>
      <w:r>
        <w:rPr>
          <w:rFonts w:hint="eastAsia" w:ascii="宋体" w:hAnsi="宋体" w:eastAsia="宋体" w:cs="宋体"/>
          <w:color w:val="auto"/>
          <w:kern w:val="0"/>
          <w:sz w:val="24"/>
          <w:szCs w:val="24"/>
        </w:rPr>
        <w:t>3、合同经甲乙双方盖章、签字后生效，合同签订地点为</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14:paraId="10E85C91">
      <w:pPr>
        <w:keepNext w:val="0"/>
        <w:keepLines w:val="0"/>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4、生效时间：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年 </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日</w:t>
      </w:r>
    </w:p>
    <w:tbl>
      <w:tblPr>
        <w:tblStyle w:val="4"/>
        <w:tblW w:w="0" w:type="auto"/>
        <w:jc w:val="center"/>
        <w:tblLayout w:type="fixed"/>
        <w:tblCellMar>
          <w:top w:w="0" w:type="dxa"/>
          <w:left w:w="108" w:type="dxa"/>
          <w:bottom w:w="0" w:type="dxa"/>
          <w:right w:w="108" w:type="dxa"/>
        </w:tblCellMar>
      </w:tblPr>
      <w:tblGrid>
        <w:gridCol w:w="4643"/>
        <w:gridCol w:w="4643"/>
      </w:tblGrid>
      <w:tr w14:paraId="2E2069CC">
        <w:tblPrEx>
          <w:tblCellMar>
            <w:top w:w="0" w:type="dxa"/>
            <w:left w:w="108" w:type="dxa"/>
            <w:bottom w:w="0" w:type="dxa"/>
            <w:right w:w="108" w:type="dxa"/>
          </w:tblCellMar>
        </w:tblPrEx>
        <w:trPr>
          <w:jc w:val="center"/>
        </w:trPr>
        <w:tc>
          <w:tcPr>
            <w:tcW w:w="4643" w:type="dxa"/>
            <w:noWrap w:val="0"/>
            <w:vAlign w:val="top"/>
          </w:tcPr>
          <w:p w14:paraId="07D1F99C">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甲方名称</w:t>
            </w:r>
            <w:r>
              <w:rPr>
                <w:rFonts w:hint="eastAsia" w:ascii="宋体" w:hAnsi="宋体" w:eastAsia="宋体" w:cs="宋体"/>
                <w:color w:val="auto"/>
                <w:spacing w:val="-20"/>
                <w:kern w:val="0"/>
                <w:sz w:val="24"/>
                <w:szCs w:val="24"/>
              </w:rPr>
              <w:t>（盖章）</w:t>
            </w:r>
            <w:r>
              <w:rPr>
                <w:rFonts w:hint="eastAsia" w:ascii="宋体" w:hAnsi="宋体" w:eastAsia="宋体" w:cs="宋体"/>
                <w:color w:val="auto"/>
                <w:kern w:val="0"/>
                <w:sz w:val="24"/>
                <w:szCs w:val="24"/>
              </w:rPr>
              <w:t>：</w:t>
            </w:r>
          </w:p>
          <w:p w14:paraId="4EB2F5A4">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2FBED685">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1593BD6C">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4549448A">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69CC0D6C">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帐号：</w:t>
            </w:r>
          </w:p>
        </w:tc>
        <w:tc>
          <w:tcPr>
            <w:tcW w:w="4643" w:type="dxa"/>
            <w:noWrap w:val="0"/>
            <w:vAlign w:val="top"/>
          </w:tcPr>
          <w:p w14:paraId="731E8E01">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乙方名称</w:t>
            </w:r>
            <w:r>
              <w:rPr>
                <w:rFonts w:hint="eastAsia" w:ascii="宋体" w:hAnsi="宋体" w:eastAsia="宋体" w:cs="宋体"/>
                <w:color w:val="auto"/>
                <w:spacing w:val="-20"/>
                <w:kern w:val="0"/>
                <w:sz w:val="24"/>
                <w:szCs w:val="24"/>
              </w:rPr>
              <w:t>（盖章）</w:t>
            </w:r>
            <w:r>
              <w:rPr>
                <w:rFonts w:hint="eastAsia" w:ascii="宋体" w:hAnsi="宋体" w:eastAsia="宋体" w:cs="宋体"/>
                <w:color w:val="auto"/>
                <w:kern w:val="0"/>
                <w:sz w:val="24"/>
                <w:szCs w:val="24"/>
              </w:rPr>
              <w:t>:</w:t>
            </w:r>
          </w:p>
          <w:p w14:paraId="4814EAB3">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p>
          <w:p w14:paraId="6B76663E">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代表人（签字）：</w:t>
            </w:r>
          </w:p>
          <w:p w14:paraId="470A2CF8">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电话：</w:t>
            </w:r>
          </w:p>
          <w:p w14:paraId="35347E28">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开户银行：</w:t>
            </w:r>
          </w:p>
          <w:p w14:paraId="6B687D93">
            <w:pPr>
              <w:keepNext w:val="0"/>
              <w:keepLines w:val="0"/>
              <w:pageBreakBefore w:val="0"/>
              <w:widowControl/>
              <w:kinsoku/>
              <w:wordWrap/>
              <w:overflowPunct/>
              <w:topLinePunct w:val="0"/>
              <w:autoSpaceDE w:val="0"/>
              <w:autoSpaceDN w:val="0"/>
              <w:bidi w:val="0"/>
              <w:snapToGrid w:val="0"/>
              <w:spacing w:line="360" w:lineRule="auto"/>
              <w:ind w:right="-154" w:firstLine="480" w:firstLineChars="200"/>
              <w:textAlignment w:val="bottom"/>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帐号：</w:t>
            </w:r>
          </w:p>
        </w:tc>
      </w:tr>
    </w:tbl>
    <w:p w14:paraId="1F001083">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AA03BD"/>
    <w:multiLevelType w:val="multilevel"/>
    <w:tmpl w:val="7EAA03BD"/>
    <w:lvl w:ilvl="0" w:tentative="0">
      <w:start w:val="1"/>
      <w:numFmt w:val="decimal"/>
      <w:suff w:val="space"/>
      <w:lvlText w:val="第%1章"/>
      <w:lvlJc w:val="left"/>
      <w:pPr>
        <w:ind w:left="0" w:firstLine="0"/>
      </w:pPr>
      <w:rPr>
        <w:rFonts w:hint="default" w:ascii="Times New Roman" w:hAnsi="Times New Roman" w:eastAsia="楷体"/>
        <w:b/>
        <w:i w:val="0"/>
        <w:sz w:val="30"/>
      </w:rPr>
    </w:lvl>
    <w:lvl w:ilvl="1" w:tentative="0">
      <w:start w:val="1"/>
      <w:numFmt w:val="decimal"/>
      <w:suff w:val="space"/>
      <w:lvlText w:val="%1.%2"/>
      <w:lvlJc w:val="left"/>
      <w:pPr>
        <w:ind w:left="0" w:firstLine="0"/>
      </w:pPr>
      <w:rPr>
        <w:rFonts w:hint="default" w:ascii="Times New Roman" w:hAnsi="Times New Roman" w:eastAsia="宋体"/>
        <w:b/>
        <w:i w:val="0"/>
        <w:sz w:val="30"/>
      </w:rPr>
    </w:lvl>
    <w:lvl w:ilvl="2" w:tentative="0">
      <w:start w:val="1"/>
      <w:numFmt w:val="decimal"/>
      <w:suff w:val="space"/>
      <w:lvlText w:val="%1.%2.%3"/>
      <w:lvlJc w:val="left"/>
      <w:pPr>
        <w:ind w:left="0" w:firstLine="0"/>
      </w:pPr>
      <w:rPr>
        <w:rFonts w:hint="default" w:ascii="Times New Roman" w:hAnsi="Times New Roman" w:eastAsia="宋体"/>
        <w:b/>
        <w:i w:val="0"/>
        <w:sz w:val="28"/>
      </w:rPr>
    </w:lvl>
    <w:lvl w:ilvl="3" w:tentative="0">
      <w:start w:val="1"/>
      <w:numFmt w:val="decimal"/>
      <w:pStyle w:val="2"/>
      <w:suff w:val="space"/>
      <w:lvlText w:val="%1.%2.%3.%4"/>
      <w:lvlJc w:val="left"/>
      <w:pPr>
        <w:ind w:left="420" w:firstLine="0"/>
      </w:pPr>
      <w:rPr>
        <w:rFonts w:hint="default" w:ascii="Times New Roman" w:hAnsi="Times New Roman" w:eastAsia="宋体"/>
        <w:b/>
        <w:i w:val="0"/>
        <w:sz w:val="28"/>
      </w:rPr>
    </w:lvl>
    <w:lvl w:ilvl="4" w:tentative="0">
      <w:start w:val="1"/>
      <w:numFmt w:val="decimal"/>
      <w:suff w:val="space"/>
      <w:lvlText w:val="%1.%2.%3.%4.%5"/>
      <w:lvlJc w:val="left"/>
      <w:pPr>
        <w:ind w:left="0" w:firstLine="0"/>
      </w:pPr>
      <w:rPr>
        <w:rFonts w:hint="default" w:ascii="Times New Roman" w:hAnsi="Times New Roman" w:eastAsia="宋体"/>
        <w:b/>
        <w:i w:val="0"/>
        <w:sz w:val="24"/>
      </w:rPr>
    </w:lvl>
    <w:lvl w:ilvl="5" w:tentative="0">
      <w:start w:val="1"/>
      <w:numFmt w:val="decimal"/>
      <w:suff w:val="space"/>
      <w:lvlText w:val="%1.%2.%3.%4.%5.%6"/>
      <w:lvlJc w:val="left"/>
      <w:pPr>
        <w:ind w:left="0" w:firstLine="0"/>
      </w:pPr>
      <w:rPr>
        <w:rFonts w:hint="default" w:ascii="Times New Roman" w:hAnsi="Times New Roman" w:eastAsia="宋体"/>
        <w:b/>
        <w:i w:val="0"/>
        <w:sz w:val="24"/>
      </w:rPr>
    </w:lvl>
    <w:lvl w:ilvl="6" w:tentative="0">
      <w:start w:val="1"/>
      <w:numFmt w:val="decimal"/>
      <w:suff w:val="space"/>
      <w:lvlText w:val="%1.%2.%3.%4.%5.%6.%7"/>
      <w:lvlJc w:val="left"/>
      <w:pPr>
        <w:ind w:left="0" w:firstLine="0"/>
      </w:pPr>
      <w:rPr>
        <w:rFonts w:hint="default" w:ascii="Times New Roman" w:hAnsi="Times New Roman" w:eastAsia="宋体"/>
        <w:b w:val="0"/>
        <w:i w:val="0"/>
        <w:sz w:val="24"/>
      </w:rPr>
    </w:lvl>
    <w:lvl w:ilvl="7" w:tentative="0">
      <w:start w:val="1"/>
      <w:numFmt w:val="decimal"/>
      <w:suff w:val="space"/>
      <w:lvlText w:val="%1.%2.%3.%4.%5.%6.%7.%8"/>
      <w:lvlJc w:val="left"/>
      <w:pPr>
        <w:ind w:left="0" w:firstLine="0"/>
      </w:pPr>
      <w:rPr>
        <w:rFonts w:hint="default" w:ascii="Times New Roman" w:hAnsi="Times New Roman" w:eastAsia="宋体"/>
        <w:b w:val="0"/>
        <w:i w:val="0"/>
        <w:sz w:val="24"/>
      </w:rPr>
    </w:lvl>
    <w:lvl w:ilvl="8" w:tentative="0">
      <w:start w:val="1"/>
      <w:numFmt w:val="decimal"/>
      <w:suff w:val="space"/>
      <w:lvlText w:val="%1.%2.%3.%4.%5.%6.%7.%8.%9"/>
      <w:lvlJc w:val="left"/>
      <w:pPr>
        <w:ind w:left="0" w:firstLine="0"/>
      </w:pPr>
      <w:rPr>
        <w:rFonts w:hint="default" w:ascii="Times New Roman" w:hAnsi="Times New Roman" w:eastAsia="宋体"/>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6007F"/>
    <w:rsid w:val="23C20DF2"/>
    <w:rsid w:val="25071235"/>
    <w:rsid w:val="2B465B0F"/>
    <w:rsid w:val="2E124885"/>
    <w:rsid w:val="33552B28"/>
    <w:rsid w:val="33C50B6F"/>
    <w:rsid w:val="3C5A2146"/>
    <w:rsid w:val="3D9D4518"/>
    <w:rsid w:val="408F6A49"/>
    <w:rsid w:val="56B0122E"/>
    <w:rsid w:val="5B962C0F"/>
    <w:rsid w:val="67CC41C3"/>
    <w:rsid w:val="6A795CC5"/>
    <w:rsid w:val="727A0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jc w:val="center"/>
      <w:outlineLvl w:val="0"/>
    </w:pPr>
    <w:rPr>
      <w:b/>
      <w:kern w:val="44"/>
      <w:sz w:val="30"/>
    </w:rPr>
  </w:style>
  <w:style w:type="paragraph" w:styleId="2">
    <w:name w:val="heading 4"/>
    <w:basedOn w:val="1"/>
    <w:next w:val="1"/>
    <w:unhideWhenUsed/>
    <w:qFormat/>
    <w:uiPriority w:val="9"/>
    <w:pPr>
      <w:keepNext/>
      <w:keepLines/>
      <w:numPr>
        <w:ilvl w:val="3"/>
        <w:numId w:val="1"/>
      </w:numPr>
      <w:spacing w:after="290" w:line="377" w:lineRule="auto"/>
      <w:outlineLvl w:val="3"/>
    </w:pPr>
    <w:rPr>
      <w:rFonts w:asciiTheme="majorHAnsi" w:hAnsiTheme="majorHAnsi"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1593</Words>
  <Characters>1627</Characters>
  <Lines>0</Lines>
  <Paragraphs>0</Paragraphs>
  <TotalTime>1</TotalTime>
  <ScaleCrop>false</ScaleCrop>
  <LinksUpToDate>false</LinksUpToDate>
  <CharactersWithSpaces>1734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2026-05-14T00:53:00Z</dcterms:created>
  <dc:creator>Administrator</dc:creator>
  <cp:lastModifiedBy>bling  bling</cp:lastModifiedBy>
  <dcterms:modified xsi:type="dcterms:W3CDTF">2026-06-11T01:24:03Z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611F6221ABB04ED3AE89D6F98E7B09E9_12</vt:lpwstr>
  </property>
</Properties>
</file>