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版本号：HRC-ZBDL-2026-0092120260717001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子午区域敬老院电力双回路改造建设工程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HRC-ZBDL-2026-00921</w:t>
      </w:r>
      <w:r>
        <w:br/>
      </w:r>
      <w:r>
        <w:br/>
      </w:r>
      <w:r>
        <w:br/>
      </w:r>
    </w:p>
    <w:p>
      <w:pPr>
        <w:pStyle w:val="null3"/>
        <w:jc w:val="center"/>
        <w:outlineLvl w:val="2"/>
      </w:pPr>
      <w:r>
        <w:rPr>
          <w:rFonts w:ascii="仿宋_GB2312" w:hAnsi="仿宋_GB2312" w:cs="仿宋_GB2312" w:eastAsia="仿宋_GB2312"/>
          <w:sz w:val="28"/>
          <w:b/>
        </w:rPr>
        <w:t>西安市长安区子午区域敬老院</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西安市长安区子午区域敬老院</w:t>
      </w:r>
      <w:r>
        <w:rPr>
          <w:rFonts w:ascii="仿宋_GB2312" w:hAnsi="仿宋_GB2312" w:cs="仿宋_GB2312" w:eastAsia="仿宋_GB2312"/>
        </w:rPr>
        <w:t>委托，拟对</w:t>
      </w:r>
      <w:r>
        <w:rPr>
          <w:rFonts w:ascii="仿宋_GB2312" w:hAnsi="仿宋_GB2312" w:cs="仿宋_GB2312" w:eastAsia="仿宋_GB2312"/>
        </w:rPr>
        <w:t>子午区域敬老院电力双回路改造建设工程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HRC-ZBDL-2026-00921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子午区域敬老院电力双回路改造建设工程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子午区域敬老院电力双回路改造建设工程，位于西安市长安区子午街道曹村委会曹村21号。主要工程内容包含400kVA变配电方案、计量方式、外线敷设及接地系统等。客户原装容量250kVA,本次新增150kVA,总容量增加至400kVA,拆除原有250kVA箱变,新建400kVA箱变一座,正式用电。</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采购包1（子午区域敬老院电力双回路改造建设工程）：属于专门面向中小企业采购。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1、有效的主体资格证明：提供合格有效的法人或者其他组织的营业执照等证明文件或自然人的身份证明。</w:t>
      </w:r>
    </w:p>
    <w:p>
      <w:pPr>
        <w:pStyle w:val="null3"/>
      </w:pPr>
      <w:r>
        <w:rPr>
          <w:rFonts w:ascii="仿宋_GB2312" w:hAnsi="仿宋_GB2312" w:cs="仿宋_GB2312" w:eastAsia="仿宋_GB2312"/>
        </w:rPr>
        <w:t>2、财务状况报告：提供2025年度经审计的财务会计报告，或其投标前三个月内基本存款账户开户银行出具的资信证明及基本存款账户开户证明，或财政部门认可的政府采购专业担保机构出具的投标担保函（以上三种形式的资料提供任何一种即可）。</w:t>
      </w:r>
    </w:p>
    <w:p>
      <w:pPr>
        <w:pStyle w:val="null3"/>
      </w:pPr>
      <w:r>
        <w:rPr>
          <w:rFonts w:ascii="仿宋_GB2312" w:hAnsi="仿宋_GB2312" w:cs="仿宋_GB2312" w:eastAsia="仿宋_GB2312"/>
        </w:rPr>
        <w:t>3、税收缴纳证明：提供开标截止日前一年内已缴纳的至少一个月的纳税证明或完税证明，依法免税的单位应提供相关证明材料。</w:t>
      </w:r>
    </w:p>
    <w:p>
      <w:pPr>
        <w:pStyle w:val="null3"/>
      </w:pPr>
      <w:r>
        <w:rPr>
          <w:rFonts w:ascii="仿宋_GB2312" w:hAnsi="仿宋_GB2312" w:cs="仿宋_GB2312" w:eastAsia="仿宋_GB2312"/>
        </w:rPr>
        <w:t>4、社会保障资金缴纳证明：提供投标截止日前一年内已缴存的至少一个月的社会保障资金缴存单据或社保机构开具的社会保险参保缴费情况证明，依法不需要缴纳社会保障资金的单位应提供相关证明材料。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5、履行合同所必需的设备和专业技术能力：供应商须提供具有履行合同所必需的设备和专业技术能力的承诺。</w:t>
      </w:r>
    </w:p>
    <w:p>
      <w:pPr>
        <w:pStyle w:val="null3"/>
      </w:pPr>
      <w:r>
        <w:rPr>
          <w:rFonts w:ascii="仿宋_GB2312" w:hAnsi="仿宋_GB2312" w:cs="仿宋_GB2312" w:eastAsia="仿宋_GB2312"/>
        </w:rPr>
        <w:t>6、无重大违法记录声明：参加政府采购活动前3年内，在经营活动中没有重大违法记录的书面声明。（供应商声明函）。</w:t>
      </w:r>
    </w:p>
    <w:p>
      <w:pPr>
        <w:pStyle w:val="null3"/>
      </w:pPr>
      <w:r>
        <w:rPr>
          <w:rFonts w:ascii="仿宋_GB2312" w:hAnsi="仿宋_GB2312" w:cs="仿宋_GB2312" w:eastAsia="仿宋_GB2312"/>
        </w:rPr>
        <w:t>7、法定代表人授权委托书/身份证明：法定代表人参加磋商的，须出示法定代表人身份证明和身份证复印件；法定代表人授权他人参加磋商的，须提供法定代表人授权委托书及被授权人身份证复印件。</w:t>
      </w:r>
    </w:p>
    <w:p>
      <w:pPr>
        <w:pStyle w:val="null3"/>
      </w:pPr>
      <w:r>
        <w:rPr>
          <w:rFonts w:ascii="仿宋_GB2312" w:hAnsi="仿宋_GB2312" w:cs="仿宋_GB2312" w:eastAsia="仿宋_GB2312"/>
        </w:rPr>
        <w:t>8、资质要求：供应商应具有建设行政主管部门核发的电力工程施工总承包三级及以上资质或输变电工程专业承包三级及以上资质；同时具备承装（修、试）电力设施许可证（承装类、承修类、承试类）五级以上（含五级）资质或新证三级以上（含三级）资质，并具备有效的安全生产许可证。</w:t>
      </w:r>
    </w:p>
    <w:p>
      <w:pPr>
        <w:pStyle w:val="null3"/>
      </w:pPr>
      <w:r>
        <w:rPr>
          <w:rFonts w:ascii="仿宋_GB2312" w:hAnsi="仿宋_GB2312" w:cs="仿宋_GB2312" w:eastAsia="仿宋_GB2312"/>
        </w:rPr>
        <w:t>9、项目经理：拟派项目经理具备合法有效的机电工程专业注册建造师二级（含二级）以上执业资格和安全生产考核合格证书（安全B证），在本单位注册且无在建工程（提供无在建承诺）。</w:t>
      </w:r>
    </w:p>
    <w:p>
      <w:pPr>
        <w:pStyle w:val="null3"/>
      </w:pPr>
      <w:r>
        <w:rPr>
          <w:rFonts w:ascii="仿宋_GB2312" w:hAnsi="仿宋_GB2312" w:cs="仿宋_GB2312" w:eastAsia="仿宋_GB2312"/>
        </w:rPr>
        <w:t>10、信用查询：供应商不得为“信用中国”网站（www.creditchina.gov.cn）中列入“失信被执行人”（中国执行信息公开网http://zxgk.court.gov.cn/shixin/）和“重大税收违法失信主体”名单的供应商，不得为中国政府采购网（www.ccgp.gov.cn）政府采购“严重违法失信行为记录名单”中被财政部门禁止参加政府采购活动的供应商。 （供应商可不提供，以代理机构现场查询为准）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西安市长安区子午区域敬老院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西安市长安区子午街办曹村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熊老师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15829035801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韩雄飞、张静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13092952687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代理服务费收费标准：（1）招标代理服务费以中标价为基数，参照国家计委颁发的《招标代理服务收费管理暂行办法》（计价格[2002]1980号）的收费标准收取，招标代理服务费不足6000元按6000元收取。 （2）工程造价咨询服务费参照陕价行发【2014】88号文件的收费标准收取，工程造价咨询服务费不足3000元按3000元收取。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西安市长安区子午区域敬老院</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西安市长安区子午区域敬老院</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西安市长安区子午区域敬老院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联系人：韩雄飞、张静</w:t>
      </w:r>
    </w:p>
    <w:p>
      <w:pPr>
        <w:pStyle w:val="null3"/>
      </w:pPr>
      <w:r>
        <w:rPr>
          <w:rFonts w:ascii="仿宋_GB2312" w:hAnsi="仿宋_GB2312" w:cs="仿宋_GB2312" w:eastAsia="仿宋_GB2312"/>
        </w:rPr>
        <w:t>联系电话：13092952687</w:t>
      </w:r>
    </w:p>
    <w:p>
      <w:pPr>
        <w:pStyle w:val="null3"/>
      </w:pPr>
      <w:r>
        <w:rPr>
          <w:rFonts w:ascii="仿宋_GB2312" w:hAnsi="仿宋_GB2312" w:cs="仿宋_GB2312" w:eastAsia="仿宋_GB2312"/>
        </w:rPr>
        <w:t>地址：西安市曲江新区雁翔路旺座曲江E座29层2901号</w:t>
      </w:r>
    </w:p>
    <w:p>
      <w:pPr>
        <w:pStyle w:val="null3"/>
      </w:pPr>
      <w:r>
        <w:rPr>
          <w:rFonts w:ascii="仿宋_GB2312" w:hAnsi="仿宋_GB2312" w:cs="仿宋_GB2312" w:eastAsia="仿宋_GB2312"/>
        </w:rPr>
        <w:t>邮编：710043</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410,000.00</w:t>
      </w:r>
    </w:p>
    <w:p>
      <w:pPr>
        <w:pStyle w:val="null3"/>
      </w:pPr>
      <w:r>
        <w:rPr>
          <w:rFonts w:ascii="仿宋_GB2312" w:hAnsi="仿宋_GB2312" w:cs="仿宋_GB2312" w:eastAsia="仿宋_GB2312"/>
        </w:rPr>
        <w:t>采购包最高限价（元）: 410,000.00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电力双回路改造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标的名称：电力双回路改造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子午区域敬老院电力双回路改造建设工程，位于西安市长安区子午街道曹村委会曹村</w:t>
            </w:r>
            <w:r>
              <w:rPr>
                <w:rFonts w:ascii="仿宋_GB2312" w:hAnsi="仿宋_GB2312" w:cs="仿宋_GB2312" w:eastAsia="仿宋_GB2312"/>
              </w:rPr>
              <w:t>21号。主要工程内容包含400kVA变配电方案、计量方式、外线敷设及接地系统等。客户原装容量250kVA,本次新增150kVA,总容量增加至400kVA,拆除原有250kVA箱变,新建400kVA箱变一座,正式用电。</w:t>
            </w:r>
          </w:p>
          <w:p>
            <w:pPr>
              <w:pStyle w:val="null3"/>
            </w:pPr>
            <w:r>
              <w:rPr>
                <w:rFonts w:ascii="仿宋_GB2312" w:hAnsi="仿宋_GB2312" w:cs="仿宋_GB2312" w:eastAsia="仿宋_GB2312"/>
              </w:rPr>
              <w:t>二、施工地点、计划工期及质量标准</w:t>
            </w:r>
          </w:p>
          <w:p>
            <w:pPr>
              <w:pStyle w:val="null3"/>
            </w:pPr>
            <w:r>
              <w:rPr>
                <w:rFonts w:ascii="仿宋_GB2312" w:hAnsi="仿宋_GB2312" w:cs="仿宋_GB2312" w:eastAsia="仿宋_GB2312"/>
              </w:rPr>
              <w:t>1</w:t>
            </w:r>
            <w:r>
              <w:rPr>
                <w:rFonts w:ascii="仿宋_GB2312" w:hAnsi="仿宋_GB2312" w:cs="仿宋_GB2312" w:eastAsia="仿宋_GB2312"/>
              </w:rPr>
              <w:t>.施工地点：采购人指定地点</w:t>
            </w:r>
          </w:p>
          <w:p>
            <w:pPr>
              <w:pStyle w:val="null3"/>
            </w:pPr>
            <w:r>
              <w:rPr>
                <w:rFonts w:ascii="仿宋_GB2312" w:hAnsi="仿宋_GB2312" w:cs="仿宋_GB2312" w:eastAsia="仿宋_GB2312"/>
              </w:rPr>
              <w:t>2</w:t>
            </w:r>
            <w:r>
              <w:rPr>
                <w:rFonts w:ascii="仿宋_GB2312" w:hAnsi="仿宋_GB2312" w:cs="仿宋_GB2312" w:eastAsia="仿宋_GB2312"/>
              </w:rPr>
              <w:t>.计划工期：</w:t>
            </w:r>
            <w:r>
              <w:rPr>
                <w:rFonts w:ascii="仿宋_GB2312" w:hAnsi="仿宋_GB2312" w:cs="仿宋_GB2312" w:eastAsia="仿宋_GB2312"/>
              </w:rPr>
              <w:t>60</w:t>
            </w:r>
            <w:r>
              <w:rPr>
                <w:rFonts w:ascii="仿宋_GB2312" w:hAnsi="仿宋_GB2312" w:cs="仿宋_GB2312" w:eastAsia="仿宋_GB2312"/>
              </w:rPr>
              <w:t>日历日</w:t>
            </w:r>
          </w:p>
          <w:p>
            <w:pPr>
              <w:pStyle w:val="null3"/>
            </w:pPr>
            <w:r>
              <w:rPr>
                <w:rFonts w:ascii="仿宋_GB2312" w:hAnsi="仿宋_GB2312" w:cs="仿宋_GB2312" w:eastAsia="仿宋_GB2312"/>
              </w:rPr>
              <w:t>3</w:t>
            </w:r>
            <w:r>
              <w:rPr>
                <w:rFonts w:ascii="仿宋_GB2312" w:hAnsi="仿宋_GB2312" w:cs="仿宋_GB2312" w:eastAsia="仿宋_GB2312"/>
              </w:rPr>
              <w:t>.质量标准：符合国家现行有关施工质量验收规范“合格”要求。</w:t>
            </w:r>
          </w:p>
          <w:p>
            <w:pPr>
              <w:pStyle w:val="null3"/>
            </w:pPr>
            <w:r>
              <w:rPr>
                <w:rFonts w:ascii="仿宋_GB2312" w:hAnsi="仿宋_GB2312" w:cs="仿宋_GB2312" w:eastAsia="仿宋_GB2312"/>
              </w:rPr>
              <w:t>4.质保期：一年</w:t>
            </w:r>
          </w:p>
          <w:p>
            <w:pPr>
              <w:pStyle w:val="null3"/>
              <w:jc w:val="both"/>
            </w:pPr>
            <w:r>
              <w:rPr>
                <w:rFonts w:ascii="仿宋_GB2312" w:hAnsi="仿宋_GB2312" w:cs="仿宋_GB2312" w:eastAsia="仿宋_GB2312"/>
                <w:sz w:val="21"/>
              </w:rPr>
              <w:t>具体内容详见电子招标书及工程量清单。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成交单位递交纸质文件（成交单位在领取中标通知书前将纸质版投标文件正本 1套、副本2 套打印盖章后提交至采购代理机构处，以便采购人进行留存备案等工作，成交单位应保持投标文件纸质版内容与电子版内容完全一致，否则将承担一切法律责任。纸质投标文件一律采用书籍(胶装)方式装订）。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会计报告，或其投标前三个月内基本存款账户开户银行出具的资信证明及基本存款账户开户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提供合格有效的法人或者其他组织的营业执照等证明文件或自然人的身份证明。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会计报告，或其投标前三个月内基本存款账户开户银行出具的资信证明及基本存款账户开户证明，或财政部门认可的政府采购专业担保机构出具的投标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提供开标截止日前一年内已缴纳的至少一个月的纳税证明或完税证明，依法免税的单位应提供相关证明材料。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履行合同所必需的设备和专业技术能力</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参加政府采购活动前3年内，在经营活动中没有重大违法记录的书面声明。（供应商声明函）。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法定代表人授权委托书/身份证明</w:t>
            </w:r>
          </w:p>
        </w:tc>
        <w:tc>
          <w:tcPr>
            <w:tcW w:type="dxa" w:w="3322"/>
          </w:tcPr>
          <w:p>
            <w:pPr>
              <w:pStyle w:val="null3"/>
            </w:pPr>
            <w:r>
              <w:rPr>
                <w:rFonts w:ascii="仿宋_GB2312" w:hAnsi="仿宋_GB2312" w:cs="仿宋_GB2312" w:eastAsia="仿宋_GB2312"/>
              </w:rPr>
              <w:t>法定代表人参加磋商的，须出示法定代表人身份证明和身份证复印件；法定代表人授权他人参加磋商的，须提供法定代表人授权委托书及被授权人身份证复印件。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应具有建设行政主管部门核发的电力工程施工总承包三级及以上资质或输变电工程专业承包三级及以上资质；同时具备承装（修、试）电力设施许可证（承装类、承修类、承试类）五级以上（含五级）资质或新证三级以上（含三级）资质，并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拟派项目经理具备合法有效的机电工程专业注册建造师二级（含二级）以上执业资格和安全生产考核合格证书（安全B证），在本单位注册且无在建工程（提供无在建承诺）。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zxgk.court.gov.cn/shixin/）和“重大税收违法失信主体”名单的供应商，不得为中国政府采购网（www.ccgp.gov.cn）政府采购“严重违法失信行为记录名单”中被财政部门禁止参加政府采购活动的供应商。 （供应商可不提供，以代理机构现场查询为准）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w:t>
            </w:r>
          </w:p>
        </w:tc>
        <w:tc>
          <w:tcPr>
            <w:tcW w:type="dxa" w:w="3322"/>
          </w:tcPr>
          <w:p>
            <w:pPr>
              <w:pStyle w:val="null3"/>
            </w:pPr>
            <w:r>
              <w:rPr>
                <w:rFonts w:ascii="仿宋_GB2312" w:hAnsi="仿宋_GB2312" w:cs="仿宋_GB2312" w:eastAsia="仿宋_GB2312"/>
              </w:rPr>
              <w:t>磋商响应文件的签署、加盖公章有效；</w:t>
            </w:r>
          </w:p>
        </w:tc>
        <w:tc>
          <w:tcPr>
            <w:tcW w:type="dxa" w:w="1661"/>
          </w:tcPr>
          <w:p>
            <w:pPr>
              <w:pStyle w:val="null3"/>
            </w:pPr>
            <w:r>
              <w:rPr>
                <w:rFonts w:ascii="仿宋_GB2312" w:hAnsi="仿宋_GB2312" w:cs="仿宋_GB2312" w:eastAsia="仿宋_GB2312"/>
              </w:rPr>
              <w:t>响应文件封面 已标价工程量清单 供应商认为需要提供的其他资料.docx 技术响应方案.docx 中小企业声明函 残疾人福利性单位声明函 报价函 标的清单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已标价工程量清单 供应商认为需要提供的其他资料.docx 技术响应方案.docx 中小企业声明函 残疾人福利性单位声明函 报价函 标的清单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 的规定</w:t>
            </w:r>
          </w:p>
        </w:tc>
        <w:tc>
          <w:tcPr>
            <w:tcW w:type="dxa" w:w="1661"/>
          </w:tcPr>
          <w:p>
            <w:pPr>
              <w:pStyle w:val="null3"/>
            </w:pPr>
            <w:r>
              <w:rPr>
                <w:rFonts w:ascii="仿宋_GB2312" w:hAnsi="仿宋_GB2312" w:cs="仿宋_GB2312" w:eastAsia="仿宋_GB2312"/>
              </w:rPr>
              <w:t>响应文件封面 已标价工程量清单 供应商认为需要提供的其他资料.docx 技术响应方案.docx 中小企业声明函 残疾人福利性单位声明函 报价函 标的清单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技术响应方案.docx 报价函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应符合磋商文件中的规定</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完全理解并接受法律法规和磋商文件对供应商合法经营的各类规约和责任义务要求，未出现法律、法规或磋商文件规定的其他无效情形的。</w:t>
            </w:r>
          </w:p>
        </w:tc>
        <w:tc>
          <w:tcPr>
            <w:tcW w:type="dxa" w:w="1661"/>
          </w:tcPr>
          <w:p>
            <w:pPr>
              <w:pStyle w:val="null3"/>
            </w:pPr>
            <w:r>
              <w:rPr>
                <w:rFonts w:ascii="仿宋_GB2312" w:hAnsi="仿宋_GB2312" w:cs="仿宋_GB2312" w:eastAsia="仿宋_GB2312"/>
              </w:rPr>
              <w:t>响应文件封面 已标价工程量清单 供应商认为需要提供的其他资料.docx 技术响应方案.docx 中小企业声明函 残疾人福利性单位声明函 报价函 标的清单 响应函 资格证明文件.docx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供应商提供针对本项目的施工方案，包括①施工整体流程；②关键部位施工方案(至少包含施工准备工作、施工方法、施工工艺) ；③提供施工过程中降低周边地区用电影响的技术组织措施；④劳动力配置计划。二、评审标准 1.完整性：方案必须全面，对评审内容中的各项要求有详细描述； 2.可实施性：切合本项目实际情况，实施步骤清晰、合理； 3.针对性：方案能够紧扣项目实际情况，内容科学合理。 三、赋分标准 满分得12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供应商针对本项目工期要求及施工特点，提供针对本项目的施工进度计划，包括①工期计划安排；②工期保证措施；③各专项任务的衔接；④雨雪季或寒冬季施工计划。 二、评审标准 1.完整性：方案必须全面，对评审内容中的各项要求有详细描述； 2.可实施性：切合本项目实际情况，实施步骤清晰、合理； 3.针对性：方案能够紧扣项目实际情况，内容科学合理。 三、赋分标准 满分得8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供应商提供针对本项目的质量保障方案，能够确保项目按照交付标准要求投入正常使用，包括但不限于①施工前期、中期、后期质量保障措施；②质量全过程检查制度；③质量保证承诺。保障杜绝安全隐患，满足长期用电需求。 二、评审标准 1.完整性：方案必须全面，对评审内容中的各项要求有详细描述； 2.可实施性：切合本项目实际情况，实施步骤清晰、合理； 3.针对性：方案能够紧扣项目实际情况，内容科学合理。 三、赋分标准 满分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一、评审内容 供应商提供针对本项目确保不可控因素导致无法供电或施工时电力不足的供电应急预案。 二、评审标准 1.完整性：方案必须全面，对评审内容中的各项要求有详细描述； 2.可实施性：切合本项目实际情况，实施步骤清晰、合理； 3.针对性：方案能够紧扣项目实际情况，内容科学合理。 三、赋分标准 满分得4分，评审内容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资源供应计划</w:t>
            </w:r>
          </w:p>
        </w:tc>
        <w:tc>
          <w:tcPr>
            <w:tcW w:type="dxa" w:w="2492"/>
          </w:tcPr>
          <w:p>
            <w:pPr>
              <w:pStyle w:val="null3"/>
            </w:pPr>
            <w:r>
              <w:rPr>
                <w:rFonts w:ascii="仿宋_GB2312" w:hAnsi="仿宋_GB2312" w:cs="仿宋_GB2312" w:eastAsia="仿宋_GB2312"/>
              </w:rPr>
              <w:t>一、评审内容 供应商针对本项目施工内容及需求拟定资源供应计划，包括但不限于①主要材料需求计划、②机械设备需求计划、③临时设施布置计划。 二、评审标准 计划制定应符合项目需求、充分考虑各项工程技术及材料要求。 三、赋分标准 满分得9分，评审内容每缺一项扣3分，每有一处缺陷扣1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供应商结合工程环境、特点，提供针对本项目的安全文明施工措施包括①安全管理人员配备②安全生产管理制度及各道工序安全技术措施③现场文明施工计划和环境保护措施④施工现场扬尘预防措施。 二、评审标准 内容应符合采购项目特点及要求，描述详尽且有利于保障项目实施安全和现场环境保护。 三、赋分标准 满分得8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项目组织架构</w:t>
            </w:r>
          </w:p>
        </w:tc>
        <w:tc>
          <w:tcPr>
            <w:tcW w:type="dxa" w:w="2492"/>
          </w:tcPr>
          <w:p>
            <w:pPr>
              <w:pStyle w:val="null3"/>
            </w:pPr>
            <w:r>
              <w:rPr>
                <w:rFonts w:ascii="仿宋_GB2312" w:hAnsi="仿宋_GB2312" w:cs="仿宋_GB2312" w:eastAsia="仿宋_GB2312"/>
              </w:rPr>
              <w:t>一、评审内容 针对项目具体情况制定详细的人员配备方案，方案内容包含：①项目拟派人员架构、人员分工及岗位职责；②拟投入人员的相关技能证书；③项目经理及其他技术人员经验；④人员管理制度。 二、评审标准 人员配置内容全面详细、针对性强、符合本项目采购需求，能保障本项目实施。 三、赋分标准 满分得10分，评审内容每缺一项扣2.5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供应商针对本项目质保期内有详细具体的售后服务方案，包括但不限于①售后服务内容、②售后人员配备、③紧急抢修事故的维修措施。 二、评审标准 1.完整性：方案必须全面，对评审内容中的各项要求有详细描述； 2.可实施性：切合本项目实际情况，实施步骤清晰、合理； 3.针对性：方案能够紧扣项目实际情况，内容科学合理。 三、赋分标准 满分得6分，评审内容每缺一项扣2分，每有一处缺陷扣0.5分，扣完为止。（评审内容中的缺陷是指：内容不完整或缺少关键点、脱离实际、可操作性差、内容描述过于简单、条理不清晰、非专门针对本项目或不适用本项目特性、套用其他项目内容；对同一问题前后表述矛盾；存在逻辑漏洞、科学原理或常识错误；不利于本项目目标的实现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供应商认为需要提供的其他资料.docx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提供2023年1月1日至今同类项目业绩证明文件。每提供1份，得2分，满分4分。（业绩证明文件以合同原件的扫描件并加盖供应商公章为准，时间以合同签订时间为准。）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技术响应方案.docx</w:t>
            </w:r>
          </w:p>
          <w:p>
            <w:pPr>
              <w:pStyle w:val="null3"/>
            </w:pPr>
            <w:r>
              <w:rPr>
                <w:rFonts w:ascii="仿宋_GB2312" w:hAnsi="仿宋_GB2312" w:cs="仿宋_GB2312" w:eastAsia="仿宋_GB2312"/>
              </w:rPr>
              <w:t>供应商认为需要提供的其他资料.docx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经资格审查、符合性审查合格的磋商响应文件，其磋商报价为有效磋商报价。满足磋商文件要求且磋商价格最低的磋商报价为评标基准价，其价格分为满分。价格分按照下列公式计算。 报价总得分=（评标基准价/磋商总报价）×30 注：本项目专门面向中小企业采购，根据财政部发布《政府采购促进中小企业发展政策问答》的规定，专门面向中小企业采购的项目或者采购包，不再执行价格评审优惠的扶持政策。</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详见附件：技术响应方案.docx</w:t>
      </w:r>
    </w:p>
    <w:p>
      <w:pPr>
        <w:pStyle w:val="null3"/>
        <w:ind w:firstLine="960"/>
      </w:pPr>
      <w:r>
        <w:rPr>
          <w:rFonts w:ascii="仿宋_GB2312" w:hAnsi="仿宋_GB2312" w:cs="仿宋_GB2312" w:eastAsia="仿宋_GB2312"/>
        </w:rPr>
        <w:t>详见附件：供应商认为需要提供的其他资料.docx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