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2F322">
      <w:pPr>
        <w:pStyle w:val="13"/>
        <w:jc w:val="center"/>
        <w:outlineLvl w:val="1"/>
        <w:rPr>
          <w:rFonts w:hint="default"/>
        </w:rPr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3306A246">
      <w:pPr>
        <w:pStyle w:val="2"/>
        <w:rPr>
          <w:sz w:val="24"/>
          <w:szCs w:val="36"/>
        </w:rPr>
      </w:pPr>
      <w:r>
        <w:rPr>
          <w:rFonts w:hint="eastAsia"/>
          <w:sz w:val="28"/>
          <w:szCs w:val="36"/>
        </w:rPr>
        <w:t>（参考，最终以双方签订的正式合同为准）</w:t>
      </w:r>
    </w:p>
    <w:p w14:paraId="6DEB4A8D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一、合同内容及金额：即中标人的投标内容及其中标总金额，合同总价一次包死，不受市场价变化的影响。</w:t>
      </w:r>
    </w:p>
    <w:p w14:paraId="64A33281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二、产品技术规格、数量：即交付的产品技术规格、型号、数量与投标文件所指明的，或者与本合同所指明的产品技术规格及型号相一致。</w:t>
      </w:r>
    </w:p>
    <w:p w14:paraId="785C398E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三、知识产权：即中标人应保证采购人在使用中标货物时，不承担任何涉及知识产权法律诉讼的责任。</w:t>
      </w:r>
    </w:p>
    <w:p w14:paraId="0CF54B35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 xml:space="preserve">四、交货期：文件规定时间                                 </w:t>
      </w:r>
    </w:p>
    <w:p w14:paraId="4C5FA140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中标人未征得采购人同意和谅解而单方面延迟交货，将按违约终止合同。</w:t>
      </w:r>
    </w:p>
    <w:p w14:paraId="5B28AADA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中标人遇到可能妨碍按时交货和提供服务的情况，应当及时以书面形式通知采购人，说明原由、拖延的期限等；采购人、采购代理机构在收到通知后，尽快进行情况评估并确定是否通过修改合同，酌情延长交货时间或者通过协商加收误期赔偿金。</w:t>
      </w:r>
    </w:p>
    <w:p w14:paraId="76412893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五、交货地点：采购人指定地点。</w:t>
      </w:r>
    </w:p>
    <w:p w14:paraId="47673935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六、结算方式：详见第三章支付方式</w:t>
      </w:r>
    </w:p>
    <w:p w14:paraId="6C584867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364D7297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八、运输：中标人可根据交货期、运输条件自行选择运输方式（另有规定的除外），承担一切运输费用。</w:t>
      </w:r>
    </w:p>
    <w:p w14:paraId="3E60FEFC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九、技术保障：中标人应随同货物提供相应的中文技术文件（包括产品合格证、装箱清单、检测报告等资料）。</w:t>
      </w:r>
    </w:p>
    <w:p w14:paraId="4B380031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十、质量保证</w:t>
      </w:r>
    </w:p>
    <w:p w14:paraId="1DE6B5A3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1、供方提供的产品及材料必须保证质量可靠，进货渠道正常，配置合理齐全，应全面满足需方的要求，磋商文件未明确要求的内容，供方须按招标产品标准配置或以需方的补充要求为准。所供产品工艺质量应严格按国家最新发布的规范标准执行，如发生质量问题由供方承担全部责任。</w:t>
      </w:r>
    </w:p>
    <w:p w14:paraId="4EE751E6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2、供方应保证所有产品的完好无损包括配套包装，如有缺漏、损坏，由供方负责调换、补齐或赔偿。</w:t>
      </w:r>
    </w:p>
    <w:p w14:paraId="6DE68B90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3、产品使用过程中因产品质量、产品缺陷等造成人身伤亡、财产损失的，由供方负责解决并承担全部责任。</w:t>
      </w:r>
    </w:p>
    <w:p w14:paraId="6CD255D8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十一、采购项目执行内容需要调整时，经采购人同意后，可以对相应的原材料进行调整，并协商确定价格差额计算方法和负担办法。</w:t>
      </w:r>
    </w:p>
    <w:p w14:paraId="50B3968E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十二、产品设计变更</w:t>
      </w:r>
    </w:p>
    <w:p w14:paraId="24D74976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0CC37005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十三、检验：在交货前，制造商应当对产品的质量、规格、型号、数量等进行准确而全面的检验，出具合格证并封装；货物送达指定地点后，中标人、采购人须在约定的时间和地点共同开箱检验。</w:t>
      </w:r>
    </w:p>
    <w:p w14:paraId="09B32137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四、验收：通过检验的货物方可交货，达到使用条件时由采购人负责组织验收或者邀请有关专家、质检机构、采购代理机构共同进行验收；验收合格须交接项目实施的全部资料，并填写政府采购项目验收报告单。验收须以合同、招投标文件、澄清、及国家相应的标准、规范等为依据。</w:t>
      </w:r>
    </w:p>
    <w:p w14:paraId="501438DC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十五、合同争议的解决：合同执行中发生争议的，当事人双方应协商解决，协商达不成一致时，可向人民法院提请诉讼。</w:t>
      </w:r>
    </w:p>
    <w:p w14:paraId="567BC383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十六、在发生不可抗力情况下的应对措施和解决办法。</w:t>
      </w:r>
    </w:p>
    <w:p w14:paraId="0597A029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十七、合同一经签订，不得擅自变更、中止或者终止合同。对确需变更、调整或者中止、终止合同的，应按规定履行相应的手续。</w:t>
      </w:r>
    </w:p>
    <w:p w14:paraId="3FA09E0B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八、违约责任：依据《中华人民共和国民法典》、《中华人民共和国政府采购法》的相关条款和本合同约定执行。未按合同要求提供货物、服务或货物、服务质量不能满足合同要求，采购人有权依据《中华人民共和国民法典》有关条款及合同约定终止合同，并要求投标人承担违约责任。中标人未按合同约定的交货日期交货的，每逾期一日，向采购人支付逾期交付货物价款的0.5%的违约金，但不超过合同总金额的10%。中标人支付逾期交货违约金并不免除其交货的责任。如中标人在政府采购合同规定的交货日期后10天内仍未能交货，则视为中标人不能交货，采购人有权解除政府采购合同，中标人除退还已收取的货款外，还应向采购人偿付政府采购合同总金额10%的违约金。如因该产品本身的质量原因而在使用过程中造成的任何事故纠纷，由中标人全额负责赔偿。</w:t>
      </w:r>
    </w:p>
    <w:p w14:paraId="07BD5319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十九、乙方不得进行债权转移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。</w:t>
      </w:r>
    </w:p>
    <w:p w14:paraId="2FEF0BB2">
      <w:pPr>
        <w:tabs>
          <w:tab w:val="left" w:pos="980"/>
        </w:tabs>
        <w:spacing w:line="500" w:lineRule="exact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二十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、本合同一式拾份，甲方执陆份，乙方、采购代理机构各执贰份。签字盖章后生效，合同执行完毕自动失效。（合同的服务承诺则长期有效）。</w:t>
      </w:r>
    </w:p>
    <w:p w14:paraId="580E7205">
      <w:pPr>
        <w:spacing w:line="360" w:lineRule="auto"/>
        <w:ind w:firstLine="400" w:firstLineChars="200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二十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</w:rPr>
        <w:t>一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eastAsia="zh-Hans"/>
        </w:rPr>
        <w:t>、其它（在合同中具体明确）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17CB3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0804D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A2948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乙  方</w:t>
            </w:r>
          </w:p>
        </w:tc>
      </w:tr>
      <w:tr w14:paraId="2EF80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024FF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2D688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成交供应商全称</w:t>
            </w:r>
          </w:p>
          <w:p w14:paraId="02D32E7D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（盖章）</w:t>
            </w:r>
          </w:p>
        </w:tc>
      </w:tr>
      <w:tr w14:paraId="032B7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C83CF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CCB31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地址：</w:t>
            </w:r>
          </w:p>
        </w:tc>
      </w:tr>
      <w:tr w14:paraId="0C122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5D736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5E083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邮编：</w:t>
            </w:r>
          </w:p>
        </w:tc>
      </w:tr>
      <w:tr w14:paraId="4E084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DA3BFF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C9EDF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法定代表人：</w:t>
            </w:r>
          </w:p>
        </w:tc>
      </w:tr>
      <w:tr w14:paraId="1F269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7B00F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8631B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被授权代表：（签字）</w:t>
            </w:r>
          </w:p>
        </w:tc>
      </w:tr>
      <w:tr w14:paraId="068C9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D69AC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F8671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电话：</w:t>
            </w:r>
          </w:p>
        </w:tc>
      </w:tr>
      <w:tr w14:paraId="5673F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72597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B8892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传真：</w:t>
            </w:r>
          </w:p>
        </w:tc>
      </w:tr>
      <w:tr w14:paraId="64724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00F11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7213C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开户银行：</w:t>
            </w:r>
          </w:p>
        </w:tc>
      </w:tr>
      <w:tr w14:paraId="06C5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5CBCA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1771D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账号:</w:t>
            </w:r>
          </w:p>
        </w:tc>
      </w:tr>
      <w:tr w14:paraId="100D4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93447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904AD">
            <w:pPr>
              <w:spacing w:line="360" w:lineRule="auto"/>
              <w:jc w:val="left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日期：  年   月   日</w:t>
            </w:r>
          </w:p>
        </w:tc>
      </w:tr>
    </w:tbl>
    <w:p w14:paraId="19F5836B">
      <w:pPr>
        <w:pStyle w:val="13"/>
        <w:rPr>
          <w:rFonts w:hint="default" w:ascii="仿宋_GB2312" w:hAnsi="仿宋_GB2312" w:eastAsia="仿宋_GB2312" w:cs="仿宋_GB2312"/>
        </w:rPr>
      </w:pPr>
    </w:p>
    <w:p w14:paraId="4BF6777D">
      <w:pPr>
        <w:pStyle w:val="13"/>
        <w:rPr>
          <w:rFonts w:hint="default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45511B32"/>
    <w:p w14:paraId="1B7799F2">
      <w:pPr>
        <w:pStyle w:val="13"/>
        <w:rPr>
          <w:rFonts w:hint="default"/>
        </w:rPr>
      </w:pPr>
    </w:p>
    <w:p w14:paraId="7E86D678">
      <w:pPr>
        <w:pStyle w:val="13"/>
        <w:rPr>
          <w:rFonts w:hint="default"/>
        </w:rPr>
      </w:pPr>
    </w:p>
    <w:p w14:paraId="4316AB11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DBD23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0855E8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- 3 -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90855E8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- 3 -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6716C">
    <w:pPr>
      <w:pStyle w:val="7"/>
      <w:pBdr>
        <w:bottom w:val="single" w:color="auto" w:sz="6" w:space="2"/>
      </w:pBdr>
      <w:jc w:val="left"/>
      <w:rPr>
        <w:rFonts w:hint="eastAsia"/>
        <w:color w:val="FF0000"/>
      </w:rPr>
    </w:pPr>
    <w:r>
      <w:rPr>
        <w:rFonts w:hint="eastAsia"/>
        <w:color w:val="FF0000"/>
      </w:rPr>
      <w:t xml:space="preserve">  </w:t>
    </w:r>
    <w:r>
      <w:rPr>
        <w:color w:val="FF0000"/>
      </w:rPr>
      <w:t xml:space="preserve"> </w:t>
    </w:r>
    <w:r>
      <w:rPr>
        <w:rFonts w:hint="eastAsia"/>
        <w:color w:val="FF0000"/>
      </w:rPr>
      <w:t xml:space="preserve">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B044A14"/>
    <w:rsid w:val="1EC56EFA"/>
    <w:rsid w:val="46240560"/>
    <w:rsid w:val="46A32A9E"/>
    <w:rsid w:val="47C2344D"/>
    <w:rsid w:val="519B5A52"/>
    <w:rsid w:val="636869CC"/>
    <w:rsid w:val="6C152747"/>
    <w:rsid w:val="763A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unhideWhenUsed/>
    <w:qFormat/>
    <w:uiPriority w:val="99"/>
    <w:pPr>
      <w:jc w:val="left"/>
    </w:pPr>
    <w:rPr>
      <w:rFonts w:ascii="Arial" w:hAnsi="Arial" w:eastAsia="黑体"/>
      <w:b/>
      <w:sz w:val="32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"/>
    <w:basedOn w:val="4"/>
    <w:next w:val="1"/>
    <w:qFormat/>
    <w:uiPriority w:val="99"/>
    <w:pPr>
      <w:spacing w:beforeLines="50" w:afterLines="50" w:line="360" w:lineRule="auto"/>
      <w:ind w:firstLine="200" w:firstLineChars="200"/>
    </w:pPr>
    <w:rPr>
      <w:color w:val="auto"/>
      <w:kern w:val="0"/>
      <w:sz w:val="30"/>
      <w:szCs w:val="20"/>
    </w:rPr>
  </w:style>
  <w:style w:type="table" w:styleId="11">
    <w:name w:val="Table Grid"/>
    <w:basedOn w:val="10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5">
    <w:name w:val="列出段落2"/>
    <w:basedOn w:val="1"/>
    <w:qFormat/>
    <w:uiPriority w:val="0"/>
    <w:pPr>
      <w:spacing w:line="240" w:lineRule="auto"/>
      <w:ind w:firstLine="420" w:firstLineChars="200"/>
    </w:p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table" w:customStyle="1" w:styleId="17">
    <w:name w:val="Table Normal"/>
    <w:semiHidden/>
    <w:unhideWhenUsed/>
    <w:qFormat/>
    <w:uiPriority w:val="0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1763</Words>
  <Characters>1771</Characters>
  <Lines>0</Lines>
  <Paragraphs>0</Paragraphs>
  <TotalTime>0</TotalTime>
  <ScaleCrop>false</ScaleCrop>
  <LinksUpToDate>false</LinksUpToDate>
  <CharactersWithSpaces>1825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2024-09-10T03:01:00Z</dcterms:created>
  <dc:creator>Administrator</dc:creator>
  <cp:lastModifiedBy>国创招标</cp:lastModifiedBy>
  <dcterms:modified xsi:type="dcterms:W3CDTF">2026-08-07T07:15:07Z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25B0ED1896A1426882AFAC9C21B5A880_12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