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0C3057">
      <w:pPr>
        <w:keepNext w:val="0"/>
        <w:keepLines w:val="0"/>
        <w:pageBreakBefore w:val="0"/>
        <w:widowControl w:val="0"/>
        <w:kinsoku/>
        <w:wordWrap/>
        <w:overflowPunct/>
        <w:topLinePunct w:val="0"/>
        <w:autoSpaceDE/>
        <w:autoSpaceDN/>
        <w:bidi w:val="0"/>
        <w:adjustRightInd w:val="0"/>
        <w:snapToGrid w:val="0"/>
        <w:spacing w:before="0" w:beforeLines="0" w:line="560" w:lineRule="exact"/>
        <w:jc w:val="center"/>
        <w:textAlignment w:val="auto"/>
        <w:rPr>
          <w:rFonts w:hint="eastAsia" w:ascii="方正小标宋简体" w:hAnsi="方正小标宋简体" w:eastAsia="方正小标宋简体" w:cs="方正小标宋简体"/>
          <w:b w:val="0"/>
          <w:bCs w:val="0"/>
          <w:sz w:val="44"/>
          <w:szCs w:val="44"/>
          <w:lang w:val="zh-CN"/>
        </w:rPr>
      </w:pPr>
      <w:r>
        <w:rPr>
          <w:rFonts w:hint="eastAsia" w:ascii="方正小标宋简体" w:hAnsi="方正小标宋简体" w:eastAsia="方正小标宋简体" w:cs="方正小标宋简体"/>
          <w:b w:val="0"/>
          <w:bCs w:val="0"/>
          <w:sz w:val="44"/>
          <w:szCs w:val="44"/>
          <w:lang w:val="zh-CN"/>
        </w:rPr>
        <w:t>采购内容及要求</w:t>
      </w:r>
    </w:p>
    <w:p w14:paraId="37CFDE4E">
      <w:pPr>
        <w:keepNext w:val="0"/>
        <w:keepLines w:val="0"/>
        <w:pageBreakBefore w:val="0"/>
        <w:widowControl w:val="0"/>
        <w:kinsoku/>
        <w:wordWrap/>
        <w:overflowPunct/>
        <w:topLinePunct w:val="0"/>
        <w:autoSpaceDE/>
        <w:autoSpaceDN/>
        <w:bidi w:val="0"/>
        <w:adjustRightInd w:val="0"/>
        <w:snapToGrid w:val="0"/>
        <w:spacing w:before="0" w:beforeLines="0" w:line="560" w:lineRule="exact"/>
        <w:jc w:val="center"/>
        <w:textAlignment w:val="auto"/>
        <w:rPr>
          <w:rFonts w:hint="eastAsia" w:ascii="方正小标宋简体" w:hAnsi="方正小标宋简体" w:eastAsia="方正小标宋简体" w:cs="方正小标宋简体"/>
          <w:b w:val="0"/>
          <w:bCs w:val="0"/>
          <w:sz w:val="44"/>
          <w:szCs w:val="44"/>
          <w:lang w:val="zh-CN"/>
        </w:rPr>
      </w:pPr>
    </w:p>
    <w:p w14:paraId="4CA76C9F">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一、项目概况</w:t>
      </w:r>
    </w:p>
    <w:p w14:paraId="2368309E">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延川县境内的清涧河作为黄河支流，受人口增长和经济发展影响，黄河流域水污染加剧，威胁生态环境、地下水及人体健康，保护黄河水质至关重要。当前延川县城污水管网不完善，部分污水直排河道，现有污水处理厂因管网滞后无法实现污水全收集，影响居民生活与县域生态。延川县城镇污水管网完善工程（二期）项目涉河部分建设处于延川水文站上下游各 20km 河道管理范围内，在取得对水文测站有管理权限的流域管理机构或者水行政主管部门行政许可方可建设。</w:t>
      </w:r>
    </w:p>
    <w:p w14:paraId="5741A2EF">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水文监测是水文工作的重要组成部分，也是收集水文资料的重要手段，而水文资料是国民经济建设的基础资料，也是防汛抗旱、防凌、调水调沙和水资源调度、水质监测的基本依据，关系着人民的生命财产和公共安全。水文站是水文工作的基础单位，在其上下游修建工程有可能对其水文监测和所收集的水文资料产生影响。</w:t>
      </w:r>
    </w:p>
    <w:p w14:paraId="464C1684">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本次技术服务内容为延川县城镇污水管网完善工程（二期）项目影响延川水文站水文监测分析评价报告。</w:t>
      </w:r>
    </w:p>
    <w:p w14:paraId="70089AD8">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二、编制依据</w:t>
      </w:r>
    </w:p>
    <w:p w14:paraId="152948F5">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（一）主要依据规范规程</w:t>
      </w:r>
    </w:p>
    <w:p w14:paraId="66E8ABA2">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（1）《防洪标准》GB 50201-2014；</w:t>
      </w:r>
    </w:p>
    <w:p w14:paraId="070D4A2F">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（2）《水位观测标准》GB/T 50138；</w:t>
      </w:r>
    </w:p>
    <w:p w14:paraId="23E3A8DE">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（3）《河流流量测验规范》GB 50179；</w:t>
      </w:r>
    </w:p>
    <w:p w14:paraId="6FD22489">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（4）《河流悬移质泥沙测验规范》GB/T 50159；</w:t>
      </w:r>
    </w:p>
    <w:p w14:paraId="6BD09E71">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（5）《水文情报预报规范》GB/T 22482；</w:t>
      </w:r>
    </w:p>
    <w:p w14:paraId="3D5B4CDD">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（6）《水文自动测报系统技术规范》GB/T 41368；</w:t>
      </w:r>
    </w:p>
    <w:p w14:paraId="72A07ED7">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（7）《河道整治设计规范》GB 50707-2011；</w:t>
      </w:r>
    </w:p>
    <w:p w14:paraId="122F0607">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（8）《堤防工程设计规范》GB 50286-2013；</w:t>
      </w:r>
    </w:p>
    <w:p w14:paraId="31070134">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（9）《城市防洪工程设计规范》GB/T 50805-2012；</w:t>
      </w:r>
    </w:p>
    <w:p w14:paraId="74C5E661">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（10）《水文测量规范》SL 58；</w:t>
      </w:r>
    </w:p>
    <w:p w14:paraId="672403CF">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（11）《水文调查规范》SL 196；</w:t>
      </w:r>
    </w:p>
    <w:p w14:paraId="6BB2FDAE">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（12）《水环境监测规范》SL 219-2013；</w:t>
      </w:r>
    </w:p>
    <w:p w14:paraId="4CBAE21D">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（13）《水文资料整编规范》SL/T 247-2020；</w:t>
      </w:r>
    </w:p>
    <w:p w14:paraId="38814D93">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（14）《水利水电工程水文计算规范》SL/T 278-2020；</w:t>
      </w:r>
    </w:p>
    <w:p w14:paraId="5389CE7A">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（15）《水利水电工程设计洪水计算规范》SL 44-2006；</w:t>
      </w:r>
    </w:p>
    <w:p w14:paraId="68C3027F">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（16）《水利水电工程等级划分及洪水标准》SL 252-2017；</w:t>
      </w:r>
    </w:p>
    <w:p w14:paraId="1C43BCB9">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（17）《水文基础设施建设及技术装备标准》SL/T 276-2022；</w:t>
      </w:r>
    </w:p>
    <w:p w14:paraId="6DABBEF9">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（18）《降水量观测规范》SL 21；</w:t>
      </w:r>
    </w:p>
    <w:p w14:paraId="70CA5861">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（19）《水文站网规划技术导则》SL/T 34；</w:t>
      </w:r>
    </w:p>
    <w:p w14:paraId="1DAD803F">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（20）《水利工程水利计算规范》SL 104；</w:t>
      </w:r>
    </w:p>
    <w:p w14:paraId="241D9FDE">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（21）《水质采样技术规程》SL 187；</w:t>
      </w:r>
    </w:p>
    <w:p w14:paraId="1F8ADD38">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（22）《水文巡测规范》SL 195；</w:t>
      </w:r>
    </w:p>
    <w:p w14:paraId="2D557174">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（23）《水文基础设施及技术装备管理规范》SL/T 415；</w:t>
      </w:r>
    </w:p>
    <w:p w14:paraId="41EE4D40">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（24）《水文测站考证技术规范》SL 742；</w:t>
      </w:r>
    </w:p>
    <w:p w14:paraId="6E166F7B">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（25）《堤防工程管理设计规范》SL 171-96；</w:t>
      </w:r>
    </w:p>
    <w:p w14:paraId="30107B2B">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rPr>
      </w:pPr>
      <w:r>
        <w:rPr>
          <w:rFonts w:hint="eastAsia" w:ascii="仿宋_GB2312" w:hAnsi="仿宋_GB2312" w:eastAsia="仿宋_GB2312" w:cs="仿宋_GB2312"/>
          <w:spacing w:val="-1"/>
          <w:sz w:val="32"/>
          <w:szCs w:val="32"/>
        </w:rPr>
        <w:t>（26）《水利水电工程测量规范》SL 197-2013。</w:t>
      </w:r>
    </w:p>
    <w:p w14:paraId="7F16E8CC">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pacing w:val="-1"/>
          <w:sz w:val="32"/>
          <w:szCs w:val="32"/>
        </w:rPr>
        <w:t>（27）</w:t>
      </w:r>
      <w:r>
        <w:rPr>
          <w:rFonts w:hint="eastAsia" w:ascii="仿宋_GB2312" w:hAnsi="仿宋_GB2312" w:eastAsia="仿宋_GB2312" w:cs="仿宋_GB2312"/>
          <w:spacing w:val="-1"/>
          <w:sz w:val="32"/>
          <w:szCs w:val="32"/>
          <w:lang w:val="zh-CN"/>
        </w:rPr>
        <w:t>其它有关规范和规定。</w:t>
      </w:r>
    </w:p>
    <w:p w14:paraId="2CEDD871">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36" w:firstLineChars="200"/>
        <w:textAlignment w:val="auto"/>
        <w:rPr>
          <w:rFonts w:hint="eastAsia" w:ascii="仿宋_GB2312" w:hAnsi="仿宋_GB2312" w:eastAsia="仿宋_GB2312" w:cs="仿宋_GB2312"/>
          <w:spacing w:val="-1"/>
          <w:sz w:val="32"/>
          <w:szCs w:val="32"/>
          <w:lang w:val="zh-CN"/>
        </w:rPr>
      </w:pPr>
      <w:r>
        <w:rPr>
          <w:rFonts w:hint="eastAsia" w:ascii="仿宋_GB2312" w:hAnsi="仿宋_GB2312" w:eastAsia="仿宋_GB2312" w:cs="仿宋_GB2312"/>
          <w:spacing w:val="-1"/>
          <w:sz w:val="32"/>
          <w:szCs w:val="32"/>
          <w:lang w:val="zh-CN"/>
        </w:rPr>
        <w:t>（二）依据主要批文及技术报告</w:t>
      </w:r>
    </w:p>
    <w:p w14:paraId="3B95241E">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highlight w:val="none"/>
          <w:lang w:val="zh-CN"/>
        </w:rPr>
      </w:pPr>
      <w:r>
        <w:rPr>
          <w:rFonts w:hint="eastAsia" w:ascii="仿宋_GB2312" w:hAnsi="仿宋_GB2312" w:eastAsia="仿宋_GB2312" w:cs="仿宋_GB2312"/>
          <w:sz w:val="32"/>
          <w:szCs w:val="32"/>
          <w:highlight w:val="none"/>
          <w:lang w:val="zh-CN"/>
        </w:rPr>
        <w:t>（1）《</w:t>
      </w:r>
      <w:r>
        <w:rPr>
          <w:rFonts w:hint="eastAsia" w:ascii="仿宋_GB2312" w:hAnsi="仿宋_GB2312" w:eastAsia="仿宋_GB2312" w:cs="仿宋_GB2312"/>
          <w:sz w:val="32"/>
          <w:szCs w:val="32"/>
          <w:lang w:val="zh-CN"/>
        </w:rPr>
        <w:t>延川县城镇污水管网完善工程（二期）项目</w:t>
      </w:r>
      <w:r>
        <w:rPr>
          <w:rFonts w:hint="eastAsia" w:ascii="仿宋_GB2312" w:hAnsi="仿宋_GB2312" w:eastAsia="仿宋_GB2312" w:cs="仿宋_GB2312"/>
          <w:sz w:val="32"/>
          <w:szCs w:val="32"/>
          <w:highlight w:val="none"/>
          <w:lang w:val="en-US" w:eastAsia="zh-CN"/>
        </w:rPr>
        <w:t>初步设计</w:t>
      </w:r>
      <w:r>
        <w:rPr>
          <w:rFonts w:hint="eastAsia" w:ascii="仿宋_GB2312" w:hAnsi="仿宋_GB2312" w:eastAsia="仿宋_GB2312" w:cs="仿宋_GB2312"/>
          <w:sz w:val="32"/>
          <w:szCs w:val="32"/>
          <w:highlight w:val="none"/>
          <w:lang w:val="zh-CN"/>
        </w:rPr>
        <w:t>》；</w:t>
      </w:r>
    </w:p>
    <w:p w14:paraId="4FEDC61B">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（2）《延川县城镇污水管网完善工程（二期）项目防洪影响评价报告》批复；</w:t>
      </w:r>
    </w:p>
    <w:p w14:paraId="63976E29">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三、编制范围与要求</w:t>
      </w:r>
    </w:p>
    <w:p w14:paraId="4369FDE0">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服务范围：前期的数据整理并分析，外业调查、作业设计、建设规模总体布局、成果编制与报批服务等。</w:t>
      </w:r>
    </w:p>
    <w:p w14:paraId="543D5231">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编制要求：依据项目任务，按照区域自然条件，合理确定方案技术。</w:t>
      </w:r>
    </w:p>
    <w:p w14:paraId="4F86F725">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四、成果说明</w:t>
      </w:r>
    </w:p>
    <w:p w14:paraId="02BE230D">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水文评价报告（纸质版）、水文评价报告（电子版）、相关部门审查批复意见</w:t>
      </w:r>
    </w:p>
    <w:p w14:paraId="09736334">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五、</w:t>
      </w:r>
      <w:r>
        <w:rPr>
          <w:rFonts w:hint="eastAsia" w:ascii="仿宋_GB2312" w:hAnsi="仿宋_GB2312" w:eastAsia="仿宋_GB2312" w:cs="仿宋_GB2312"/>
          <w:sz w:val="32"/>
          <w:szCs w:val="32"/>
        </w:rPr>
        <w:t>最高限价</w:t>
      </w:r>
      <w:r>
        <w:rPr>
          <w:rFonts w:hint="eastAsia" w:ascii="仿宋_GB2312" w:hAnsi="仿宋_GB2312" w:eastAsia="仿宋_GB2312" w:cs="仿宋_GB2312"/>
          <w:sz w:val="32"/>
          <w:szCs w:val="32"/>
          <w:lang w:val="zh-CN"/>
        </w:rPr>
        <w:t>要求</w:t>
      </w:r>
    </w:p>
    <w:p w14:paraId="2AB179A4">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最高限价</w:t>
      </w:r>
      <w:r>
        <w:rPr>
          <w:rFonts w:hint="eastAsia" w:ascii="仿宋_GB2312" w:hAnsi="仿宋_GB2312" w:eastAsia="仿宋_GB2312" w:cs="仿宋_GB2312"/>
          <w:sz w:val="32"/>
          <w:szCs w:val="32"/>
        </w:rPr>
        <w:t>40.6</w:t>
      </w:r>
      <w:r>
        <w:rPr>
          <w:rFonts w:hint="eastAsia" w:ascii="仿宋_GB2312" w:hAnsi="仿宋_GB2312" w:eastAsia="仿宋_GB2312" w:cs="仿宋_GB2312"/>
          <w:sz w:val="32"/>
          <w:szCs w:val="32"/>
          <w:lang w:val="zh-CN"/>
        </w:rPr>
        <w:t>万元</w:t>
      </w:r>
    </w:p>
    <w:p w14:paraId="75944172">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六、踏勘现场（响应供应商自行踏勘）</w:t>
      </w:r>
    </w:p>
    <w:p w14:paraId="539FAD72">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1．响应供应商根据需要对实施现场及周围环境进行踏勘，以便响应供应商获取须自己负责的有关编制响应文件和签署合同所需的所有资料。踏勘现场所发生的费用由响应供应商自己承担。</w:t>
      </w:r>
    </w:p>
    <w:p w14:paraId="2FCDD225">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2．采购人向响应供应商提供有关现场的资料和数据，是采购人现有的能使响应供应商利用的资料。采购人对响应供应商由此而作出的推论、理解和结论概不负责。</w:t>
      </w:r>
    </w:p>
    <w:p w14:paraId="0603A638">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3．响应供应商及其人员经过采购人的允许，可为踏勘目的进入采购人的工程现场，但响应供应商及其人员不得因此使采购人及其人员承担有关的责任和蒙受损失。响应供应商并应对由此次踏勘现场而造成的死亡、人生伤害、财产损失、损害以及任何其他损失、损害和引起的费用和开支承担责任。</w:t>
      </w:r>
    </w:p>
    <w:p w14:paraId="550C5E7A">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4．如果响应供应商认为需再次进行现场踏勘，采购人应予以支持，费用自理。</w:t>
      </w:r>
    </w:p>
    <w:p w14:paraId="569147A2">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七、售后服务承诺</w:t>
      </w:r>
    </w:p>
    <w:p w14:paraId="1E75FF79">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1.为确保服务质量及与采购人沟通联络，成交供应商须设置专职主管，负责对本项目的服务范围、服务质量的检查监督及与采购人日常业务联系。</w:t>
      </w:r>
    </w:p>
    <w:p w14:paraId="2FD694D5">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2.成交供应商须主动接受采购人的指导、检查、监督及协调。</w:t>
      </w:r>
    </w:p>
    <w:p w14:paraId="56187AFB">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3.成交供应商制定并履行现场服务承诺，在项目建设期间按照项目进展及时完善设计工作。</w:t>
      </w:r>
    </w:p>
    <w:p w14:paraId="0432D397">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八、验收要求</w:t>
      </w:r>
    </w:p>
    <w:p w14:paraId="2CEC0A9E">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1、通过甲方组织的评审会评审方式验收。</w:t>
      </w:r>
    </w:p>
    <w:p w14:paraId="7660232A">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2、超出签订合同时约定的内容，如增加内容、修改和调整内容等，都不属于工作任务范围内，需重新委托。</w:t>
      </w:r>
    </w:p>
    <w:p w14:paraId="6132054E">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3、因甲方原因推迟或延误验收时间，由甲方与乙方进行协商，甲方承担全部责任。</w:t>
      </w:r>
    </w:p>
    <w:p w14:paraId="570275B3">
      <w:pPr>
        <w:pStyle w:val="2"/>
        <w:keepNext w:val="0"/>
        <w:keepLines w:val="0"/>
        <w:pageBreakBefore w:val="0"/>
        <w:widowControl w:val="0"/>
        <w:tabs>
          <w:tab w:val="center" w:pos="4153"/>
          <w:tab w:val="right" w:pos="8306"/>
          <w:tab w:val="clear" w:pos="4140"/>
          <w:tab w:val="clear" w:pos="8300"/>
        </w:tabs>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九、工期要求</w:t>
      </w:r>
    </w:p>
    <w:p w14:paraId="146A313E">
      <w:pPr>
        <w:keepNext w:val="0"/>
        <w:keepLines w:val="0"/>
        <w:pageBreakBefore w:val="0"/>
        <w:widowControl w:val="0"/>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在合同签订之日起</w:t>
      </w:r>
      <w:r>
        <w:rPr>
          <w:rFonts w:hint="eastAsia" w:ascii="仿宋_GB2312" w:hAnsi="仿宋_GB2312" w:eastAsia="仿宋_GB2312" w:cs="仿宋_GB2312"/>
          <w:sz w:val="32"/>
          <w:szCs w:val="32"/>
          <w:highlight w:val="none"/>
          <w:lang w:val="en-US" w:eastAsia="zh-CN"/>
        </w:rPr>
        <w:t>30日</w:t>
      </w:r>
      <w:r>
        <w:rPr>
          <w:rFonts w:hint="eastAsia" w:ascii="仿宋_GB2312" w:hAnsi="仿宋_GB2312" w:eastAsia="仿宋_GB2312" w:cs="仿宋_GB2312"/>
          <w:sz w:val="32"/>
          <w:szCs w:val="32"/>
          <w:lang w:val="zh-CN"/>
        </w:rPr>
        <w:t>内完成。</w:t>
      </w:r>
    </w:p>
    <w:p w14:paraId="48EFC980">
      <w:pPr>
        <w:keepNext w:val="0"/>
        <w:keepLines w:val="0"/>
        <w:pageBreakBefore w:val="0"/>
        <w:widowControl w:val="0"/>
        <w:kinsoku/>
        <w:wordWrap/>
        <w:overflowPunct/>
        <w:topLinePunct w:val="0"/>
        <w:autoSpaceDE/>
        <w:autoSpaceDN/>
        <w:bidi w:val="0"/>
        <w:spacing w:before="0" w:beforeLines="0" w:line="560" w:lineRule="exact"/>
        <w:ind w:firstLine="640" w:firstLineChars="200"/>
        <w:textAlignment w:val="auto"/>
        <w:rPr>
          <w:rFonts w:hint="eastAsia" w:ascii="仿宋_GB2312" w:hAnsi="仿宋_GB2312" w:eastAsia="仿宋_GB2312" w:cs="仿宋_GB2312"/>
          <w:sz w:val="32"/>
          <w:szCs w:val="32"/>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7A3108"/>
    <w:rsid w:val="0011390A"/>
    <w:rsid w:val="001D669A"/>
    <w:rsid w:val="002F396F"/>
    <w:rsid w:val="00382D81"/>
    <w:rsid w:val="0049704C"/>
    <w:rsid w:val="00540F1F"/>
    <w:rsid w:val="005466A8"/>
    <w:rsid w:val="005A4EE7"/>
    <w:rsid w:val="00887A9A"/>
    <w:rsid w:val="00AA5B7E"/>
    <w:rsid w:val="00BA11B9"/>
    <w:rsid w:val="00C16D7A"/>
    <w:rsid w:val="00E819C4"/>
    <w:rsid w:val="00EE2897"/>
    <w:rsid w:val="00FC1440"/>
    <w:rsid w:val="209D4F30"/>
    <w:rsid w:val="23B85F18"/>
    <w:rsid w:val="47E37549"/>
    <w:rsid w:val="48117779"/>
    <w:rsid w:val="497A3108"/>
    <w:rsid w:val="4C0633AA"/>
    <w:rsid w:val="4C1635B0"/>
    <w:rsid w:val="545E7A7F"/>
    <w:rsid w:val="60066C8E"/>
    <w:rsid w:val="70A22D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150" w:beforeLines="150"/>
      <w:jc w:val="both"/>
    </w:pPr>
    <w:rPr>
      <w:rFonts w:ascii="Times New Roman" w:hAnsi="Times New Roman" w:eastAsia="宋体" w:cs="Times New Roman"/>
      <w:kern w:val="2"/>
      <w:sz w:val="21"/>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40"/>
        <w:tab w:val="right" w:pos="8300"/>
      </w:tabs>
      <w:snapToGrid w:val="0"/>
      <w:jc w:val="left"/>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2205</Words>
  <Characters>2420</Characters>
  <Lines>17</Lines>
  <Paragraphs>5</Paragraphs>
  <TotalTime>25</TotalTime>
  <ScaleCrop>false</ScaleCrop>
  <LinksUpToDate>false</LinksUpToDate>
  <CharactersWithSpaces>2456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2025-10-23T02:19:00Z</dcterms:created>
  <dc:creator>听风忆雪</dc:creator>
  <cp:lastModifiedBy>Administrator</cp:lastModifiedBy>
  <dcterms:modified xsi:type="dcterms:W3CDTF">2026-06-05T06:59:35Z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7F67BB3FF7D745FAA445BEA5EA166E56_11</vt:lpwstr>
  </property>
  <property fmtid="{D5CDD505-2E9C-101B-9397-08002B2CF9AE}" pid="4" name="KSOTemplateDocerSaveRecord">
    <vt:lpwstr>eyJoZGlkIjoiOWZkOWUyN2Q3YTgzNjljYjEwZWM5Njg3Y2ViYjViZTgiLCJ1c2VySWQiOiIzNDQyNDkxMjgifQ==</vt:lpwstr>
  </property>
</Properties>
</file>