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版本号：ZX2026-03-10.1B120260615001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单色能量色散X射线荧光光谱仪项目(二次)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ZX2026-03-10.1B1</w:t>
      </w:r>
      <w:r>
        <w:br/>
      </w:r>
      <w:r>
        <w:br/>
      </w:r>
      <w:r>
        <w:br/>
      </w:r>
    </w:p>
    <w:p>
      <w:pPr>
        <w:pStyle w:val="null3"/>
        <w:jc w:val="center"/>
        <w:outlineLvl w:val="2"/>
      </w:pPr>
      <w:r>
        <w:rPr>
          <w:rFonts w:ascii="仿宋_GB2312" w:hAnsi="仿宋_GB2312" w:cs="仿宋_GB2312" w:eastAsia="仿宋_GB2312"/>
          <w:sz w:val="28"/>
          <w:b/>
        </w:rPr>
        <w:t>西安市食品药品检验所</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西安市食品药品检验所</w:t>
      </w:r>
      <w:r>
        <w:rPr>
          <w:rFonts w:ascii="仿宋_GB2312" w:hAnsi="仿宋_GB2312" w:cs="仿宋_GB2312" w:eastAsia="仿宋_GB2312"/>
        </w:rPr>
        <w:t>委托，拟对</w:t>
      </w:r>
      <w:r>
        <w:rPr>
          <w:rFonts w:ascii="仿宋_GB2312" w:hAnsi="仿宋_GB2312" w:cs="仿宋_GB2312" w:eastAsia="仿宋_GB2312"/>
        </w:rPr>
        <w:t>单色能量色散X射线荧光光谱仪项目(二次)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ZX2026-03-10.1B1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单色能量色散X射线荧光光谱仪项目(二次)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为满足食品快检方法KJ 202518《食品中铅、镉、总砷、锡、镍、铬的快速检测 X射线荧光光谱基本参数法》的检测要求，需采购单色能量色散X射线荧光光谱仪，具体内容详见采购文件第3章。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采购包1（单色能量色散X射线荧光光谱仪项目）：属于专门面向中小企业采购。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1、法定代表人授权委托书：法定代表人参加谈判的，须提供法定代表人身份证；法定代表人授权本单位他人参加谈判的，须提供法定代表人授权委托书。</w:t>
      </w:r>
    </w:p>
    <w:p>
      <w:pPr>
        <w:pStyle w:val="null3"/>
      </w:pPr>
      <w:r>
        <w:rPr>
          <w:rFonts w:ascii="仿宋_GB2312" w:hAnsi="仿宋_GB2312" w:cs="仿宋_GB2312" w:eastAsia="仿宋_GB2312"/>
        </w:rPr>
        <w:t>2、本项目不接受联合体谈判，不允许分包：本项目不接受联合体谈判，不允许分包。供应商应提供《非联合体不分包投标声明》。</w:t>
      </w:r>
    </w:p>
    <w:p>
      <w:pPr>
        <w:pStyle w:val="null3"/>
      </w:pPr>
      <w:r>
        <w:rPr>
          <w:rFonts w:ascii="仿宋_GB2312" w:hAnsi="仿宋_GB2312" w:cs="仿宋_GB2312" w:eastAsia="仿宋_GB2312"/>
        </w:rPr>
        <w:t>3、辐射安全许可证：提供所投产品生产厂家的辐射安全许可证，且所投产品通过豁免备案的证明材料。（若所投产品未通过豁免备案，则须提供供应商的辐射安全许可证）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西安市食品药品检验所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陕西省西安市长安区仓台西路889号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029-85529351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祁鑫 张爽 王宇轩 马演 曹婷 崔文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029-88110800转8032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代理服务费收费标准：参照国家计委计价格[2002]1980号文件收费标准收取，不足6000元按6000元收取，由成交供应商支付代理服务费。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西安市食品药品检验所</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西安市食品药品检验所</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西安市食品药品检验所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陕西正信招标有限公司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按照谈判文件、响应文件及合同要求执行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联系人：王宇轩、祁鑫</w:t>
      </w:r>
    </w:p>
    <w:p>
      <w:pPr>
        <w:pStyle w:val="null3"/>
      </w:pPr>
      <w:r>
        <w:rPr>
          <w:rFonts w:ascii="仿宋_GB2312" w:hAnsi="仿宋_GB2312" w:cs="仿宋_GB2312" w:eastAsia="仿宋_GB2312"/>
        </w:rPr>
        <w:t>联系电话：029-88110800转8032</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为满足食品快检方法KJ 202518《食品中铅、镉、总砷、锡、镍、铬的快速检测 X射线荧光光谱基本参数法》的检测要求，需采购单色能量色散X射线荧光光谱仪。</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单色能量色散X射线荧光光谱仪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标的名称：单色能量色散X射线荧光光谱仪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一、采购清单</w:t>
            </w:r>
          </w:p>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pPr>
                  <w:r>
                    <w:rPr>
                      <w:rFonts w:ascii="仿宋_GB2312" w:hAnsi="仿宋_GB2312" w:cs="仿宋_GB2312" w:eastAsia="仿宋_GB2312"/>
                    </w:rPr>
                    <w:t>序号</w:t>
                  </w:r>
                </w:p>
              </w:tc>
              <w:tc>
                <w:tcPr>
                  <w:tcW w:type="dxa" w:w="851"/>
                </w:tcPr>
                <w:p>
                  <w:pPr>
                    <w:pStyle w:val="null3"/>
                  </w:pPr>
                  <w:r>
                    <w:rPr>
                      <w:rFonts w:ascii="仿宋_GB2312" w:hAnsi="仿宋_GB2312" w:cs="仿宋_GB2312" w:eastAsia="仿宋_GB2312"/>
                    </w:rPr>
                    <w:t>设备名称</w:t>
                  </w:r>
                </w:p>
              </w:tc>
              <w:tc>
                <w:tcPr>
                  <w:tcW w:type="dxa" w:w="851"/>
                </w:tcPr>
                <w:p>
                  <w:pPr>
                    <w:pStyle w:val="null3"/>
                  </w:pPr>
                  <w:r>
                    <w:rPr>
                      <w:rFonts w:ascii="仿宋_GB2312" w:hAnsi="仿宋_GB2312" w:cs="仿宋_GB2312" w:eastAsia="仿宋_GB2312"/>
                    </w:rPr>
                    <w:t>数量</w:t>
                  </w:r>
                </w:p>
              </w:tc>
            </w:tr>
            <w:tr>
              <w:tc>
                <w:tcPr>
                  <w:tcW w:type="dxa" w:w="851"/>
                </w:tcPr>
                <w:p>
                  <w:pPr>
                    <w:pStyle w:val="null3"/>
                  </w:pPr>
                  <w:r>
                    <w:rPr>
                      <w:rFonts w:ascii="仿宋_GB2312" w:hAnsi="仿宋_GB2312" w:cs="仿宋_GB2312" w:eastAsia="仿宋_GB2312"/>
                    </w:rPr>
                    <w:t>1</w:t>
                  </w:r>
                </w:p>
              </w:tc>
              <w:tc>
                <w:tcPr>
                  <w:tcW w:type="dxa" w:w="851"/>
                </w:tcPr>
                <w:p>
                  <w:pPr>
                    <w:pStyle w:val="null3"/>
                  </w:pPr>
                  <w:r>
                    <w:rPr>
                      <w:rFonts w:ascii="仿宋_GB2312" w:hAnsi="仿宋_GB2312" w:cs="仿宋_GB2312" w:eastAsia="仿宋_GB2312"/>
                    </w:rPr>
                    <w:t>单色能量色散X射线荧光光谱仪</w:t>
                  </w:r>
                </w:p>
              </w:tc>
              <w:tc>
                <w:tcPr>
                  <w:tcW w:type="dxa" w:w="851"/>
                </w:tcPr>
                <w:p>
                  <w:pPr>
                    <w:pStyle w:val="null3"/>
                  </w:pPr>
                  <w:r>
                    <w:rPr>
                      <w:rFonts w:ascii="仿宋_GB2312" w:hAnsi="仿宋_GB2312" w:cs="仿宋_GB2312" w:eastAsia="仿宋_GB2312"/>
                    </w:rPr>
                    <w:t>1台</w:t>
                  </w:r>
                </w:p>
              </w:tc>
            </w:tr>
          </w:tbl>
          <w:p>
            <w:pPr>
              <w:pStyle w:val="null3"/>
            </w:pPr>
            <w:r>
              <w:rPr>
                <w:rFonts w:ascii="仿宋_GB2312" w:hAnsi="仿宋_GB2312" w:cs="仿宋_GB2312" w:eastAsia="仿宋_GB2312"/>
              </w:rPr>
              <w:t>二、技术参数（本项目所有参数必须满足，不允许负偏离，否则，按照无效文件处理。）</w:t>
            </w:r>
          </w:p>
          <w:p>
            <w:pPr>
              <w:pStyle w:val="null3"/>
            </w:pPr>
            <w:r>
              <w:rPr>
                <w:rFonts w:ascii="仿宋_GB2312" w:hAnsi="仿宋_GB2312" w:cs="仿宋_GB2312" w:eastAsia="仿宋_GB2312"/>
              </w:rPr>
              <w:t>1.设备功能：满足食品快检方法KJ 202518《食品中铅、镉、总砷、锡、镍、铬的快速检测  X射线荧光光谱基本参数法》的检测要求，能够检测标准中规定各类食品中铅、镉、总砷、锡、镍、铬含量，采用镀锡薄钢板容器包装的食品中锡含量，油脂及其制品中镍含量的快速测定。</w:t>
            </w:r>
          </w:p>
          <w:p>
            <w:pPr>
              <w:pStyle w:val="null3"/>
            </w:pPr>
            <w:r>
              <w:rPr>
                <w:rFonts w:ascii="仿宋_GB2312" w:hAnsi="仿宋_GB2312" w:cs="仿宋_GB2312" w:eastAsia="仿宋_GB2312"/>
              </w:rPr>
              <w:t>2.主要技术参数：</w:t>
            </w:r>
          </w:p>
          <w:p>
            <w:pPr>
              <w:pStyle w:val="null3"/>
            </w:pPr>
            <w:r>
              <w:rPr>
                <w:rFonts w:ascii="仿宋_GB2312" w:hAnsi="仿宋_GB2312" w:cs="仿宋_GB2312" w:eastAsia="仿宋_GB2312"/>
              </w:rPr>
              <w:t>2.1原理：通过测量特征X射线荧光的强度对试样中元素含量进行快速检测。</w:t>
            </w:r>
          </w:p>
          <w:p>
            <w:pPr>
              <w:pStyle w:val="null3"/>
            </w:pPr>
            <w:r>
              <w:rPr>
                <w:rFonts w:ascii="仿宋_GB2312" w:hAnsi="仿宋_GB2312" w:cs="仿宋_GB2312" w:eastAsia="仿宋_GB2312"/>
              </w:rPr>
              <w:t>2.2适用样品：包括新鲜蔬菜和水果、肉类、水产品等高含水量样品；豆类及其干制品、干制调味品、干制蔬菜等低含水量样品；液体类样品等，具体食品类别依据标准附录B。</w:t>
            </w:r>
          </w:p>
          <w:p>
            <w:pPr>
              <w:pStyle w:val="null3"/>
            </w:pPr>
            <w:r>
              <w:rPr>
                <w:rFonts w:ascii="仿宋_GB2312" w:hAnsi="仿宋_GB2312" w:cs="仿宋_GB2312" w:eastAsia="仿宋_GB2312"/>
              </w:rPr>
              <w:t>2.3光源：X射线光管，最大功率≤50W，最大激发电压≤50kV。</w:t>
            </w:r>
          </w:p>
          <w:p>
            <w:pPr>
              <w:pStyle w:val="null3"/>
            </w:pPr>
            <w:r>
              <w:rPr>
                <w:rFonts w:ascii="仿宋_GB2312" w:hAnsi="仿宋_GB2312" w:cs="仿宋_GB2312" w:eastAsia="仿宋_GB2312"/>
              </w:rPr>
              <w:t>2.4探测器：能量色散探测器，硅漂移探测器，分辨率：优于130eV。</w:t>
            </w:r>
          </w:p>
          <w:p>
            <w:pPr>
              <w:pStyle w:val="null3"/>
            </w:pPr>
            <w:r>
              <w:rPr>
                <w:rFonts w:ascii="仿宋_GB2312" w:hAnsi="仿宋_GB2312" w:cs="仿宋_GB2312" w:eastAsia="仿宋_GB2312"/>
              </w:rPr>
              <w:t>2.5光源系统：双曲面弯晶组，X射线单色能量。</w:t>
            </w:r>
          </w:p>
          <w:p>
            <w:pPr>
              <w:pStyle w:val="null3"/>
            </w:pPr>
            <w:r>
              <w:rPr>
                <w:rFonts w:ascii="仿宋_GB2312" w:hAnsi="仿宋_GB2312" w:cs="仿宋_GB2312" w:eastAsia="仿宋_GB2312"/>
              </w:rPr>
              <w:t>备注：以上2.1-2.5项内容均须提供佐证材料予以证明，未提供佐证材料或佐证材料无法佐证，按照无效文件处理。佐证材料可为检测报告或产品彩页或加盖厂家公章的产品说明书。</w:t>
            </w:r>
          </w:p>
          <w:p>
            <w:pPr>
              <w:pStyle w:val="null3"/>
            </w:pPr>
            <w:r>
              <w:rPr>
                <w:rFonts w:ascii="仿宋_GB2312" w:hAnsi="仿宋_GB2312" w:cs="仿宋_GB2312" w:eastAsia="仿宋_GB2312"/>
              </w:rPr>
              <w:t>3.配置清单</w:t>
            </w:r>
          </w:p>
          <w:p>
            <w:pPr>
              <w:pStyle w:val="null3"/>
            </w:pPr>
            <w:r>
              <w:rPr>
                <w:rFonts w:ascii="仿宋_GB2312" w:hAnsi="仿宋_GB2312" w:cs="仿宋_GB2312" w:eastAsia="仿宋_GB2312"/>
              </w:rPr>
              <w:t>3.1.主机1台、配套样品杯不少于8套（含配套材料及工具）、样品膜不少于100片、U盘1个（容量不低于64G）；</w:t>
            </w:r>
          </w:p>
          <w:p>
            <w:pPr>
              <w:pStyle w:val="null3"/>
            </w:pPr>
            <w:r>
              <w:rPr>
                <w:rFonts w:ascii="仿宋_GB2312" w:hAnsi="仿宋_GB2312" w:cs="仿宋_GB2312" w:eastAsia="仿宋_GB2312"/>
              </w:rPr>
              <w:t>3.2.研磨仪1台（研磨频率≤70Hz，研磨球直径≤30mm，适配容量2mL、5mL、10mL、50mL、100mL）</w:t>
            </w:r>
          </w:p>
          <w:p>
            <w:pPr>
              <w:pStyle w:val="null3"/>
            </w:pPr>
            <w:r>
              <w:rPr>
                <w:rFonts w:ascii="仿宋_GB2312" w:hAnsi="仿宋_GB2312" w:cs="仿宋_GB2312" w:eastAsia="仿宋_GB2312"/>
              </w:rPr>
              <w:t>3.3本项目产品根据需求配置操作终端等，所有配置的系统需保证终身无条件维护和升级。（费用均包含在本项目报价中，不额外收费。）须提供加盖供应商公章的承诺函予以佐证。</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自合同签订之日起30日历日内完成交货</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西安市食品药品检验所指定地点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进度款，所有设备安装验收合格后，达到付款条件起10个工作日内，支付合同总金额的60.0%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按照谈判文件、响应文件及合同要求执行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验收合格之日起至少1年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按照谈判文件、响应文件及合同要求执行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5月（含5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5月（含5月）以来至少一个月已缴纳的社会保障资金的证明（社会保障资金缴存单据或社保机构开具的社会保险参保缴费情况证明等）；依法不需要缴纳社会保障资金的供应商应提供相关文件证明； ④提供具有履行本合同所必需的设备和专业技术能力的声明； ⑤参加本次政府采购活动前3年内在经营活动中没有重大违纪，以及未被列入失信被执行人、重大税收违法失信主体名单、政府采购严重违法失信行为记录名单的书面声明。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3供应商的资格证明材料.docx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财务状况报告：法人提供会计师事务所出具有效的2024年度或2025年度审计报告（审计报告须具有注册会计师行业统一监管平台https://acc.mof.gov.cn赋予的验证码）（成立时间至提交响应文件截止时间不足一年的可提供成立后任意时段的资产负债表），或提交自2025年11月1日以来银行出具的资信证明（以上两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3供应商的资格证明材料.docx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供应商需在项目电子化交易系统中按要求填写《响应函》完成承诺并进行电子签章。提供直接控股和直接管理关系清单。若与其他供应商存在单位负责人为同一人或者存在直接控股、管理关系的，则响应无效。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3供应商的资格证明材料.docx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采购项目，响应产品的制造商应为中型企业或小型、微型企业或监狱企业或残疾人福利性单位。响应产品的制造商为中型、小型、微型企业的，供应商提供《中小企业声明函》；响应产品的制造商为监狱企业的，供应商应提供响应产品制造商为监狱企业的证明文件；响应产品的制造商为残疾人福利性单位的，供应商应提供响应产品制造商为残疾人福利性单位的《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法定代表人参加谈判的，须提供法定代表人身份证；法定代表人授权本单位他人参加谈判的，须提供法定代表人授权委托书。</w:t>
            </w:r>
          </w:p>
        </w:tc>
        <w:tc>
          <w:tcPr>
            <w:tcW w:type="dxa" w:w="1661"/>
          </w:tcPr>
          <w:p>
            <w:pPr>
              <w:pStyle w:val="null3"/>
            </w:pPr>
            <w:r>
              <w:rPr>
                <w:rFonts w:ascii="仿宋_GB2312" w:hAnsi="仿宋_GB2312" w:cs="仿宋_GB2312" w:eastAsia="仿宋_GB2312"/>
              </w:rPr>
              <w:t>3供应商的资格证明材料.docx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本项目不接受联合体谈判，不允许分包</w:t>
            </w:r>
          </w:p>
        </w:tc>
        <w:tc>
          <w:tcPr>
            <w:tcW w:type="dxa" w:w="3322"/>
          </w:tcPr>
          <w:p>
            <w:pPr>
              <w:pStyle w:val="null3"/>
            </w:pPr>
            <w:r>
              <w:rPr>
                <w:rFonts w:ascii="仿宋_GB2312" w:hAnsi="仿宋_GB2312" w:cs="仿宋_GB2312" w:eastAsia="仿宋_GB2312"/>
              </w:rPr>
              <w:t>本项目不接受联合体谈判，不允许分包。供应商应提供《非联合体不分包投标声明》。</w:t>
            </w:r>
          </w:p>
        </w:tc>
        <w:tc>
          <w:tcPr>
            <w:tcW w:type="dxa" w:w="1661"/>
          </w:tcPr>
          <w:p>
            <w:pPr>
              <w:pStyle w:val="null3"/>
            </w:pPr>
            <w:r>
              <w:rPr>
                <w:rFonts w:ascii="仿宋_GB2312" w:hAnsi="仿宋_GB2312" w:cs="仿宋_GB2312" w:eastAsia="仿宋_GB2312"/>
              </w:rPr>
              <w:t>3供应商的资格证明材料.docx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辐射安全许可证</w:t>
            </w:r>
          </w:p>
        </w:tc>
        <w:tc>
          <w:tcPr>
            <w:tcW w:type="dxa" w:w="3322"/>
          </w:tcPr>
          <w:p>
            <w:pPr>
              <w:pStyle w:val="null3"/>
            </w:pPr>
            <w:r>
              <w:rPr>
                <w:rFonts w:ascii="仿宋_GB2312" w:hAnsi="仿宋_GB2312" w:cs="仿宋_GB2312" w:eastAsia="仿宋_GB2312"/>
              </w:rPr>
              <w:t>提供所投产品生产厂家的辐射安全许可证，且所投产品通过豁免备案的证明材料。（若所投产品未通过豁免备案，则须提供供应商的辐射安全许可证）</w:t>
            </w:r>
          </w:p>
        </w:tc>
        <w:tc>
          <w:tcPr>
            <w:tcW w:type="dxa" w:w="1661"/>
          </w:tcPr>
          <w:p>
            <w:pPr>
              <w:pStyle w:val="null3"/>
            </w:pPr>
            <w:r>
              <w:rPr>
                <w:rFonts w:ascii="仿宋_GB2312" w:hAnsi="仿宋_GB2312" w:cs="仿宋_GB2312" w:eastAsia="仿宋_GB2312"/>
              </w:rPr>
              <w:t>3供应商的资格证明材料.docx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（一）政府采购评审中出现下列情形之一的，谈判小组应当启动异常低价投标审查程序：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4.评审委员会基于专业判断，认为供应商报价过低，有可能影响产品质量或者不能诚信履约的其他情形。 （二）谈判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 谈判小组依据专业经验，参考同类项目中标（成交）价格、类似产品市场价格水平、行业人工费用标准、国家有关部门指导行业协会发布的行业平均成本等情况，对报价合理性进行判断。 （三）响应供应商不能提供书面说明、证明材料，或者提供的书面说明、证明材料不能证明其报价合理性的，评审委员会应当将其作为无效响应处理。供应商提交的相关证明材料，应当加盖供应商（法定名称）电子印章，在谈判小组要求的时间内通过项目电子化交易系统进行提交，否则提交的相关证明材料无效。</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响应文件按照谈判文件规定要求签署、盖章的</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实质性要求</w:t>
            </w:r>
          </w:p>
        </w:tc>
        <w:tc>
          <w:tcPr>
            <w:tcW w:type="dxa" w:w="3322"/>
          </w:tcPr>
          <w:p>
            <w:pPr>
              <w:pStyle w:val="null3"/>
            </w:pPr>
            <w:r>
              <w:rPr>
                <w:rFonts w:ascii="仿宋_GB2312" w:hAnsi="仿宋_GB2312" w:cs="仿宋_GB2312" w:eastAsia="仿宋_GB2312"/>
              </w:rPr>
              <w:t>满足谈判文件中交货时间、交货地点、支付约定、质量保修范围和保修期的要求的</w:t>
            </w:r>
          </w:p>
        </w:tc>
        <w:tc>
          <w:tcPr>
            <w:tcW w:type="dxa" w:w="1661"/>
          </w:tcPr>
          <w:p>
            <w:pPr>
              <w:pStyle w:val="null3"/>
            </w:pPr>
            <w:r>
              <w:rPr>
                <w:rFonts w:ascii="仿宋_GB2312" w:hAnsi="仿宋_GB2312" w:cs="仿宋_GB2312" w:eastAsia="仿宋_GB2312"/>
              </w:rPr>
              <w:t>2商务部分偏离表.docx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响应有效期满足谈判文件要求的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报价未超过谈判文件中规定的采购预算或最高限价的</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无法律、法规和谈判文件规定的其他无效情形</w:t>
            </w:r>
          </w:p>
        </w:tc>
        <w:tc>
          <w:tcPr>
            <w:tcW w:type="dxa" w:w="1661"/>
          </w:tcPr>
          <w:p>
            <w:pPr>
              <w:pStyle w:val="null3"/>
            </w:pPr>
            <w:r>
              <w:rPr>
                <w:rFonts w:ascii="仿宋_GB2312" w:hAnsi="仿宋_GB2312" w:cs="仿宋_GB2312" w:eastAsia="仿宋_GB2312"/>
              </w:rPr>
              <w:t>6供应商认为需要提供的其他资料.docx 5技术响应与偏离表.docx 4承诺书.docx 1配置表.docx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关于符合本国产品标准的声明函 中国境内生产的组件成本核算基本规则</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详见附件：1配置表.docx</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详见附件：3供应商的资格证明材料.docx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详见附件：5技术响应与偏离表.docx</w:t>
      </w:r>
    </w:p>
    <w:p>
      <w:pPr>
        <w:pStyle w:val="null3"/>
        <w:ind w:firstLine="960"/>
      </w:pPr>
      <w:r>
        <w:rPr>
          <w:rFonts w:ascii="仿宋_GB2312" w:hAnsi="仿宋_GB2312" w:cs="仿宋_GB2312" w:eastAsia="仿宋_GB2312"/>
        </w:rPr>
        <w:t>详见附件：6供应商认为需要提供的其他资料.docx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