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版本号：LTZB-2026083120260914002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镇巴县长岭镇中药材规范化种植基地建设项目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LTZB-20260831</w:t>
      </w:r>
      <w:r>
        <w:br/>
      </w:r>
      <w:r>
        <w:br/>
      </w:r>
      <w:r>
        <w:br/>
      </w:r>
    </w:p>
    <w:p>
      <w:pPr>
        <w:pStyle w:val="null3"/>
        <w:jc w:val="center"/>
        <w:outlineLvl w:val="2"/>
      </w:pPr>
      <w:r>
        <w:rPr>
          <w:rFonts w:ascii="仿宋_GB2312" w:hAnsi="仿宋_GB2312" w:cs="仿宋_GB2312" w:eastAsia="仿宋_GB2312"/>
          <w:sz w:val="28"/>
          <w:b/>
        </w:rPr>
        <w:t>镇巴县长岭镇人民政府</w:t>
      </w:r>
    </w:p>
    <w:p>
      <w:pPr>
        <w:pStyle w:val="null3"/>
        <w:jc w:val="center"/>
        <w:outlineLvl w:val="2"/>
      </w:pPr>
      <w:r>
        <w:rPr>
          <w:rFonts w:ascii="仿宋_GB2312" w:hAnsi="仿宋_GB2312" w:cs="仿宋_GB2312" w:eastAsia="仿宋_GB2312"/>
          <w:sz w:val="28"/>
          <w:b/>
        </w:rPr>
        <w:t>兰天项目管理有限公司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兰天项目管理有限公司</w:t>
      </w:r>
      <w:r>
        <w:rPr>
          <w:rFonts w:ascii="仿宋_GB2312" w:hAnsi="仿宋_GB2312" w:cs="仿宋_GB2312" w:eastAsia="仿宋_GB2312"/>
        </w:rPr>
        <w:t>（以下简称“代理机构”）受</w:t>
      </w:r>
      <w:r>
        <w:rPr>
          <w:rFonts w:ascii="仿宋_GB2312" w:hAnsi="仿宋_GB2312" w:cs="仿宋_GB2312" w:eastAsia="仿宋_GB2312"/>
        </w:rPr>
        <w:t>镇巴县长岭镇人民政府</w:t>
      </w:r>
      <w:r>
        <w:rPr>
          <w:rFonts w:ascii="仿宋_GB2312" w:hAnsi="仿宋_GB2312" w:cs="仿宋_GB2312" w:eastAsia="仿宋_GB2312"/>
        </w:rPr>
        <w:t>委托，拟对</w:t>
      </w:r>
      <w:r>
        <w:rPr>
          <w:rFonts w:ascii="仿宋_GB2312" w:hAnsi="仿宋_GB2312" w:cs="仿宋_GB2312" w:eastAsia="仿宋_GB2312"/>
        </w:rPr>
        <w:t>镇巴县长岭镇中药材规范化种植基地建设项目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LTZB-20260831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镇巴县长岭镇中药材规范化种植基地建设项目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建设中药材种植基地660亩，其中：林下淫羊藿520亩、黄精140亩；同步完成机耕道路等配套设施建设。</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采购包1（镇巴县长岭镇中药材规范化种植基地建设项目）：属于专门面向中小企业采购。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身份证明：投标人具有独立承担民事责任能力的法人、其他组织或自然人，并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镇巴县长岭镇人民政府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镇巴县长岭镇花园社区街上</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15191655567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兰天项目管理有限公司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陕西省西安市碑林区陕西省西安市碑林区红缨路9号豪盛大厦A座10604室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19916164724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开户名称：兰天项目管理有限公司汉中分公司</w:t>
            </w:r>
          </w:p>
          <w:p>
            <w:pPr>
              <w:pStyle w:val="null3"/>
            </w:pPr>
            <w:r>
              <w:rPr>
                <w:rFonts w:ascii="仿宋_GB2312" w:hAnsi="仿宋_GB2312" w:cs="仿宋_GB2312" w:eastAsia="仿宋_GB2312"/>
              </w:rPr>
              <w:t>开户银行：中国建设银行股份有限公司汉中分行营业部</w:t>
            </w:r>
          </w:p>
          <w:p>
            <w:pPr>
              <w:pStyle w:val="null3"/>
            </w:pPr>
            <w:r>
              <w:rPr>
                <w:rFonts w:ascii="仿宋_GB2312" w:hAnsi="仿宋_GB2312" w:cs="仿宋_GB2312" w:eastAsia="仿宋_GB2312"/>
              </w:rPr>
              <w:t>银行账号：61050165001500000799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代理服务费收费标准：代理服务费参照《招标代理服务收费管理暂行办法》计价[2002]1980号和《国家发改委办公厅关于招标代理服务收费有关问题的通知》（发改办价格〔2003〕857号）文件服务类标准计算。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镇巴县长岭镇人民政府</w:t>
      </w:r>
      <w:r>
        <w:rPr>
          <w:rFonts w:ascii="仿宋_GB2312" w:hAnsi="仿宋_GB2312" w:cs="仿宋_GB2312" w:eastAsia="仿宋_GB2312"/>
        </w:rPr>
        <w:t>和</w:t>
      </w:r>
      <w:r>
        <w:rPr>
          <w:rFonts w:ascii="仿宋_GB2312" w:hAnsi="仿宋_GB2312" w:cs="仿宋_GB2312" w:eastAsia="仿宋_GB2312"/>
        </w:rPr>
        <w:t>兰天项目管理有限公司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镇巴县长岭镇人民政府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兰天项目管理有限公司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镇巴县长岭镇人民政府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兰天项目管理有限公司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按照采购人要求完成种植等各项工作，验收标准按照相关农业种植技术标准验收。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联系人：马先生</w:t>
      </w:r>
    </w:p>
    <w:p>
      <w:pPr>
        <w:pStyle w:val="null3"/>
      </w:pPr>
      <w:r>
        <w:rPr>
          <w:rFonts w:ascii="仿宋_GB2312" w:hAnsi="仿宋_GB2312" w:cs="仿宋_GB2312" w:eastAsia="仿宋_GB2312"/>
        </w:rPr>
        <w:t>联系电话：19916164724</w:t>
      </w:r>
    </w:p>
    <w:p>
      <w:pPr>
        <w:pStyle w:val="null3"/>
      </w:pPr>
      <w:r>
        <w:rPr>
          <w:rFonts w:ascii="仿宋_GB2312" w:hAnsi="仿宋_GB2312" w:cs="仿宋_GB2312" w:eastAsia="仿宋_GB2312"/>
        </w:rPr>
        <w:t>地址：镇巴县泾洋街道办龙首融景城6号楼门面房202室</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建设中药材种植基地660亩，其中：林下淫羊藿520亩、黄精140亩；同步完成机耕道路等配套设施建设。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5,600,000.00</w:t>
      </w:r>
    </w:p>
    <w:p>
      <w:pPr>
        <w:pStyle w:val="null3"/>
      </w:pPr>
      <w:r>
        <w:rPr>
          <w:rFonts w:ascii="仿宋_GB2312" w:hAnsi="仿宋_GB2312" w:cs="仿宋_GB2312" w:eastAsia="仿宋_GB2312"/>
        </w:rPr>
        <w:t>采购包最高限价（元）: 5,600,000.00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镇巴县长岭镇中药材规范化种植基地建设项目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标的名称：镇巴县长岭镇中药材规范化种植基地建设项目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71"/>
              <w:gridCol w:w="354"/>
              <w:gridCol w:w="1120"/>
              <w:gridCol w:w="198"/>
              <w:gridCol w:w="356"/>
              <w:gridCol w:w="343"/>
            </w:tblGrid>
            <w:tr>
              <w:tc>
                <w:tcPr>
                  <w:tcW w:type="dxa" w:w="1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序号</w:t>
                  </w:r>
                </w:p>
              </w:tc>
              <w:tc>
                <w:tcPr>
                  <w:tcW w:type="dxa" w:w="3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淫羊藿种苗</w:t>
                  </w:r>
                  <w:r>
                    <w:rPr>
                      <w:rFonts w:ascii="仿宋_GB2312" w:hAnsi="仿宋_GB2312" w:cs="仿宋_GB2312" w:eastAsia="仿宋_GB2312"/>
                      <w:sz w:val="24"/>
                      <w:color w:val="000000"/>
                    </w:rPr>
                    <w:t>采购及</w:t>
                  </w:r>
                  <w:r>
                    <w:rPr>
                      <w:rFonts w:ascii="仿宋_GB2312" w:hAnsi="仿宋_GB2312" w:cs="仿宋_GB2312" w:eastAsia="仿宋_GB2312"/>
                      <w:sz w:val="24"/>
                      <w:color w:val="000000"/>
                    </w:rPr>
                    <w:t>种植</w:t>
                  </w:r>
                  <w:r>
                    <w:rPr>
                      <w:rFonts w:ascii="仿宋_GB2312" w:hAnsi="仿宋_GB2312" w:cs="仿宋_GB2312" w:eastAsia="仿宋_GB2312"/>
                      <w:sz w:val="24"/>
                      <w:color w:val="000000"/>
                    </w:rPr>
                    <w:t>520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亩</w:t>
                  </w:r>
                </w:p>
                <w:p>
                  <w:pPr>
                    <w:pStyle w:val="null3"/>
                    <w:jc w:val="center"/>
                  </w:pPr>
                  <w:r>
                    <w:rPr>
                      <w:rFonts w:ascii="仿宋_GB2312" w:hAnsi="仿宋_GB2312" w:cs="仿宋_GB2312" w:eastAsia="仿宋_GB2312"/>
                      <w:sz w:val="24"/>
                      <w:b/>
                      <w:color w:val="000000"/>
                    </w:rPr>
                    <w:t>分项名称</w:t>
                  </w:r>
                </w:p>
              </w:tc>
              <w:tc>
                <w:tcPr>
                  <w:tcW w:type="dxa" w:w="11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规格参数</w:t>
                  </w:r>
                </w:p>
              </w:tc>
              <w:tc>
                <w:tcPr>
                  <w:tcW w:type="dxa" w:w="1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单位</w:t>
                  </w:r>
                </w:p>
              </w:tc>
              <w:tc>
                <w:tcPr>
                  <w:tcW w:type="dxa" w:w="35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数量</w:t>
                  </w:r>
                </w:p>
              </w:tc>
              <w:tc>
                <w:tcPr>
                  <w:tcW w:type="dxa" w:w="3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备注</w:t>
                  </w:r>
                </w:p>
              </w:tc>
            </w:tr>
            <w:tr>
              <w:tc>
                <w:tcPr>
                  <w:tcW w:type="dxa" w:w="1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1.1</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淫羊藿种苗</w:t>
                  </w:r>
                </w:p>
              </w:tc>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种苗为淫羊藿种子繁育的实生苗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每株高</w:t>
                  </w:r>
                  <w:r>
                    <w:rPr>
                      <w:rFonts w:ascii="仿宋_GB2312" w:hAnsi="仿宋_GB2312" w:cs="仿宋_GB2312" w:eastAsia="仿宋_GB2312"/>
                      <w:sz w:val="24"/>
                      <w:color w:val="000000"/>
                    </w:rPr>
                    <w:t>10cm以上，分支数3个以上，芽头1个以上</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）无根腐病、</w:t>
                  </w:r>
                  <w:r>
                    <w:rPr>
                      <w:rFonts w:ascii="仿宋_GB2312" w:hAnsi="仿宋_GB2312" w:cs="仿宋_GB2312" w:eastAsia="仿宋_GB2312"/>
                      <w:sz w:val="24"/>
                      <w:color w:val="000000"/>
                    </w:rPr>
                    <w:t>锈病等病虫害</w:t>
                  </w:r>
                  <w:r>
                    <w:rPr>
                      <w:rFonts w:ascii="仿宋_GB2312" w:hAnsi="仿宋_GB2312" w:cs="仿宋_GB2312" w:eastAsia="仿宋_GB2312"/>
                      <w:sz w:val="24"/>
                      <w:color w:val="000000"/>
                    </w:rPr>
                    <w:t>；</w:t>
                  </w:r>
                </w:p>
                <w:p>
                  <w:pPr>
                    <w:pStyle w:val="null3"/>
                    <w:jc w:val="both"/>
                  </w:pPr>
                </w:p>
              </w:tc>
              <w:tc>
                <w:tcPr>
                  <w:tcW w:type="dxa" w:w="1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亩</w:t>
                  </w:r>
                </w:p>
              </w:tc>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按</w:t>
                  </w:r>
                  <w:r>
                    <w:rPr>
                      <w:rFonts w:ascii="仿宋_GB2312" w:hAnsi="仿宋_GB2312" w:cs="仿宋_GB2312" w:eastAsia="仿宋_GB2312"/>
                    </w:rPr>
                    <w:t xml:space="preserve"> </w:t>
                  </w:r>
                  <w:r>
                    <w:rPr>
                      <w:rFonts w:ascii="仿宋_GB2312" w:hAnsi="仿宋_GB2312" w:cs="仿宋_GB2312" w:eastAsia="仿宋_GB2312"/>
                      <w:sz w:val="24"/>
                      <w:color w:val="000000"/>
                    </w:rPr>
                    <w:t>520</w:t>
                  </w:r>
                  <w:r>
                    <w:rPr>
                      <w:rFonts w:ascii="仿宋_GB2312" w:hAnsi="仿宋_GB2312" w:cs="仿宋_GB2312" w:eastAsia="仿宋_GB2312"/>
                    </w:rPr>
                    <w:t xml:space="preserve"> </w:t>
                  </w:r>
                  <w:r>
                    <w:rPr>
                      <w:rFonts w:ascii="仿宋_GB2312" w:hAnsi="仿宋_GB2312" w:cs="仿宋_GB2312" w:eastAsia="仿宋_GB2312"/>
                      <w:sz w:val="24"/>
                      <w:color w:val="000000"/>
                    </w:rPr>
                    <w:t>亩</w:t>
                  </w:r>
                  <w:r>
                    <w:rPr>
                      <w:rFonts w:ascii="仿宋_GB2312" w:hAnsi="仿宋_GB2312" w:cs="仿宋_GB2312" w:eastAsia="仿宋_GB2312"/>
                      <w:sz w:val="24"/>
                      <w:color w:val="000000"/>
                    </w:rPr>
                    <w:t>种植密度核</w:t>
                  </w:r>
                  <w:r>
                    <w:rPr>
                      <w:rFonts w:ascii="仿宋_GB2312" w:hAnsi="仿宋_GB2312" w:cs="仿宋_GB2312" w:eastAsia="仿宋_GB2312"/>
                      <w:sz w:val="24"/>
                      <w:color w:val="000000"/>
                    </w:rPr>
                    <w:t>算（每亩</w:t>
                  </w:r>
                  <w:r>
                    <w:rPr>
                      <w:rFonts w:ascii="仿宋_GB2312" w:hAnsi="仿宋_GB2312" w:cs="仿宋_GB2312" w:eastAsia="仿宋_GB2312"/>
                      <w:sz w:val="24"/>
                      <w:color w:val="000000"/>
                    </w:rPr>
                    <w:t>≥</w:t>
                  </w:r>
                </w:p>
                <w:p>
                  <w:pPr>
                    <w:pStyle w:val="null3"/>
                    <w:jc w:val="center"/>
                  </w:pPr>
                  <w:r>
                    <w:rPr>
                      <w:rFonts w:ascii="仿宋_GB2312" w:hAnsi="仿宋_GB2312" w:cs="仿宋_GB2312" w:eastAsia="仿宋_GB2312"/>
                      <w:sz w:val="24"/>
                      <w:color w:val="000000"/>
                    </w:rPr>
                    <w:t>30</w:t>
                  </w:r>
                  <w:r>
                    <w:rPr>
                      <w:rFonts w:ascii="仿宋_GB2312" w:hAnsi="仿宋_GB2312" w:cs="仿宋_GB2312" w:eastAsia="仿宋_GB2312"/>
                      <w:sz w:val="24"/>
                      <w:color w:val="000000"/>
                    </w:rPr>
                    <w:t>00</w:t>
                  </w:r>
                  <w:r>
                    <w:rPr>
                      <w:rFonts w:ascii="仿宋_GB2312" w:hAnsi="仿宋_GB2312" w:cs="仿宋_GB2312" w:eastAsia="仿宋_GB2312"/>
                    </w:rPr>
                    <w:t xml:space="preserve"> </w:t>
                  </w:r>
                  <w:r>
                    <w:rPr>
                      <w:rFonts w:ascii="仿宋_GB2312" w:hAnsi="仿宋_GB2312" w:cs="仿宋_GB2312" w:eastAsia="仿宋_GB2312"/>
                      <w:sz w:val="24"/>
                      <w:color w:val="000000"/>
                    </w:rPr>
                    <w:t>株</w:t>
                  </w:r>
                  <w:r>
                    <w:rPr>
                      <w:rFonts w:ascii="仿宋_GB2312" w:hAnsi="仿宋_GB2312" w:cs="仿宋_GB2312" w:eastAsia="仿宋_GB2312"/>
                      <w:sz w:val="24"/>
                      <w:color w:val="000000"/>
                    </w:rPr>
                    <w:t>），</w:t>
                  </w:r>
                  <w:r>
                    <w:rPr>
                      <w:rFonts w:ascii="仿宋_GB2312" w:hAnsi="仿宋_GB2312" w:cs="仿宋_GB2312" w:eastAsia="仿宋_GB2312"/>
                      <w:sz w:val="24"/>
                      <w:color w:val="000000"/>
                    </w:rPr>
                    <w:t>总计</w:t>
                  </w:r>
                  <w:r>
                    <w:rPr>
                      <w:rFonts w:ascii="仿宋_GB2312" w:hAnsi="仿宋_GB2312" w:cs="仿宋_GB2312" w:eastAsia="仿宋_GB2312"/>
                      <w:sz w:val="24"/>
                      <w:color w:val="000000"/>
                    </w:rPr>
                    <w:t>≥</w:t>
                  </w:r>
                </w:p>
                <w:p>
                  <w:pPr>
                    <w:pStyle w:val="null3"/>
                    <w:jc w:val="center"/>
                  </w:pPr>
                  <w:r>
                    <w:rPr>
                      <w:rFonts w:ascii="仿宋_GB2312" w:hAnsi="仿宋_GB2312" w:cs="仿宋_GB2312" w:eastAsia="仿宋_GB2312"/>
                      <w:sz w:val="24"/>
                      <w:color w:val="000000"/>
                    </w:rPr>
                    <w:t>1560000</w:t>
                  </w:r>
                  <w:r>
                    <w:rPr>
                      <w:rFonts w:ascii="仿宋_GB2312" w:hAnsi="仿宋_GB2312" w:cs="仿宋_GB2312" w:eastAsia="仿宋_GB2312"/>
                    </w:rPr>
                    <w:t xml:space="preserve"> </w:t>
                  </w:r>
                  <w:r>
                    <w:rPr>
                      <w:rFonts w:ascii="仿宋_GB2312" w:hAnsi="仿宋_GB2312" w:cs="仿宋_GB2312" w:eastAsia="仿宋_GB2312"/>
                      <w:sz w:val="24"/>
                      <w:color w:val="000000"/>
                    </w:rPr>
                    <w:t>株</w:t>
                  </w:r>
                </w:p>
              </w:tc>
              <w:tc>
                <w:tcPr>
                  <w:tcW w:type="dxa" w:w="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含</w:t>
                  </w:r>
                  <w:r>
                    <w:rPr>
                      <w:rFonts w:ascii="仿宋_GB2312" w:hAnsi="仿宋_GB2312" w:cs="仿宋_GB2312" w:eastAsia="仿宋_GB2312"/>
                      <w:sz w:val="24"/>
                      <w:color w:val="000000"/>
                    </w:rPr>
                    <w:t>种苗</w:t>
                  </w:r>
                  <w:r>
                    <w:rPr>
                      <w:rFonts w:ascii="仿宋_GB2312" w:hAnsi="仿宋_GB2312" w:cs="仿宋_GB2312" w:eastAsia="仿宋_GB2312"/>
                      <w:sz w:val="24"/>
                      <w:color w:val="000000"/>
                    </w:rPr>
                    <w:t>采</w:t>
                  </w:r>
                  <w:r>
                    <w:rPr>
                      <w:rFonts w:ascii="仿宋_GB2312" w:hAnsi="仿宋_GB2312" w:cs="仿宋_GB2312" w:eastAsia="仿宋_GB2312"/>
                      <w:sz w:val="24"/>
                      <w:color w:val="000000"/>
                    </w:rPr>
                    <w:t>购、包装、</w:t>
                  </w:r>
                  <w:r>
                    <w:rPr>
                      <w:rFonts w:ascii="仿宋_GB2312" w:hAnsi="仿宋_GB2312" w:cs="仿宋_GB2312" w:eastAsia="仿宋_GB2312"/>
                      <w:sz w:val="24"/>
                      <w:color w:val="000000"/>
                    </w:rPr>
                    <w:t>运输至种植</w:t>
                  </w:r>
                  <w:r>
                    <w:rPr>
                      <w:rFonts w:ascii="仿宋_GB2312" w:hAnsi="仿宋_GB2312" w:cs="仿宋_GB2312" w:eastAsia="仿宋_GB2312"/>
                      <w:sz w:val="24"/>
                      <w:color w:val="000000"/>
                    </w:rPr>
                    <w:t>地块</w:t>
                  </w:r>
                </w:p>
              </w:tc>
            </w:tr>
            <w:tr>
              <w:tc>
                <w:tcPr>
                  <w:tcW w:type="dxa" w:w="1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1.2</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种植人工及</w:t>
                  </w:r>
                  <w:r>
                    <w:rPr>
                      <w:rFonts w:ascii="仿宋_GB2312" w:hAnsi="仿宋_GB2312" w:cs="仿宋_GB2312" w:eastAsia="仿宋_GB2312"/>
                    </w:rPr>
                    <w:t xml:space="preserve"> </w:t>
                  </w:r>
                  <w:r>
                    <w:rPr>
                      <w:rFonts w:ascii="仿宋_GB2312" w:hAnsi="仿宋_GB2312" w:cs="仿宋_GB2312" w:eastAsia="仿宋_GB2312"/>
                      <w:sz w:val="24"/>
                      <w:color w:val="000000"/>
                    </w:rPr>
                    <w:t>配套服务</w:t>
                  </w:r>
                </w:p>
              </w:tc>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含种植密度把控、整地</w:t>
                  </w:r>
                  <w:r>
                    <w:rPr>
                      <w:rFonts w:ascii="仿宋_GB2312" w:hAnsi="仿宋_GB2312" w:cs="仿宋_GB2312" w:eastAsia="仿宋_GB2312"/>
                      <w:sz w:val="24"/>
                      <w:color w:val="000000"/>
                    </w:rPr>
                    <w:t>（</w:t>
                  </w:r>
                  <w:r>
                    <w:rPr>
                      <w:rFonts w:ascii="仿宋_GB2312" w:hAnsi="仿宋_GB2312" w:cs="仿宋_GB2312" w:eastAsia="仿宋_GB2312"/>
                      <w:sz w:val="24"/>
                      <w:color w:val="000000"/>
                    </w:rPr>
                    <w:t>含疏林</w:t>
                  </w:r>
                  <w:r>
                    <w:rPr>
                      <w:rFonts w:ascii="仿宋_GB2312" w:hAnsi="仿宋_GB2312" w:cs="仿宋_GB2312" w:eastAsia="仿宋_GB2312"/>
                      <w:sz w:val="24"/>
                      <w:color w:val="000000"/>
                    </w:rPr>
                    <w:t>）</w:t>
                  </w:r>
                  <w:r>
                    <w:rPr>
                      <w:rFonts w:ascii="仿宋_GB2312" w:hAnsi="仿宋_GB2312" w:cs="仿宋_GB2312" w:eastAsia="仿宋_GB2312"/>
                      <w:sz w:val="24"/>
                      <w:color w:val="000000"/>
                    </w:rPr>
                    <w:t>、定植、浇水、初期</w:t>
                  </w:r>
                  <w:r>
                    <w:rPr>
                      <w:rFonts w:ascii="仿宋_GB2312" w:hAnsi="仿宋_GB2312" w:cs="仿宋_GB2312" w:eastAsia="仿宋_GB2312"/>
                      <w:sz w:val="24"/>
                      <w:color w:val="000000"/>
                    </w:rPr>
                    <w:t>管护指导，</w:t>
                  </w:r>
                  <w:r>
                    <w:rPr>
                      <w:rFonts w:ascii="仿宋_GB2312" w:hAnsi="仿宋_GB2312" w:cs="仿宋_GB2312" w:eastAsia="仿宋_GB2312"/>
                      <w:sz w:val="24"/>
                      <w:color w:val="000000"/>
                    </w:rPr>
                    <w:t>种苗</w:t>
                  </w:r>
                  <w:r>
                    <w:rPr>
                      <w:rFonts w:ascii="仿宋_GB2312" w:hAnsi="仿宋_GB2312" w:cs="仿宋_GB2312" w:eastAsia="仿宋_GB2312"/>
                      <w:sz w:val="24"/>
                      <w:color w:val="000000"/>
                    </w:rPr>
                    <w:t>售后保障（</w:t>
                  </w:r>
                  <w:r>
                    <w:rPr>
                      <w:rFonts w:ascii="仿宋_GB2312" w:hAnsi="仿宋_GB2312" w:cs="仿宋_GB2312" w:eastAsia="仿宋_GB2312"/>
                      <w:sz w:val="24"/>
                      <w:color w:val="000000"/>
                    </w:rPr>
                    <w:t>3 个月质保期内，</w:t>
                  </w:r>
                  <w:r>
                    <w:rPr>
                      <w:rFonts w:ascii="仿宋_GB2312" w:hAnsi="仿宋_GB2312" w:cs="仿宋_GB2312" w:eastAsia="仿宋_GB2312"/>
                    </w:rPr>
                    <w:t xml:space="preserve"> </w:t>
                  </w:r>
                  <w:r>
                    <w:rPr>
                      <w:rFonts w:ascii="仿宋_GB2312" w:hAnsi="仿宋_GB2312" w:cs="仿宋_GB2312" w:eastAsia="仿宋_GB2312"/>
                      <w:sz w:val="24"/>
                      <w:color w:val="000000"/>
                    </w:rPr>
                    <w:t>若因</w:t>
                  </w:r>
                  <w:r>
                    <w:rPr>
                      <w:rFonts w:ascii="仿宋_GB2312" w:hAnsi="仿宋_GB2312" w:cs="仿宋_GB2312" w:eastAsia="仿宋_GB2312"/>
                      <w:sz w:val="24"/>
                      <w:color w:val="000000"/>
                    </w:rPr>
                    <w:t>种苗</w:t>
                  </w:r>
                  <w:r>
                    <w:rPr>
                      <w:rFonts w:ascii="仿宋_GB2312" w:hAnsi="仿宋_GB2312" w:cs="仿宋_GB2312" w:eastAsia="仿宋_GB2312"/>
                      <w:sz w:val="24"/>
                      <w:color w:val="000000"/>
                    </w:rPr>
                    <w:t>质量问题（品种、病虫害、成活率</w:t>
                  </w:r>
                  <w:r>
                    <w:rPr>
                      <w:rFonts w:ascii="仿宋_GB2312" w:hAnsi="仿宋_GB2312" w:cs="仿宋_GB2312" w:eastAsia="仿宋_GB2312"/>
                    </w:rPr>
                    <w:t xml:space="preserve"> </w:t>
                  </w:r>
                  <w:r>
                    <w:rPr>
                      <w:rFonts w:ascii="仿宋_GB2312" w:hAnsi="仿宋_GB2312" w:cs="仿宋_GB2312" w:eastAsia="仿宋_GB2312"/>
                      <w:sz w:val="24"/>
                      <w:color w:val="000000"/>
                    </w:rPr>
                    <w:t>不达标）免费更换、补齐</w:t>
                  </w:r>
                  <w:r>
                    <w:rPr>
                      <w:rFonts w:ascii="仿宋_GB2312" w:hAnsi="仿宋_GB2312" w:cs="仿宋_GB2312" w:eastAsia="仿宋_GB2312"/>
                      <w:sz w:val="24"/>
                      <w:color w:val="000000"/>
                    </w:rPr>
                    <w:t>，</w:t>
                  </w:r>
                  <w:r>
                    <w:rPr>
                      <w:rFonts w:ascii="仿宋_GB2312" w:hAnsi="仿宋_GB2312" w:cs="仿宋_GB2312" w:eastAsia="仿宋_GB2312"/>
                      <w:sz w:val="24"/>
                      <w:color w:val="000000"/>
                    </w:rPr>
                    <w:t>种苗成活率</w:t>
                  </w:r>
                  <w:r>
                    <w:rPr>
                      <w:rFonts w:ascii="仿宋_GB2312" w:hAnsi="仿宋_GB2312" w:cs="仿宋_GB2312" w:eastAsia="仿宋_GB2312"/>
                      <w:sz w:val="24"/>
                      <w:color w:val="000000"/>
                    </w:rPr>
                    <w:t>≥95%</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1）株距：</w:t>
                  </w:r>
                  <w:r>
                    <w:rPr>
                      <w:rFonts w:ascii="仿宋_GB2312" w:hAnsi="仿宋_GB2312" w:cs="仿宋_GB2312" w:eastAsia="仿宋_GB2312"/>
                      <w:sz w:val="24"/>
                      <w:color w:val="000000"/>
                    </w:rPr>
                    <w:t>2</w:t>
                  </w:r>
                  <w:r>
                    <w:rPr>
                      <w:rFonts w:ascii="仿宋_GB2312" w:hAnsi="仿宋_GB2312" w:cs="仿宋_GB2312" w:eastAsia="仿宋_GB2312"/>
                      <w:sz w:val="24"/>
                      <w:color w:val="000000"/>
                    </w:rPr>
                    <w:t>0-</w:t>
                  </w:r>
                  <w:r>
                    <w:rPr>
                      <w:rFonts w:ascii="仿宋_GB2312" w:hAnsi="仿宋_GB2312" w:cs="仿宋_GB2312" w:eastAsia="仿宋_GB2312"/>
                      <w:sz w:val="24"/>
                      <w:color w:val="000000"/>
                    </w:rPr>
                    <w:t>3</w:t>
                  </w:r>
                  <w:r>
                    <w:rPr>
                      <w:rFonts w:ascii="仿宋_GB2312" w:hAnsi="仿宋_GB2312" w:cs="仿宋_GB2312" w:eastAsia="仿宋_GB2312"/>
                      <w:sz w:val="24"/>
                      <w:color w:val="000000"/>
                    </w:rPr>
                    <w:t>0cm；行距：</w:t>
                  </w:r>
                  <w:r>
                    <w:rPr>
                      <w:rFonts w:ascii="仿宋_GB2312" w:hAnsi="仿宋_GB2312" w:cs="仿宋_GB2312" w:eastAsia="仿宋_GB2312"/>
                      <w:sz w:val="24"/>
                      <w:color w:val="000000"/>
                    </w:rPr>
                    <w:t>3</w:t>
                  </w:r>
                  <w:r>
                    <w:rPr>
                      <w:rFonts w:ascii="仿宋_GB2312" w:hAnsi="仿宋_GB2312" w:cs="仿宋_GB2312" w:eastAsia="仿宋_GB2312"/>
                      <w:sz w:val="24"/>
                      <w:color w:val="000000"/>
                    </w:rPr>
                    <w:t>0-</w:t>
                  </w:r>
                  <w:r>
                    <w:rPr>
                      <w:rFonts w:ascii="仿宋_GB2312" w:hAnsi="仿宋_GB2312" w:cs="仿宋_GB2312" w:eastAsia="仿宋_GB2312"/>
                      <w:sz w:val="24"/>
                      <w:color w:val="000000"/>
                    </w:rPr>
                    <w:t>4</w:t>
                  </w:r>
                  <w:r>
                    <w:rPr>
                      <w:rFonts w:ascii="仿宋_GB2312" w:hAnsi="仿宋_GB2312" w:cs="仿宋_GB2312" w:eastAsia="仿宋_GB2312"/>
                      <w:sz w:val="24"/>
                      <w:color w:val="000000"/>
                    </w:rPr>
                    <w:t>0cm；</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2）穴规格：穴深</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r>
                    <w:rPr>
                      <w:rFonts w:ascii="仿宋_GB2312" w:hAnsi="仿宋_GB2312" w:cs="仿宋_GB2312" w:eastAsia="仿宋_GB2312"/>
                      <w:sz w:val="24"/>
                      <w:color w:val="000000"/>
                    </w:rPr>
                    <w:t>15</w:t>
                  </w:r>
                  <w:r>
                    <w:rPr>
                      <w:rFonts w:ascii="仿宋_GB2312" w:hAnsi="仿宋_GB2312" w:cs="仿宋_GB2312" w:eastAsia="仿宋_GB2312"/>
                      <w:sz w:val="24"/>
                      <w:color w:val="000000"/>
                    </w:rPr>
                    <w:t>cm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3）覆土深度：芽朝上，覆土</w:t>
                  </w:r>
                  <w:r>
                    <w:rPr>
                      <w:rFonts w:ascii="仿宋_GB2312" w:hAnsi="仿宋_GB2312" w:cs="仿宋_GB2312" w:eastAsia="仿宋_GB2312"/>
                    </w:rPr>
                    <w:t xml:space="preserve"> </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cm</w:t>
                  </w:r>
                  <w:r>
                    <w:rPr>
                      <w:rFonts w:ascii="仿宋_GB2312" w:hAnsi="仿宋_GB2312" w:cs="仿宋_GB2312" w:eastAsia="仿宋_GB2312"/>
                      <w:sz w:val="24"/>
                      <w:color w:val="000000"/>
                    </w:rPr>
                    <w:t>；</w:t>
                  </w:r>
                </w:p>
              </w:tc>
              <w:tc>
                <w:tcPr>
                  <w:tcW w:type="dxa" w:w="1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亩</w:t>
                  </w:r>
                </w:p>
              </w:tc>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520</w:t>
                  </w:r>
                </w:p>
              </w:tc>
              <w:tc>
                <w:tcPr>
                  <w:tcW w:type="dxa" w:w="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含种植工具</w:t>
                  </w:r>
                  <w:r>
                    <w:rPr>
                      <w:rFonts w:ascii="仿宋_GB2312" w:hAnsi="仿宋_GB2312" w:cs="仿宋_GB2312" w:eastAsia="仿宋_GB2312"/>
                      <w:sz w:val="24"/>
                      <w:color w:val="000000"/>
                    </w:rPr>
                    <w:t>使用、人工</w:t>
                  </w:r>
                  <w:r>
                    <w:rPr>
                      <w:rFonts w:ascii="仿宋_GB2312" w:hAnsi="仿宋_GB2312" w:cs="仿宋_GB2312" w:eastAsia="仿宋_GB2312"/>
                      <w:sz w:val="24"/>
                      <w:color w:val="000000"/>
                    </w:rPr>
                    <w:t>成本</w:t>
                  </w:r>
                </w:p>
              </w:tc>
            </w:tr>
            <w:tr>
              <w:tc>
                <w:tcPr>
                  <w:tcW w:type="dxa" w:w="1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1.3</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肥料</w:t>
                  </w:r>
                </w:p>
              </w:tc>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生物有机肥</w:t>
                  </w:r>
                </w:p>
              </w:tc>
              <w:tc>
                <w:tcPr>
                  <w:tcW w:type="dxa" w:w="1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亩</w:t>
                  </w:r>
                </w:p>
              </w:tc>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520</w:t>
                  </w:r>
                </w:p>
              </w:tc>
              <w:tc>
                <w:tcPr>
                  <w:tcW w:type="dxa" w:w="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1.4</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种植技术指</w:t>
                  </w:r>
                </w:p>
                <w:p>
                  <w:pPr>
                    <w:pStyle w:val="null3"/>
                    <w:jc w:val="center"/>
                  </w:pPr>
                  <w:r>
                    <w:rPr>
                      <w:rFonts w:ascii="仿宋_GB2312" w:hAnsi="仿宋_GB2312" w:cs="仿宋_GB2312" w:eastAsia="仿宋_GB2312"/>
                      <w:sz w:val="24"/>
                      <w:color w:val="000000"/>
                    </w:rPr>
                    <w:t>导</w:t>
                  </w:r>
                </w:p>
              </w:tc>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含种植前</w:t>
                  </w:r>
                  <w:r>
                    <w:rPr>
                      <w:rFonts w:ascii="仿宋_GB2312" w:hAnsi="仿宋_GB2312" w:cs="仿宋_GB2312" w:eastAsia="仿宋_GB2312"/>
                      <w:sz w:val="24"/>
                      <w:color w:val="000000"/>
                    </w:rPr>
                    <w:t>种植基地勘测</w:t>
                  </w:r>
                  <w:r>
                    <w:rPr>
                      <w:rFonts w:ascii="仿宋_GB2312" w:hAnsi="仿宋_GB2312" w:cs="仿宋_GB2312" w:eastAsia="仿宋_GB2312"/>
                      <w:sz w:val="24"/>
                      <w:color w:val="000000"/>
                    </w:rPr>
                    <w:t>、种植期间水肥管理指</w:t>
                  </w:r>
                  <w:r>
                    <w:rPr>
                      <w:rFonts w:ascii="仿宋_GB2312" w:hAnsi="仿宋_GB2312" w:cs="仿宋_GB2312" w:eastAsia="仿宋_GB2312"/>
                    </w:rPr>
                    <w:t xml:space="preserve">  </w:t>
                  </w:r>
                  <w:r>
                    <w:rPr>
                      <w:rFonts w:ascii="仿宋_GB2312" w:hAnsi="仿宋_GB2312" w:cs="仿宋_GB2312" w:eastAsia="仿宋_GB2312"/>
                      <w:sz w:val="24"/>
                      <w:color w:val="000000"/>
                    </w:rPr>
                    <w:t>导、病虫害防治技术培训（不少于</w:t>
                  </w:r>
                  <w:r>
                    <w:rPr>
                      <w:rFonts w:ascii="仿宋_GB2312" w:hAnsi="仿宋_GB2312" w:cs="仿宋_GB2312" w:eastAsia="仿宋_GB2312"/>
                      <w:sz w:val="24"/>
                      <w:color w:val="000000"/>
                    </w:rPr>
                    <w:t xml:space="preserve"> 3 次上</w:t>
                  </w:r>
                  <w:r>
                    <w:rPr>
                      <w:rFonts w:ascii="仿宋_GB2312" w:hAnsi="仿宋_GB2312" w:cs="仿宋_GB2312" w:eastAsia="仿宋_GB2312"/>
                    </w:rPr>
                    <w:t xml:space="preserve"> </w:t>
                  </w:r>
                  <w:r>
                    <w:rPr>
                      <w:rFonts w:ascii="仿宋_GB2312" w:hAnsi="仿宋_GB2312" w:cs="仿宋_GB2312" w:eastAsia="仿宋_GB2312"/>
                      <w:sz w:val="24"/>
                      <w:color w:val="000000"/>
                    </w:rPr>
                    <w:t>门）</w:t>
                  </w:r>
                </w:p>
              </w:tc>
              <w:tc>
                <w:tcPr>
                  <w:tcW w:type="dxa" w:w="1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项</w:t>
                  </w:r>
                </w:p>
              </w:tc>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含技术人员</w:t>
                  </w:r>
                  <w:r>
                    <w:rPr>
                      <w:rFonts w:ascii="仿宋_GB2312" w:hAnsi="仿宋_GB2312" w:cs="仿宋_GB2312" w:eastAsia="仿宋_GB2312"/>
                      <w:sz w:val="24"/>
                      <w:color w:val="000000"/>
                    </w:rPr>
                    <w:t>差旅、培训</w:t>
                  </w:r>
                  <w:r>
                    <w:rPr>
                      <w:rFonts w:ascii="仿宋_GB2312" w:hAnsi="仿宋_GB2312" w:cs="仿宋_GB2312" w:eastAsia="仿宋_GB2312"/>
                      <w:sz w:val="24"/>
                      <w:color w:val="000000"/>
                    </w:rPr>
                    <w:t>资料</w:t>
                  </w:r>
                </w:p>
              </w:tc>
            </w:tr>
          </w:tbl>
          <w:tbl>
            <w:tblPr>
              <w:tblInd w:type="dxa" w:w="105"/>
              <w:tblBorders>
                <w:top w:val="none" w:color="000000" w:sz="4"/>
                <w:left w:val="none" w:color="000000" w:sz="4"/>
                <w:bottom w:val="none" w:color="000000" w:sz="4"/>
                <w:right w:val="none" w:color="000000" w:sz="4"/>
                <w:insideH w:val="none"/>
                <w:insideV w:val="none"/>
              </w:tblBorders>
            </w:tblPr>
            <w:tblGrid>
              <w:gridCol w:w="171"/>
              <w:gridCol w:w="354"/>
              <w:gridCol w:w="1120"/>
              <w:gridCol w:w="198"/>
              <w:gridCol w:w="356"/>
              <w:gridCol w:w="343"/>
            </w:tblGrid>
            <w:tr>
              <w:tc>
                <w:tcPr>
                  <w:tcW w:type="dxa" w:w="1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序号</w:t>
                  </w:r>
                </w:p>
              </w:tc>
              <w:tc>
                <w:tcPr>
                  <w:tcW w:type="dxa" w:w="3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黄精</w:t>
                  </w:r>
                  <w:r>
                    <w:rPr>
                      <w:rFonts w:ascii="仿宋_GB2312" w:hAnsi="仿宋_GB2312" w:cs="仿宋_GB2312" w:eastAsia="仿宋_GB2312"/>
                      <w:sz w:val="24"/>
                      <w:color w:val="000000"/>
                    </w:rPr>
                    <w:t>种苗</w:t>
                  </w:r>
                  <w:r>
                    <w:rPr>
                      <w:rFonts w:ascii="仿宋_GB2312" w:hAnsi="仿宋_GB2312" w:cs="仿宋_GB2312" w:eastAsia="仿宋_GB2312"/>
                      <w:sz w:val="24"/>
                      <w:color w:val="000000"/>
                    </w:rPr>
                    <w:t>采购及种植</w:t>
                  </w:r>
                  <w:r>
                    <w:rPr>
                      <w:rFonts w:ascii="仿宋_GB2312" w:hAnsi="仿宋_GB2312" w:cs="仿宋_GB2312" w:eastAsia="仿宋_GB2312"/>
                      <w:sz w:val="24"/>
                      <w:color w:val="000000"/>
                    </w:rPr>
                    <w:t>140亩</w:t>
                  </w:r>
                </w:p>
                <w:p>
                  <w:pPr>
                    <w:pStyle w:val="null3"/>
                    <w:jc w:val="center"/>
                  </w:pPr>
                  <w:r>
                    <w:rPr>
                      <w:rFonts w:ascii="仿宋_GB2312" w:hAnsi="仿宋_GB2312" w:cs="仿宋_GB2312" w:eastAsia="仿宋_GB2312"/>
                      <w:sz w:val="24"/>
                      <w:b/>
                      <w:color w:val="000000"/>
                    </w:rPr>
                    <w:t>分项名称</w:t>
                  </w:r>
                </w:p>
              </w:tc>
              <w:tc>
                <w:tcPr>
                  <w:tcW w:type="dxa" w:w="11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规格参数</w:t>
                  </w:r>
                </w:p>
              </w:tc>
              <w:tc>
                <w:tcPr>
                  <w:tcW w:type="dxa" w:w="1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单位</w:t>
                  </w:r>
                </w:p>
              </w:tc>
              <w:tc>
                <w:tcPr>
                  <w:tcW w:type="dxa" w:w="35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数量</w:t>
                  </w:r>
                </w:p>
              </w:tc>
              <w:tc>
                <w:tcPr>
                  <w:tcW w:type="dxa" w:w="3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备注</w:t>
                  </w:r>
                </w:p>
              </w:tc>
            </w:tr>
            <w:tr>
              <w:tc>
                <w:tcPr>
                  <w:tcW w:type="dxa" w:w="1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2.1</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黄精种苗</w:t>
                  </w:r>
                </w:p>
              </w:tc>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种苗为黄精种子繁育的实生苗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每株高</w:t>
                  </w:r>
                  <w:r>
                    <w:rPr>
                      <w:rFonts w:ascii="仿宋_GB2312" w:hAnsi="仿宋_GB2312" w:cs="仿宋_GB2312" w:eastAsia="仿宋_GB2312"/>
                      <w:sz w:val="24"/>
                      <w:color w:val="000000"/>
                    </w:rPr>
                    <w:t>10cm以上，</w:t>
                  </w:r>
                  <w:r>
                    <w:rPr>
                      <w:rFonts w:ascii="仿宋_GB2312" w:hAnsi="仿宋_GB2312" w:cs="仿宋_GB2312" w:eastAsia="仿宋_GB2312"/>
                      <w:sz w:val="24"/>
                      <w:color w:val="000000"/>
                    </w:rPr>
                    <w:t>球茎</w:t>
                  </w:r>
                  <w:r>
                    <w:rPr>
                      <w:rFonts w:ascii="仿宋_GB2312" w:hAnsi="仿宋_GB2312" w:cs="仿宋_GB2312" w:eastAsia="仿宋_GB2312"/>
                      <w:sz w:val="24"/>
                      <w:color w:val="000000"/>
                    </w:rPr>
                    <w:t>≥2cm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）无根腐病、</w:t>
                  </w:r>
                  <w:r>
                    <w:rPr>
                      <w:rFonts w:ascii="仿宋_GB2312" w:hAnsi="仿宋_GB2312" w:cs="仿宋_GB2312" w:eastAsia="仿宋_GB2312"/>
                      <w:sz w:val="24"/>
                      <w:color w:val="000000"/>
                    </w:rPr>
                    <w:t>锈病等病虫害</w:t>
                  </w:r>
                  <w:r>
                    <w:rPr>
                      <w:rFonts w:ascii="仿宋_GB2312" w:hAnsi="仿宋_GB2312" w:cs="仿宋_GB2312" w:eastAsia="仿宋_GB2312"/>
                      <w:sz w:val="24"/>
                      <w:color w:val="000000"/>
                    </w:rPr>
                    <w:t>；</w:t>
                  </w:r>
                </w:p>
                <w:p>
                  <w:pPr>
                    <w:pStyle w:val="null3"/>
                    <w:jc w:val="both"/>
                  </w:pPr>
                </w:p>
              </w:tc>
              <w:tc>
                <w:tcPr>
                  <w:tcW w:type="dxa" w:w="1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亩</w:t>
                  </w:r>
                </w:p>
              </w:tc>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按</w:t>
                  </w:r>
                  <w:r>
                    <w:rPr>
                      <w:rFonts w:ascii="仿宋_GB2312" w:hAnsi="仿宋_GB2312" w:cs="仿宋_GB2312" w:eastAsia="仿宋_GB2312"/>
                    </w:rPr>
                    <w:t xml:space="preserve"> </w:t>
                  </w:r>
                  <w:r>
                    <w:rPr>
                      <w:rFonts w:ascii="仿宋_GB2312" w:hAnsi="仿宋_GB2312" w:cs="仿宋_GB2312" w:eastAsia="仿宋_GB2312"/>
                      <w:sz w:val="24"/>
                      <w:color w:val="000000"/>
                    </w:rPr>
                    <w:t>140</w:t>
                  </w:r>
                  <w:r>
                    <w:rPr>
                      <w:rFonts w:ascii="仿宋_GB2312" w:hAnsi="仿宋_GB2312" w:cs="仿宋_GB2312" w:eastAsia="仿宋_GB2312"/>
                    </w:rPr>
                    <w:t xml:space="preserve"> </w:t>
                  </w:r>
                  <w:r>
                    <w:rPr>
                      <w:rFonts w:ascii="仿宋_GB2312" w:hAnsi="仿宋_GB2312" w:cs="仿宋_GB2312" w:eastAsia="仿宋_GB2312"/>
                      <w:sz w:val="24"/>
                      <w:color w:val="000000"/>
                    </w:rPr>
                    <w:t>亩</w:t>
                  </w:r>
                  <w:r>
                    <w:rPr>
                      <w:rFonts w:ascii="仿宋_GB2312" w:hAnsi="仿宋_GB2312" w:cs="仿宋_GB2312" w:eastAsia="仿宋_GB2312"/>
                      <w:sz w:val="24"/>
                      <w:color w:val="000000"/>
                    </w:rPr>
                    <w:t>种植密度核</w:t>
                  </w:r>
                  <w:r>
                    <w:rPr>
                      <w:rFonts w:ascii="仿宋_GB2312" w:hAnsi="仿宋_GB2312" w:cs="仿宋_GB2312" w:eastAsia="仿宋_GB2312"/>
                      <w:sz w:val="24"/>
                      <w:color w:val="000000"/>
                    </w:rPr>
                    <w:t>算（每亩</w:t>
                  </w:r>
                  <w:r>
                    <w:rPr>
                      <w:rFonts w:ascii="仿宋_GB2312" w:hAnsi="仿宋_GB2312" w:cs="仿宋_GB2312" w:eastAsia="仿宋_GB2312"/>
                      <w:sz w:val="24"/>
                      <w:color w:val="000000"/>
                    </w:rPr>
                    <w:t>≥</w:t>
                  </w:r>
                </w:p>
                <w:p>
                  <w:pPr>
                    <w:pStyle w:val="null3"/>
                    <w:jc w:val="center"/>
                  </w:pPr>
                  <w:r>
                    <w:rPr>
                      <w:rFonts w:ascii="仿宋_GB2312" w:hAnsi="仿宋_GB2312" w:cs="仿宋_GB2312" w:eastAsia="仿宋_GB2312"/>
                      <w:sz w:val="24"/>
                      <w:color w:val="000000"/>
                    </w:rPr>
                    <w:t>30</w:t>
                  </w:r>
                  <w:r>
                    <w:rPr>
                      <w:rFonts w:ascii="仿宋_GB2312" w:hAnsi="仿宋_GB2312" w:cs="仿宋_GB2312" w:eastAsia="仿宋_GB2312"/>
                      <w:sz w:val="24"/>
                      <w:color w:val="000000"/>
                    </w:rPr>
                    <w:t>00</w:t>
                  </w:r>
                  <w:r>
                    <w:rPr>
                      <w:rFonts w:ascii="仿宋_GB2312" w:hAnsi="仿宋_GB2312" w:cs="仿宋_GB2312" w:eastAsia="仿宋_GB2312"/>
                    </w:rPr>
                    <w:t xml:space="preserve"> </w:t>
                  </w:r>
                  <w:r>
                    <w:rPr>
                      <w:rFonts w:ascii="仿宋_GB2312" w:hAnsi="仿宋_GB2312" w:cs="仿宋_GB2312" w:eastAsia="仿宋_GB2312"/>
                      <w:sz w:val="24"/>
                      <w:color w:val="000000"/>
                    </w:rPr>
                    <w:t>株</w:t>
                  </w:r>
                  <w:r>
                    <w:rPr>
                      <w:rFonts w:ascii="仿宋_GB2312" w:hAnsi="仿宋_GB2312" w:cs="仿宋_GB2312" w:eastAsia="仿宋_GB2312"/>
                      <w:sz w:val="24"/>
                      <w:color w:val="000000"/>
                    </w:rPr>
                    <w:t>），</w:t>
                  </w:r>
                  <w:r>
                    <w:rPr>
                      <w:rFonts w:ascii="仿宋_GB2312" w:hAnsi="仿宋_GB2312" w:cs="仿宋_GB2312" w:eastAsia="仿宋_GB2312"/>
                      <w:sz w:val="24"/>
                      <w:color w:val="000000"/>
                    </w:rPr>
                    <w:t>总计</w:t>
                  </w:r>
                  <w:r>
                    <w:rPr>
                      <w:rFonts w:ascii="仿宋_GB2312" w:hAnsi="仿宋_GB2312" w:cs="仿宋_GB2312" w:eastAsia="仿宋_GB2312"/>
                      <w:sz w:val="24"/>
                      <w:color w:val="000000"/>
                    </w:rPr>
                    <w:t>≥</w:t>
                  </w:r>
                </w:p>
                <w:p>
                  <w:pPr>
                    <w:pStyle w:val="null3"/>
                    <w:jc w:val="center"/>
                  </w:pPr>
                  <w:r>
                    <w:rPr>
                      <w:rFonts w:ascii="仿宋_GB2312" w:hAnsi="仿宋_GB2312" w:cs="仿宋_GB2312" w:eastAsia="仿宋_GB2312"/>
                      <w:sz w:val="24"/>
                      <w:color w:val="000000"/>
                    </w:rPr>
                    <w:t>420000</w:t>
                  </w:r>
                  <w:r>
                    <w:rPr>
                      <w:rFonts w:ascii="仿宋_GB2312" w:hAnsi="仿宋_GB2312" w:cs="仿宋_GB2312" w:eastAsia="仿宋_GB2312"/>
                    </w:rPr>
                    <w:t xml:space="preserve"> </w:t>
                  </w:r>
                  <w:r>
                    <w:rPr>
                      <w:rFonts w:ascii="仿宋_GB2312" w:hAnsi="仿宋_GB2312" w:cs="仿宋_GB2312" w:eastAsia="仿宋_GB2312"/>
                      <w:sz w:val="24"/>
                      <w:color w:val="000000"/>
                    </w:rPr>
                    <w:t>株</w:t>
                  </w:r>
                </w:p>
              </w:tc>
              <w:tc>
                <w:tcPr>
                  <w:tcW w:type="dxa" w:w="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含</w:t>
                  </w:r>
                  <w:r>
                    <w:rPr>
                      <w:rFonts w:ascii="仿宋_GB2312" w:hAnsi="仿宋_GB2312" w:cs="仿宋_GB2312" w:eastAsia="仿宋_GB2312"/>
                      <w:sz w:val="24"/>
                      <w:color w:val="000000"/>
                    </w:rPr>
                    <w:t>种苗</w:t>
                  </w:r>
                  <w:r>
                    <w:rPr>
                      <w:rFonts w:ascii="仿宋_GB2312" w:hAnsi="仿宋_GB2312" w:cs="仿宋_GB2312" w:eastAsia="仿宋_GB2312"/>
                      <w:sz w:val="24"/>
                      <w:color w:val="000000"/>
                    </w:rPr>
                    <w:t>采</w:t>
                  </w:r>
                  <w:r>
                    <w:rPr>
                      <w:rFonts w:ascii="仿宋_GB2312" w:hAnsi="仿宋_GB2312" w:cs="仿宋_GB2312" w:eastAsia="仿宋_GB2312"/>
                      <w:sz w:val="24"/>
                      <w:color w:val="000000"/>
                    </w:rPr>
                    <w:t>购、包装、</w:t>
                  </w:r>
                  <w:r>
                    <w:rPr>
                      <w:rFonts w:ascii="仿宋_GB2312" w:hAnsi="仿宋_GB2312" w:cs="仿宋_GB2312" w:eastAsia="仿宋_GB2312"/>
                      <w:sz w:val="24"/>
                      <w:color w:val="000000"/>
                    </w:rPr>
                    <w:t>运输至种植</w:t>
                  </w:r>
                  <w:r>
                    <w:rPr>
                      <w:rFonts w:ascii="仿宋_GB2312" w:hAnsi="仿宋_GB2312" w:cs="仿宋_GB2312" w:eastAsia="仿宋_GB2312"/>
                      <w:sz w:val="24"/>
                      <w:color w:val="000000"/>
                    </w:rPr>
                    <w:t>地块</w:t>
                  </w:r>
                </w:p>
              </w:tc>
            </w:tr>
            <w:tr>
              <w:tc>
                <w:tcPr>
                  <w:tcW w:type="dxa" w:w="1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2.2</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种植人工及</w:t>
                  </w:r>
                  <w:r>
                    <w:rPr>
                      <w:rFonts w:ascii="仿宋_GB2312" w:hAnsi="仿宋_GB2312" w:cs="仿宋_GB2312" w:eastAsia="仿宋_GB2312"/>
                    </w:rPr>
                    <w:t xml:space="preserve"> </w:t>
                  </w:r>
                  <w:r>
                    <w:rPr>
                      <w:rFonts w:ascii="仿宋_GB2312" w:hAnsi="仿宋_GB2312" w:cs="仿宋_GB2312" w:eastAsia="仿宋_GB2312"/>
                      <w:sz w:val="24"/>
                      <w:color w:val="000000"/>
                    </w:rPr>
                    <w:t>配套服务</w:t>
                  </w:r>
                </w:p>
              </w:tc>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含种植密度把控、整地</w:t>
                  </w:r>
                  <w:r>
                    <w:rPr>
                      <w:rFonts w:ascii="仿宋_GB2312" w:hAnsi="仿宋_GB2312" w:cs="仿宋_GB2312" w:eastAsia="仿宋_GB2312"/>
                      <w:sz w:val="24"/>
                      <w:color w:val="000000"/>
                    </w:rPr>
                    <w:t>（</w:t>
                  </w:r>
                  <w:r>
                    <w:rPr>
                      <w:rFonts w:ascii="仿宋_GB2312" w:hAnsi="仿宋_GB2312" w:cs="仿宋_GB2312" w:eastAsia="仿宋_GB2312"/>
                      <w:sz w:val="24"/>
                      <w:color w:val="000000"/>
                    </w:rPr>
                    <w:t>含疏林</w:t>
                  </w:r>
                  <w:r>
                    <w:rPr>
                      <w:rFonts w:ascii="仿宋_GB2312" w:hAnsi="仿宋_GB2312" w:cs="仿宋_GB2312" w:eastAsia="仿宋_GB2312"/>
                      <w:sz w:val="24"/>
                      <w:color w:val="000000"/>
                    </w:rPr>
                    <w:t>）</w:t>
                  </w:r>
                  <w:r>
                    <w:rPr>
                      <w:rFonts w:ascii="仿宋_GB2312" w:hAnsi="仿宋_GB2312" w:cs="仿宋_GB2312" w:eastAsia="仿宋_GB2312"/>
                      <w:sz w:val="24"/>
                      <w:color w:val="000000"/>
                    </w:rPr>
                    <w:t>、定植、浇水、初期</w:t>
                  </w:r>
                  <w:r>
                    <w:rPr>
                      <w:rFonts w:ascii="仿宋_GB2312" w:hAnsi="仿宋_GB2312" w:cs="仿宋_GB2312" w:eastAsia="仿宋_GB2312"/>
                      <w:sz w:val="24"/>
                      <w:color w:val="000000"/>
                    </w:rPr>
                    <w:t>管护指导，</w:t>
                  </w:r>
                  <w:r>
                    <w:rPr>
                      <w:rFonts w:ascii="仿宋_GB2312" w:hAnsi="仿宋_GB2312" w:cs="仿宋_GB2312" w:eastAsia="仿宋_GB2312"/>
                      <w:sz w:val="24"/>
                      <w:color w:val="000000"/>
                    </w:rPr>
                    <w:t>种苗</w:t>
                  </w:r>
                  <w:r>
                    <w:rPr>
                      <w:rFonts w:ascii="仿宋_GB2312" w:hAnsi="仿宋_GB2312" w:cs="仿宋_GB2312" w:eastAsia="仿宋_GB2312"/>
                      <w:sz w:val="24"/>
                      <w:color w:val="000000"/>
                    </w:rPr>
                    <w:t>售后保障（</w:t>
                  </w:r>
                  <w:r>
                    <w:rPr>
                      <w:rFonts w:ascii="仿宋_GB2312" w:hAnsi="仿宋_GB2312" w:cs="仿宋_GB2312" w:eastAsia="仿宋_GB2312"/>
                      <w:sz w:val="24"/>
                      <w:color w:val="000000"/>
                    </w:rPr>
                    <w:t>3 个月质保期内，</w:t>
                  </w:r>
                  <w:r>
                    <w:rPr>
                      <w:rFonts w:ascii="仿宋_GB2312" w:hAnsi="仿宋_GB2312" w:cs="仿宋_GB2312" w:eastAsia="仿宋_GB2312"/>
                    </w:rPr>
                    <w:t xml:space="preserve"> </w:t>
                  </w:r>
                  <w:r>
                    <w:rPr>
                      <w:rFonts w:ascii="仿宋_GB2312" w:hAnsi="仿宋_GB2312" w:cs="仿宋_GB2312" w:eastAsia="仿宋_GB2312"/>
                      <w:sz w:val="24"/>
                      <w:color w:val="000000"/>
                    </w:rPr>
                    <w:t>若因</w:t>
                  </w:r>
                  <w:r>
                    <w:rPr>
                      <w:rFonts w:ascii="仿宋_GB2312" w:hAnsi="仿宋_GB2312" w:cs="仿宋_GB2312" w:eastAsia="仿宋_GB2312"/>
                      <w:sz w:val="24"/>
                      <w:color w:val="000000"/>
                    </w:rPr>
                    <w:t>种苗</w:t>
                  </w:r>
                  <w:r>
                    <w:rPr>
                      <w:rFonts w:ascii="仿宋_GB2312" w:hAnsi="仿宋_GB2312" w:cs="仿宋_GB2312" w:eastAsia="仿宋_GB2312"/>
                      <w:sz w:val="24"/>
                      <w:color w:val="000000"/>
                    </w:rPr>
                    <w:t>质量问题（品种、病虫害、成活率</w:t>
                  </w:r>
                  <w:r>
                    <w:rPr>
                      <w:rFonts w:ascii="仿宋_GB2312" w:hAnsi="仿宋_GB2312" w:cs="仿宋_GB2312" w:eastAsia="仿宋_GB2312"/>
                    </w:rPr>
                    <w:t xml:space="preserve"> </w:t>
                  </w:r>
                  <w:r>
                    <w:rPr>
                      <w:rFonts w:ascii="仿宋_GB2312" w:hAnsi="仿宋_GB2312" w:cs="仿宋_GB2312" w:eastAsia="仿宋_GB2312"/>
                      <w:sz w:val="24"/>
                      <w:color w:val="000000"/>
                    </w:rPr>
                    <w:t>不达标）免费更换、补齐</w:t>
                  </w:r>
                  <w:r>
                    <w:rPr>
                      <w:rFonts w:ascii="仿宋_GB2312" w:hAnsi="仿宋_GB2312" w:cs="仿宋_GB2312" w:eastAsia="仿宋_GB2312"/>
                      <w:sz w:val="24"/>
                      <w:color w:val="000000"/>
                    </w:rPr>
                    <w:t>，</w:t>
                  </w:r>
                  <w:r>
                    <w:rPr>
                      <w:rFonts w:ascii="仿宋_GB2312" w:hAnsi="仿宋_GB2312" w:cs="仿宋_GB2312" w:eastAsia="仿宋_GB2312"/>
                      <w:sz w:val="24"/>
                      <w:color w:val="000000"/>
                    </w:rPr>
                    <w:t>种苗成活率</w:t>
                  </w:r>
                  <w:r>
                    <w:rPr>
                      <w:rFonts w:ascii="仿宋_GB2312" w:hAnsi="仿宋_GB2312" w:cs="仿宋_GB2312" w:eastAsia="仿宋_GB2312"/>
                      <w:sz w:val="24"/>
                      <w:color w:val="000000"/>
                    </w:rPr>
                    <w:t>≥95%</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1）株距：</w:t>
                  </w:r>
                  <w:r>
                    <w:rPr>
                      <w:rFonts w:ascii="仿宋_GB2312" w:hAnsi="仿宋_GB2312" w:cs="仿宋_GB2312" w:eastAsia="仿宋_GB2312"/>
                      <w:sz w:val="24"/>
                      <w:color w:val="000000"/>
                    </w:rPr>
                    <w:t>2</w:t>
                  </w:r>
                  <w:r>
                    <w:rPr>
                      <w:rFonts w:ascii="仿宋_GB2312" w:hAnsi="仿宋_GB2312" w:cs="仿宋_GB2312" w:eastAsia="仿宋_GB2312"/>
                      <w:sz w:val="24"/>
                      <w:color w:val="000000"/>
                    </w:rPr>
                    <w:t>0-</w:t>
                  </w:r>
                  <w:r>
                    <w:rPr>
                      <w:rFonts w:ascii="仿宋_GB2312" w:hAnsi="仿宋_GB2312" w:cs="仿宋_GB2312" w:eastAsia="仿宋_GB2312"/>
                      <w:sz w:val="24"/>
                      <w:color w:val="000000"/>
                    </w:rPr>
                    <w:t>3</w:t>
                  </w:r>
                  <w:r>
                    <w:rPr>
                      <w:rFonts w:ascii="仿宋_GB2312" w:hAnsi="仿宋_GB2312" w:cs="仿宋_GB2312" w:eastAsia="仿宋_GB2312"/>
                      <w:sz w:val="24"/>
                      <w:color w:val="000000"/>
                    </w:rPr>
                    <w:t>0cm；行距：</w:t>
                  </w:r>
                  <w:r>
                    <w:rPr>
                      <w:rFonts w:ascii="仿宋_GB2312" w:hAnsi="仿宋_GB2312" w:cs="仿宋_GB2312" w:eastAsia="仿宋_GB2312"/>
                      <w:sz w:val="24"/>
                      <w:color w:val="000000"/>
                    </w:rPr>
                    <w:t>3</w:t>
                  </w:r>
                  <w:r>
                    <w:rPr>
                      <w:rFonts w:ascii="仿宋_GB2312" w:hAnsi="仿宋_GB2312" w:cs="仿宋_GB2312" w:eastAsia="仿宋_GB2312"/>
                      <w:sz w:val="24"/>
                      <w:color w:val="000000"/>
                    </w:rPr>
                    <w:t>0-</w:t>
                  </w:r>
                  <w:r>
                    <w:rPr>
                      <w:rFonts w:ascii="仿宋_GB2312" w:hAnsi="仿宋_GB2312" w:cs="仿宋_GB2312" w:eastAsia="仿宋_GB2312"/>
                      <w:sz w:val="24"/>
                      <w:color w:val="000000"/>
                    </w:rPr>
                    <w:t>4</w:t>
                  </w:r>
                  <w:r>
                    <w:rPr>
                      <w:rFonts w:ascii="仿宋_GB2312" w:hAnsi="仿宋_GB2312" w:cs="仿宋_GB2312" w:eastAsia="仿宋_GB2312"/>
                      <w:sz w:val="24"/>
                      <w:color w:val="000000"/>
                    </w:rPr>
                    <w:t>0cm；</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2）穴规格：穴深</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r>
                    <w:rPr>
                      <w:rFonts w:ascii="仿宋_GB2312" w:hAnsi="仿宋_GB2312" w:cs="仿宋_GB2312" w:eastAsia="仿宋_GB2312"/>
                      <w:sz w:val="24"/>
                      <w:color w:val="000000"/>
                    </w:rPr>
                    <w:t>15</w:t>
                  </w:r>
                  <w:r>
                    <w:rPr>
                      <w:rFonts w:ascii="仿宋_GB2312" w:hAnsi="仿宋_GB2312" w:cs="仿宋_GB2312" w:eastAsia="仿宋_GB2312"/>
                      <w:sz w:val="24"/>
                      <w:color w:val="000000"/>
                    </w:rPr>
                    <w:t>cm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3）覆土深度：芽朝上，覆土</w:t>
                  </w:r>
                  <w:r>
                    <w:rPr>
                      <w:rFonts w:ascii="仿宋_GB2312" w:hAnsi="仿宋_GB2312" w:cs="仿宋_GB2312" w:eastAsia="仿宋_GB2312"/>
                    </w:rPr>
                    <w:t xml:space="preserve"> </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cm</w:t>
                  </w:r>
                  <w:r>
                    <w:rPr>
                      <w:rFonts w:ascii="仿宋_GB2312" w:hAnsi="仿宋_GB2312" w:cs="仿宋_GB2312" w:eastAsia="仿宋_GB2312"/>
                      <w:sz w:val="24"/>
                      <w:color w:val="000000"/>
                    </w:rPr>
                    <w:t>；</w:t>
                  </w:r>
                </w:p>
              </w:tc>
              <w:tc>
                <w:tcPr>
                  <w:tcW w:type="dxa" w:w="1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亩</w:t>
                  </w:r>
                </w:p>
              </w:tc>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140</w:t>
                  </w:r>
                </w:p>
              </w:tc>
              <w:tc>
                <w:tcPr>
                  <w:tcW w:type="dxa" w:w="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含种植工具</w:t>
                  </w:r>
                  <w:r>
                    <w:rPr>
                      <w:rFonts w:ascii="仿宋_GB2312" w:hAnsi="仿宋_GB2312" w:cs="仿宋_GB2312" w:eastAsia="仿宋_GB2312"/>
                      <w:sz w:val="24"/>
                      <w:color w:val="000000"/>
                    </w:rPr>
                    <w:t>使用、人工</w:t>
                  </w:r>
                  <w:r>
                    <w:rPr>
                      <w:rFonts w:ascii="仿宋_GB2312" w:hAnsi="仿宋_GB2312" w:cs="仿宋_GB2312" w:eastAsia="仿宋_GB2312"/>
                      <w:sz w:val="24"/>
                      <w:color w:val="000000"/>
                    </w:rPr>
                    <w:t>成本</w:t>
                  </w:r>
                </w:p>
              </w:tc>
            </w:tr>
            <w:tr>
              <w:tc>
                <w:tcPr>
                  <w:tcW w:type="dxa" w:w="1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2.3</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肥料</w:t>
                  </w:r>
                </w:p>
              </w:tc>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1）生物有机肥</w:t>
                  </w:r>
                </w:p>
                <w:p>
                  <w:pPr>
                    <w:pStyle w:val="null3"/>
                    <w:jc w:val="both"/>
                  </w:pPr>
                </w:p>
              </w:tc>
              <w:tc>
                <w:tcPr>
                  <w:tcW w:type="dxa" w:w="1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亩</w:t>
                  </w:r>
                </w:p>
              </w:tc>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140</w:t>
                  </w:r>
                </w:p>
              </w:tc>
              <w:tc>
                <w:tcPr>
                  <w:tcW w:type="dxa" w:w="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2.4</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种植技术指</w:t>
                  </w:r>
                </w:p>
                <w:p>
                  <w:pPr>
                    <w:pStyle w:val="null3"/>
                    <w:jc w:val="center"/>
                  </w:pPr>
                  <w:r>
                    <w:rPr>
                      <w:rFonts w:ascii="仿宋_GB2312" w:hAnsi="仿宋_GB2312" w:cs="仿宋_GB2312" w:eastAsia="仿宋_GB2312"/>
                      <w:sz w:val="24"/>
                      <w:color w:val="000000"/>
                    </w:rPr>
                    <w:t>导</w:t>
                  </w:r>
                </w:p>
              </w:tc>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含种植前</w:t>
                  </w:r>
                  <w:r>
                    <w:rPr>
                      <w:rFonts w:ascii="仿宋_GB2312" w:hAnsi="仿宋_GB2312" w:cs="仿宋_GB2312" w:eastAsia="仿宋_GB2312"/>
                      <w:sz w:val="24"/>
                      <w:color w:val="000000"/>
                    </w:rPr>
                    <w:t>种植基地勘测</w:t>
                  </w:r>
                  <w:r>
                    <w:rPr>
                      <w:rFonts w:ascii="仿宋_GB2312" w:hAnsi="仿宋_GB2312" w:cs="仿宋_GB2312" w:eastAsia="仿宋_GB2312"/>
                      <w:sz w:val="24"/>
                      <w:color w:val="000000"/>
                    </w:rPr>
                    <w:t>、种植期间水肥管理指</w:t>
                  </w:r>
                  <w:r>
                    <w:rPr>
                      <w:rFonts w:ascii="仿宋_GB2312" w:hAnsi="仿宋_GB2312" w:cs="仿宋_GB2312" w:eastAsia="仿宋_GB2312"/>
                    </w:rPr>
                    <w:t xml:space="preserve">  </w:t>
                  </w:r>
                  <w:r>
                    <w:rPr>
                      <w:rFonts w:ascii="仿宋_GB2312" w:hAnsi="仿宋_GB2312" w:cs="仿宋_GB2312" w:eastAsia="仿宋_GB2312"/>
                      <w:sz w:val="24"/>
                      <w:color w:val="000000"/>
                    </w:rPr>
                    <w:t>导、病虫害防治技术培训（不少于</w:t>
                  </w:r>
                  <w:r>
                    <w:rPr>
                      <w:rFonts w:ascii="仿宋_GB2312" w:hAnsi="仿宋_GB2312" w:cs="仿宋_GB2312" w:eastAsia="仿宋_GB2312"/>
                      <w:sz w:val="24"/>
                      <w:color w:val="000000"/>
                    </w:rPr>
                    <w:t xml:space="preserve"> 3 次上</w:t>
                  </w:r>
                  <w:r>
                    <w:rPr>
                      <w:rFonts w:ascii="仿宋_GB2312" w:hAnsi="仿宋_GB2312" w:cs="仿宋_GB2312" w:eastAsia="仿宋_GB2312"/>
                    </w:rPr>
                    <w:t xml:space="preserve"> </w:t>
                  </w:r>
                  <w:r>
                    <w:rPr>
                      <w:rFonts w:ascii="仿宋_GB2312" w:hAnsi="仿宋_GB2312" w:cs="仿宋_GB2312" w:eastAsia="仿宋_GB2312"/>
                      <w:sz w:val="24"/>
                      <w:color w:val="000000"/>
                    </w:rPr>
                    <w:t>门）</w:t>
                  </w:r>
                </w:p>
              </w:tc>
              <w:tc>
                <w:tcPr>
                  <w:tcW w:type="dxa" w:w="1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项</w:t>
                  </w:r>
                </w:p>
              </w:tc>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含技术人员</w:t>
                  </w:r>
                  <w:r>
                    <w:rPr>
                      <w:rFonts w:ascii="仿宋_GB2312" w:hAnsi="仿宋_GB2312" w:cs="仿宋_GB2312" w:eastAsia="仿宋_GB2312"/>
                      <w:sz w:val="24"/>
                      <w:color w:val="000000"/>
                    </w:rPr>
                    <w:t>差旅、培训</w:t>
                  </w:r>
                  <w:r>
                    <w:rPr>
                      <w:rFonts w:ascii="仿宋_GB2312" w:hAnsi="仿宋_GB2312" w:cs="仿宋_GB2312" w:eastAsia="仿宋_GB2312"/>
                      <w:sz w:val="24"/>
                      <w:color w:val="000000"/>
                    </w:rPr>
                    <w:t>资料</w:t>
                  </w:r>
                </w:p>
              </w:tc>
            </w:tr>
          </w:tbl>
          <w:tbl>
            <w:tblPr>
              <w:tblInd w:type="dxa" w:w="105"/>
              <w:tblBorders>
                <w:top w:val="none" w:color="000000" w:sz="4"/>
                <w:left w:val="none" w:color="000000" w:sz="4"/>
                <w:bottom w:val="none" w:color="000000" w:sz="4"/>
                <w:right w:val="none" w:color="000000" w:sz="4"/>
                <w:insideH w:val="none"/>
                <w:insideV w:val="none"/>
              </w:tblBorders>
            </w:tblPr>
            <w:tblGrid>
              <w:gridCol w:w="171"/>
              <w:gridCol w:w="354"/>
              <w:gridCol w:w="1120"/>
              <w:gridCol w:w="198"/>
              <w:gridCol w:w="356"/>
              <w:gridCol w:w="343"/>
            </w:tblGrid>
            <w:tr>
              <w:tc>
                <w:tcPr>
                  <w:tcW w:type="dxa" w:w="1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序号</w:t>
                  </w:r>
                </w:p>
              </w:tc>
              <w:tc>
                <w:tcPr>
                  <w:tcW w:type="dxa" w:w="3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配套设施</w:t>
                  </w:r>
                </w:p>
                <w:p>
                  <w:pPr>
                    <w:pStyle w:val="null3"/>
                    <w:jc w:val="center"/>
                  </w:pPr>
                  <w:r>
                    <w:rPr>
                      <w:rFonts w:ascii="仿宋_GB2312" w:hAnsi="仿宋_GB2312" w:cs="仿宋_GB2312" w:eastAsia="仿宋_GB2312"/>
                      <w:sz w:val="24"/>
                      <w:b/>
                      <w:color w:val="000000"/>
                    </w:rPr>
                    <w:t>分项名称</w:t>
                  </w:r>
                </w:p>
              </w:tc>
              <w:tc>
                <w:tcPr>
                  <w:tcW w:type="dxa" w:w="11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规格参数</w:t>
                  </w:r>
                </w:p>
              </w:tc>
              <w:tc>
                <w:tcPr>
                  <w:tcW w:type="dxa" w:w="1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单位</w:t>
                  </w:r>
                </w:p>
              </w:tc>
              <w:tc>
                <w:tcPr>
                  <w:tcW w:type="dxa" w:w="35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数量</w:t>
                  </w:r>
                </w:p>
              </w:tc>
              <w:tc>
                <w:tcPr>
                  <w:tcW w:type="dxa" w:w="3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备注</w:t>
                  </w:r>
                </w:p>
              </w:tc>
            </w:tr>
            <w:tr>
              <w:tc>
                <w:tcPr>
                  <w:tcW w:type="dxa" w:w="1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3.1</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机耕道路</w:t>
                  </w:r>
                </w:p>
              </w:tc>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3-3.5m宽土质机耕道路1km</w:t>
                  </w:r>
                </w:p>
              </w:tc>
              <w:tc>
                <w:tcPr>
                  <w:tcW w:type="dxa" w:w="1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Km</w:t>
                  </w:r>
                </w:p>
              </w:tc>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60"/>
              <w:ind w:left="135"/>
              <w:jc w:val="left"/>
            </w:pPr>
            <w:r>
              <w:rPr>
                <w:rFonts w:ascii="仿宋_GB2312" w:hAnsi="仿宋_GB2312" w:cs="仿宋_GB2312" w:eastAsia="仿宋_GB2312"/>
                <w:sz w:val="24"/>
                <w:color w:val="000000"/>
              </w:rPr>
              <w:t>工期</w:t>
            </w:r>
            <w:r>
              <w:rPr>
                <w:rFonts w:ascii="仿宋_GB2312" w:hAnsi="仿宋_GB2312" w:cs="仿宋_GB2312" w:eastAsia="仿宋_GB2312"/>
                <w:sz w:val="24"/>
                <w:color w:val="000000"/>
              </w:rPr>
              <w:t>12</w:t>
            </w:r>
            <w:r>
              <w:rPr>
                <w:rFonts w:ascii="仿宋_GB2312" w:hAnsi="仿宋_GB2312" w:cs="仿宋_GB2312" w:eastAsia="仿宋_GB2312"/>
                <w:sz w:val="24"/>
                <w:color w:val="000000"/>
              </w:rPr>
              <w:t>0日历天</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种苗</w:t>
            </w:r>
            <w:r>
              <w:rPr>
                <w:rFonts w:ascii="仿宋_GB2312" w:hAnsi="仿宋_GB2312" w:cs="仿宋_GB2312" w:eastAsia="仿宋_GB2312"/>
                <w:sz w:val="24"/>
                <w:color w:val="000000"/>
              </w:rPr>
              <w:t>成活率</w:t>
            </w:r>
            <w:r>
              <w:rPr>
                <w:rFonts w:ascii="仿宋_GB2312" w:hAnsi="仿宋_GB2312" w:cs="仿宋_GB2312" w:eastAsia="仿宋_GB2312"/>
                <w:sz w:val="24"/>
                <w:color w:val="000000"/>
              </w:rPr>
              <w:t>≥</w:t>
            </w:r>
            <w:r>
              <w:rPr>
                <w:rFonts w:ascii="仿宋_GB2312" w:hAnsi="仿宋_GB2312" w:cs="仿宋_GB2312" w:eastAsia="仿宋_GB2312"/>
                <w:sz w:val="24"/>
                <w:color w:val="000000"/>
              </w:rPr>
              <w:t>95</w:t>
            </w:r>
            <w:r>
              <w:rPr>
                <w:rFonts w:ascii="仿宋_GB2312" w:hAnsi="仿宋_GB2312" w:cs="仿宋_GB2312" w:eastAsia="仿宋_GB2312"/>
                <w:sz w:val="24"/>
                <w:color w:val="000000"/>
              </w:rPr>
              <w:t>%，符合国家及行业相关农业种植标准</w:t>
            </w:r>
            <w:r>
              <w:rPr>
                <w:rFonts w:ascii="仿宋_GB2312" w:hAnsi="仿宋_GB2312" w:cs="仿宋_GB2312" w:eastAsia="仿宋_GB2312"/>
                <w:sz w:val="24"/>
                <w:color w:val="000000"/>
              </w:rPr>
              <w:t>；</w:t>
            </w:r>
          </w:p>
          <w:p>
            <w:pPr>
              <w:pStyle w:val="null3"/>
              <w:spacing w:before="60"/>
              <w:ind w:left="135"/>
              <w:jc w:val="left"/>
            </w:pPr>
            <w:r>
              <w:rPr>
                <w:rFonts w:ascii="仿宋_GB2312" w:hAnsi="仿宋_GB2312" w:cs="仿宋_GB2312" w:eastAsia="仿宋_GB2312"/>
                <w:sz w:val="24"/>
                <w:color w:val="000000"/>
              </w:rPr>
              <w:t>种苗售后保障（</w:t>
            </w:r>
            <w:r>
              <w:rPr>
                <w:rFonts w:ascii="仿宋_GB2312" w:hAnsi="仿宋_GB2312" w:cs="仿宋_GB2312" w:eastAsia="仿宋_GB2312"/>
                <w:sz w:val="24"/>
                <w:color w:val="000000"/>
              </w:rPr>
              <w:t>3 个月质保期内， 若因种苗质量问题（品种、病虫害、成活率 不达标）免费更换、补齐）</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按照采购人要求完成种植等各项工作，验收标准按照相关农业种植技术标准验收。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进度款，供应商在合同规定的时间内按种植进度拨付下剩70%，达到付款条件起7个工作日内，支付合同总金额的70.0%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投标人身份证明</w:t>
            </w:r>
          </w:p>
        </w:tc>
        <w:tc>
          <w:tcPr>
            <w:tcW w:type="dxa" w:w="3322"/>
          </w:tcPr>
          <w:p>
            <w:pPr>
              <w:pStyle w:val="null3"/>
            </w:pPr>
            <w:r>
              <w:rPr>
                <w:rFonts w:ascii="仿宋_GB2312" w:hAnsi="仿宋_GB2312" w:cs="仿宋_GB2312" w:eastAsia="仿宋_GB2312"/>
              </w:rPr>
              <w:t>投标人具有独立承担民事责任能力的法人、其他组织或自然人，并出具合法有效的营业执照或事业单位法人证书等国家规定的相关证明，自然人参与的提供其身份证明。（材料应清晰可辨并进行电子签章）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中小企业声明函 服务内容及服务要求应答表 投标方案说明书.docx 分项报价表.docx 供应商应提交的相关资格证明材料.docx 投标函 残疾人福利性单位声明函 标的清单 投标文件封面 商务条款偏离表.docx 监狱企业的证明文件 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应符合招标文件的规定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 中小企业声明函 服务内容及服务要求应答表 投标方案说明书.docx 分项报价表.docx 供应商应提交的相关资格证明材料.docx 投标函 残疾人福利性单位声明函 标的清单 投标文件封面 商务条款偏离表.docx 监狱企业的证明文件 供应商认为需要补充的其他内容.pdf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针对本项目提供完整、合理、详细的实施方案，方案包含：①项目组织和人员安排；②服务人员组织管理制度；③采购运输；④质量保证措施；⑤供货计划与进度保障；⑥验收及交接计划。 二、赋分标准 每项内容分值2分，每缺⼀项内容扣2分，每项内容中每有⼀处缺陷扣1分，单项扣完为⽌。 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一、评审内容 品种适宜当地气候、土壤、种植情况，品种纯度、净度、水分指标、健康度，检疫性有害生物、产品健康检测、种传病害防控措施，检测机制，产品各批次检测、留样、追溯体系。包含：①品种适应性；②质量检测与控制；③产品质量指标；④包装、标识、储存方案；⑤检疫与安全性。 二、赋分标准 每项内容分值2分，每缺⼀项内容扣2分，每项内容中每有⼀处缺陷扣1分，单项扣完为⽌。 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种植日常维护和管理</w:t>
            </w:r>
          </w:p>
        </w:tc>
        <w:tc>
          <w:tcPr>
            <w:tcW w:type="dxa" w:w="2492"/>
          </w:tcPr>
          <w:p>
            <w:pPr>
              <w:pStyle w:val="null3"/>
            </w:pPr>
            <w:r>
              <w:rPr>
                <w:rFonts w:ascii="仿宋_GB2312" w:hAnsi="仿宋_GB2312" w:cs="仿宋_GB2312" w:eastAsia="仿宋_GB2312"/>
              </w:rPr>
              <w:t>一、评审内容 针对项目实际情况提出切实可行有具体措施的抚育质量保证方案及具体的管护措施：内容包括：①选地与整地；② 挖穴；③栽植要点；④中耕除草；⑤追肥；⑥病虫害防治；⑦采收。 二、赋分标准 每项内容分值1分，每缺⼀项内容扣1分，每项内容中每有⼀处缺陷扣0.5分，单项扣完为⽌。 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应急处理措施</w:t>
            </w:r>
          </w:p>
        </w:tc>
        <w:tc>
          <w:tcPr>
            <w:tcW w:type="dxa" w:w="2492"/>
          </w:tcPr>
          <w:p>
            <w:pPr>
              <w:pStyle w:val="null3"/>
            </w:pPr>
            <w:r>
              <w:rPr>
                <w:rFonts w:ascii="仿宋_GB2312" w:hAnsi="仿宋_GB2312" w:cs="仿宋_GB2312" w:eastAsia="仿宋_GB2312"/>
              </w:rPr>
              <w:t>一、评审内容 针对项目可能出现的各类突发情况，制定相应的应急处理措施。包含:①产品断供或缺货应急；②农时延误应急措施；③产品质量不合格处置；④产品病虫害携带应急措施；⑤运输与储存应急措施；⑥干旱、洪涝、低温、冻害、倒春寒措施。 二、赋分标准 每项内容分值1分，每缺⼀项内容扣1分，每项内容中每有⼀处缺陷扣0.5分，单项扣完为⽌。 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团队人员，每提供⼀个服务团队人员，得3分，最多得15分。评审依据：身份证、劳动合同。</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供应商提供拟投入本项目的种植养护设备清单及对应权属证明（购置发票或租赁合同），每提供 1 类核心设备得 6 分，满分12分。 核心设备限定范围：①整地类（旋耕机、微耕机、播种机等）②植保类（病虫害防治喷雾器、杀虫灯）；同类别设备不重复计分。 评审依据：设备清单，购置发票或租赁合同（加盖供应商公章）。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评审标准：①书面承诺栽植后种苗成活率＞95%，且免费补植质保管护期不低于6个月的，得6分； ②书面承诺为采购方提供免费后期养护指导的，得6分； 两项可累计得分，未明确承诺对应内容不得分。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提供2023年1月1日至今供应商类似项目的业绩（中药材种植等农业相关业绩），响应文件中附业绩合同复印件，每份3分，满分6分。评审依据：以响应文件中提供的合同复印件为准。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在采购预算内且满足招标文件要求且投标报价最低的投标人的价格为基准价，其价格分为20分。各投标人的价格分统一按照下列公式计算：价格分=（基准价/投标响应报价）*20* 100% 。 注：本项目专门面向中小企业采购，评审时不再进行价格扣除。</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详见附件：种苗采购种植合同.docx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