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56FD40">
      <w:pPr>
        <w:pStyle w:val="3"/>
        <w:spacing w:line="500" w:lineRule="exact"/>
        <w:ind w:firstLine="643" w:firstLineChars="200"/>
        <w:jc w:val="center"/>
        <w:outlineLvl w:val="1"/>
        <w:rPr>
          <w:rFonts w:hint="eastAsia" w:ascii="仿宋" w:hAnsi="仿宋" w:eastAsia="仿宋" w:cs="Times New Roman"/>
          <w:b/>
          <w:color w:val="auto"/>
          <w:sz w:val="32"/>
          <w:szCs w:val="32"/>
        </w:rPr>
      </w:pPr>
      <w:bookmarkStart w:id="0" w:name="_Toc48834466"/>
      <w:bookmarkStart w:id="1" w:name="_Toc48834177"/>
      <w:bookmarkStart w:id="2" w:name="_Toc14082138"/>
      <w:bookmarkStart w:id="3" w:name="_Toc48834304"/>
      <w:bookmarkStart w:id="4" w:name="_Toc20365"/>
      <w:bookmarkStart w:id="5" w:name="_Toc48834545"/>
      <w:bookmarkStart w:id="6" w:name="_Toc48834107"/>
      <w:r>
        <w:rPr>
          <w:rFonts w:ascii="仿宋" w:hAnsi="仿宋" w:eastAsia="仿宋" w:cs="Times New Roman"/>
          <w:b/>
          <w:color w:val="auto"/>
          <w:sz w:val="32"/>
          <w:szCs w:val="32"/>
        </w:rPr>
        <w:t>谈判内容及采购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471B8E94">
      <w:pPr>
        <w:pStyle w:val="6"/>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本次采购项目为</w:t>
      </w:r>
      <w:r>
        <w:rPr>
          <w:rFonts w:hint="eastAsia" w:ascii="仿宋" w:hAnsi="仿宋" w:eastAsia="仿宋" w:cs="Times New Roman"/>
          <w:color w:val="auto"/>
          <w:lang w:eastAsia="zh-CN"/>
        </w:rPr>
        <w:t>采购煤化工虚拟仿真实训中心设备货物项目</w:t>
      </w:r>
      <w:r>
        <w:rPr>
          <w:rFonts w:hint="eastAsia" w:ascii="仿宋" w:hAnsi="仿宋" w:eastAsia="仿宋" w:cs="Times New Roman"/>
          <w:color w:val="auto"/>
        </w:rPr>
        <w:t>，供应商必须对本项目进行整体响应，只对其中一部分内容进行的响应都被视为无效响应。谈判报价应遵守《中华人民共和国价格法》，供应商不得以低于成本的报价参与本次采购活动。</w:t>
      </w:r>
      <w:bookmarkEnd w:id="0"/>
      <w:bookmarkEnd w:id="1"/>
      <w:bookmarkEnd w:id="2"/>
      <w:bookmarkEnd w:id="3"/>
      <w:bookmarkEnd w:id="4"/>
      <w:bookmarkEnd w:id="5"/>
      <w:bookmarkEnd w:id="6"/>
    </w:p>
    <w:p w14:paraId="535F77D8">
      <w:pPr>
        <w:pStyle w:val="6"/>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采购需求：</w:t>
      </w:r>
    </w:p>
    <w:p w14:paraId="53A722B0">
      <w:pPr>
        <w:keepNext w:val="0"/>
        <w:keepLines w:val="0"/>
        <w:pageBreakBefore w:val="0"/>
        <w:widowControl w:val="0"/>
        <w:kinsoku/>
        <w:wordWrap/>
        <w:overflowPunct/>
        <w:topLinePunct w:val="0"/>
        <w:autoSpaceDE w:val="0"/>
        <w:autoSpaceDN w:val="0"/>
        <w:bidi w:val="0"/>
        <w:adjustRightInd w:val="0"/>
        <w:snapToGrid w:val="0"/>
        <w:spacing w:line="240" w:lineRule="atLeast"/>
        <w:jc w:val="center"/>
        <w:textAlignment w:val="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榆林职业技术学院</w:t>
      </w:r>
    </w:p>
    <w:p w14:paraId="7B4307CB">
      <w:pPr>
        <w:keepNext w:val="0"/>
        <w:keepLines w:val="0"/>
        <w:pageBreakBefore w:val="0"/>
        <w:widowControl w:val="0"/>
        <w:kinsoku/>
        <w:wordWrap/>
        <w:overflowPunct/>
        <w:topLinePunct w:val="0"/>
        <w:autoSpaceDE w:val="0"/>
        <w:autoSpaceDN w:val="0"/>
        <w:bidi w:val="0"/>
        <w:adjustRightInd w:val="0"/>
        <w:snapToGrid w:val="0"/>
        <w:spacing w:line="240" w:lineRule="atLeast"/>
        <w:jc w:val="center"/>
        <w:textAlignment w:val="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煤化工虚拟仿真实训中心设备购置清单及技术参数</w:t>
      </w:r>
    </w:p>
    <w:tbl>
      <w:tblPr>
        <w:tblStyle w:val="4"/>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729"/>
        <w:gridCol w:w="5891"/>
        <w:gridCol w:w="590"/>
        <w:gridCol w:w="594"/>
      </w:tblGrid>
      <w:tr w14:paraId="44E8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0DEC5ACB">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序号</w:t>
            </w:r>
          </w:p>
        </w:tc>
        <w:tc>
          <w:tcPr>
            <w:tcW w:w="439" w:type="pct"/>
            <w:noWrap w:val="0"/>
            <w:vAlign w:val="center"/>
          </w:tcPr>
          <w:p w14:paraId="50EF853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产品名称</w:t>
            </w:r>
          </w:p>
        </w:tc>
        <w:tc>
          <w:tcPr>
            <w:tcW w:w="3553" w:type="pct"/>
            <w:noWrap w:val="0"/>
            <w:vAlign w:val="center"/>
          </w:tcPr>
          <w:p w14:paraId="483E4F3A">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技术指标</w:t>
            </w:r>
          </w:p>
        </w:tc>
        <w:tc>
          <w:tcPr>
            <w:tcW w:w="355" w:type="pct"/>
            <w:noWrap w:val="0"/>
            <w:vAlign w:val="center"/>
          </w:tcPr>
          <w:p w14:paraId="1FDE1A6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数量</w:t>
            </w:r>
          </w:p>
        </w:tc>
        <w:tc>
          <w:tcPr>
            <w:tcW w:w="358" w:type="pct"/>
            <w:noWrap w:val="0"/>
            <w:vAlign w:val="center"/>
          </w:tcPr>
          <w:p w14:paraId="79C7EB1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单位</w:t>
            </w:r>
          </w:p>
        </w:tc>
      </w:tr>
      <w:tr w14:paraId="38BD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51A84B1A">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439" w:type="pct"/>
            <w:noWrap w:val="0"/>
            <w:vAlign w:val="center"/>
          </w:tcPr>
          <w:p w14:paraId="25AC7EB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3DLED沉浸式显示系统</w:t>
            </w:r>
          </w:p>
        </w:tc>
        <w:tc>
          <w:tcPr>
            <w:tcW w:w="3553" w:type="pct"/>
            <w:noWrap w:val="0"/>
            <w:vAlign w:val="center"/>
          </w:tcPr>
          <w:p w14:paraId="484CAFA0">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1.像素间距:≤1.86</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2.点密度：≥288906Dots/㎡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3.模组尺寸：320mm×160mm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4.亮度≥750cd/m²</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5.刷新率：≥3840Hz</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6.视角：≥170°/170°（水平视角/垂直）</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7.亮度均匀性：≥98%</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8.色度均匀性±0.002Cx、Cy内宽色域≥120%NTSC</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9.对比度：≥7500:1</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10.画面延时≤500ns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11.平均功耗：≤200W/m²</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12.人眼视觉舒适度：VICO指数≤1</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13.模组表面绝缘绝缘电阻应为≥5000MΩ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14.屏体色温：1000K～18000K可调</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15.安全电压标准：SELV电路：具备SELV电路</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16.静电电压衰减期（±1000-±100V）≤2S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17.防火阻燃功能：防火阻燃必须达到V-0等级</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18.噪声标准：1m范围内，测试4个位置（前后左右）噪音不大于2dB</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19.平均无故障工作时间：LED显示屏需满足MTBF≥20000H，MTTR平均修复时间≤20分钟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20.能耗对比：对LED显示屏进行节能对比，达到能效一级标准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21.自检技术：可实现LED单点检测，通讯检测、温度检测、电源检测、温度监控等功能。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22.支持采用电源双备份，两个电源互为备份方式，任一电源故障不影响屏体正常工作；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23.支持采用双系统备份，两套发送卡和两套接收卡互为备份方式，任一套发送卡和接收卡故障不影响屏体正常显示。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24.支持采用双电力备份，可以同时接入2路电力供电互为备份方式，任一电力故障不影响屏体显示；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25.一键点屏：支持一键点屏技术，开机后自动识别系统连接，无需重置系统配置；一键调试：支持联网一键下载程序文件和调试。</w:t>
            </w:r>
          </w:p>
        </w:tc>
        <w:tc>
          <w:tcPr>
            <w:tcW w:w="355" w:type="pct"/>
            <w:noWrap w:val="0"/>
            <w:vAlign w:val="center"/>
          </w:tcPr>
          <w:p w14:paraId="2096F6C8">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358" w:type="pct"/>
            <w:noWrap w:val="0"/>
            <w:vAlign w:val="center"/>
          </w:tcPr>
          <w:p w14:paraId="37F8FD5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sz w:val="24"/>
                <w:szCs w:val="24"/>
                <w:highlight w:val="none"/>
              </w:rPr>
              <w:t>平方</w:t>
            </w:r>
            <w:r>
              <w:rPr>
                <w:rFonts w:hint="eastAsia" w:ascii="仿宋" w:hAnsi="仿宋" w:eastAsia="仿宋" w:cs="仿宋"/>
                <w:sz w:val="24"/>
                <w:szCs w:val="24"/>
                <w:highlight w:val="none"/>
                <w:lang w:val="en-US" w:eastAsia="zh-CN"/>
              </w:rPr>
              <w:t>米</w:t>
            </w:r>
          </w:p>
        </w:tc>
      </w:tr>
      <w:tr w14:paraId="75B9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549172F0">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439" w:type="pct"/>
            <w:noWrap w:val="0"/>
            <w:vAlign w:val="center"/>
          </w:tcPr>
          <w:p w14:paraId="497B3D8F">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3D处理器</w:t>
            </w:r>
          </w:p>
        </w:tc>
        <w:tc>
          <w:tcPr>
            <w:tcW w:w="3553" w:type="pct"/>
            <w:noWrap w:val="0"/>
            <w:vAlign w:val="center"/>
          </w:tcPr>
          <w:p w14:paraId="23D9F8C1">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1.三种工作模式可供使用：拼接模式、切换模式、备份模式.</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2.输入</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DVI×4、HDMI×3、SDI×1、DP×4(DVI/HDMI/DP均支持4K×1K×60Hz)；</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两路</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4K*2K/60Hz输入模块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3.输出8个DVI口，4个HDMI2.0接口，输出分辨率支持自定义，可做水平/垂直、等分/不等分拼接。单机可实现7680×1080/120Hz范围内的点对点显示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4.可多机级联同步拼接，实现超大分辨率LED屏拼接显示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5.图像截取功能：可以任意的选取输入图像的某部分，全屏至LED屏显示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6.支持保存、加载</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cs="宋体"/>
                <w:i w:val="0"/>
                <w:iCs w:val="0"/>
                <w:color w:val="auto"/>
                <w:kern w:val="0"/>
                <w:sz w:val="24"/>
                <w:szCs w:val="24"/>
                <w:highlight w:val="none"/>
                <w:u w:val="none"/>
                <w:lang w:val="en-US" w:eastAsia="zh-CN" w:bidi="ar"/>
              </w:rPr>
              <w:t>15</w:t>
            </w:r>
            <w:r>
              <w:rPr>
                <w:rFonts w:hint="eastAsia" w:ascii="仿宋" w:hAnsi="仿宋" w:eastAsia="仿宋" w:cs="仿宋"/>
                <w:i w:val="0"/>
                <w:iCs w:val="0"/>
                <w:color w:val="auto"/>
                <w:kern w:val="0"/>
                <w:sz w:val="24"/>
                <w:szCs w:val="24"/>
                <w:highlight w:val="none"/>
                <w:u w:val="none"/>
                <w:lang w:val="en-US" w:eastAsia="zh-CN" w:bidi="ar"/>
              </w:rPr>
              <w:t>个预设，便捷的进行不同显示模式之间的调用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7.支持LOGO功能，用户可以保存静态LOGO当做信号源使用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8.多图层输出：拼接模式下支持</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四画面显示及画面全屏漫游</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9.多种拼接模式：单屏、双屏、三屏、四屏模式，并且具有快捷的自动拼接设置，无需繁琐的拼接参数设置即可完成LED屏拼接显示切换器模式下:4K预监切换，可实现3画面与3画面之间预监切换</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10.输入端可独立地进行EDID管理，让PC输出与LED显示屏最匹配的分辨率支持图层分组功能，可进行图层组的淡入淡出切换，用于多画面显示时的多个信号同时切换操作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11.可使用上位机软件进行各项参数的调节与控制，支持无线局域网络远程控制，可以通过局域网络访问设备的IP</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12.时间任务功能：处理器按照用户的任务安排，自行执行切换功能，真正做到无人值守</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13.旋转输出：每个图层支持90°、180°、270°旋转，水平/上下翻转，独立旋转</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14.本机可输出多种测试图卡，无需外接输入信号，检测后端设备是否正常工作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15.支持RS232、网口、USB串口控制，可提供串口开发协议，与中控设备互联控制。</w:t>
            </w:r>
          </w:p>
        </w:tc>
        <w:tc>
          <w:tcPr>
            <w:tcW w:w="355" w:type="pct"/>
            <w:noWrap w:val="0"/>
            <w:vAlign w:val="center"/>
          </w:tcPr>
          <w:p w14:paraId="6A945E0D">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42DF58F6">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台</w:t>
            </w:r>
          </w:p>
        </w:tc>
      </w:tr>
      <w:tr w14:paraId="1DC11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16C7A43B">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439" w:type="pct"/>
            <w:noWrap w:val="0"/>
            <w:vAlign w:val="center"/>
          </w:tcPr>
          <w:p w14:paraId="208361D6">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大屏VR立体集控系统</w:t>
            </w:r>
          </w:p>
        </w:tc>
        <w:tc>
          <w:tcPr>
            <w:tcW w:w="3553" w:type="pct"/>
            <w:noWrap w:val="0"/>
            <w:vAlign w:val="center"/>
          </w:tcPr>
          <w:p w14:paraId="5EF5D166">
            <w:pPr>
              <w:keepNext w:val="0"/>
              <w:keepLines w:val="0"/>
              <w:widowControl/>
              <w:numPr>
                <w:ilvl w:val="0"/>
                <w:numId w:val="1"/>
              </w:numPr>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内存≥8G,机械硬盘≥1T+固态硬盘≥120G, ≥4G独显，≥8核CPU  主频≥2.7GHz</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2.集成主动立体VR增强模块，支持VR软件立体显示；支持3d视频立体显示；自动识别立体/平面内容，自动匹配显示；支持空中鼠标操作，支持软件2D/3D一键切换。</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3.提供空中鼠标1个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配套零编程VR资源快速转换工具，全中文界面，支持模型一键导入，进行互动内容开发及设计完全可视化，支持单模型、多场景互动操作开发，对所开发对象旋转及缩放、拆装、运动模拟、更换材质及颜色、动画录制等功能，支持移动终端、PC网页版、PC单机版、沉浸式LED立体版</w:t>
            </w:r>
          </w:p>
          <w:p w14:paraId="37A2F946">
            <w:pPr>
              <w:keepNext w:val="0"/>
              <w:keepLines w:val="0"/>
              <w:widowControl/>
              <w:numPr>
                <w:ilvl w:val="0"/>
                <w:numId w:val="0"/>
              </w:numPr>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5.配套展示内容，主要包含如下内容</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（1）三维动画片源1：</w:t>
            </w:r>
          </w:p>
          <w:p w14:paraId="173079C7">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影片时长：约5分钟（全三维动画制作）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（2）三维动画片源2：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影片时长：约5分钟（全三维动画制作）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6.配套机械工程实践颗粒化VR教学资源包1套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根据教学大纲要求，筛选知识要点，基于虚拟现实技术，将主要知识要点附加到三维模型之上，综合采用三维动画、三维模型、三维交互、二维互动等多种形式，系统化构建了颗粒化的VR教学资源包，实现了知识内容的三维可视化。界面友好，交互操作方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6.1.软件版本：提供3DLED沉浸式显示系统版本资源1套、云平台版本（1年服务期）资源（</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5个教师账号），支持浏览器访问登录使用，无需下载任何插件或者应用；支持多硬件终端适配技术，PAD、手机、PC电脑、VR大屏、智慧教室、桌面式VR一体机、沉浸式LED大屏、VR头盔等MR/VR/AR设备均可采用访问浏览器方式，随时上网使用平台，不需要下载软件或插件、预载程序或数据等对终端要求操作，即可线上打开资源。</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支持PPT链接 VR资源包，PPT演示中，可随时触发VR资源，进行触摸互动操作，包括模型交互、动画交互等。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6.2.模型展示，三维模型可以通过触摸操作自由旋转、缩放、平移观察。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6.3.知识热点，模型结构弹出图文介绍等。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6.4.三维动作，模型动态播放拆装、工作原理等过程，同时可以通过触摸任意旋转缩放观察模型等，自由控制播放进度。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6.5.三维动画，形象化展示工作原理、运动过程等，可自由控制播放进度。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6.6.平面互动，二维画面动态展示运动过程。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6.7.二维、三维结合展示知识要点。</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6.8.资源项目（至少包含以下资源）：</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（1）3D打印的工艺方法介绍：视频展示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（2）X6060金属激光切割：模型展示、加工动态演示、结构名称标签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（3）分层实体制造快速成形：三维动画展示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（4）分度头：模型展示、结构名称标签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（5）弓形车床：三维模型动态展示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（6）造型工具：通气针、压勺、压勺圆型、排笔、刮板、舂砂锤、皮老虎，模型展示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（7）整模造型：模型动画展示造型过程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（8）分模造型的基本过程：模型动画展示造型过程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（9）挖砂造型：模型动画展示造型过程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（10）三箱造型：模型动画展示造型过程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（11）二氧化碳气体保护焊：模型动画展示造型过程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（12）用芯盒造芯的基本过程：模型展示、结构名称标签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（13）砂型铸造：模型动画展示铸造过程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（14）砂箱的结构：模型展示、结构名称标签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（15）浇注系统：模型展示、结构名称标签、动画展示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（16）模锻：曲柄压力机模锻、锤上模锻、摩擦压力机模锻，模型展示、加工过程动态演示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（17）胎模锻的基本过程：模型展示、加工过程动态演示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（18）冲压设备：模型展示、原理动画展示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（19）自由锻设备：大锤、导向锤、剁刀、夹钳、漏盘、铁砧、摔子、空气锤，模型展示、文字介绍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（20）自由锻基本工序:镦粗、拔长、冲孔、单面冲孔、双面冲孔、冲子冲孔、弯曲、角度弯曲、扭转，模型动态展示、文字介绍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（21）埋弧焊及焊接过程：模型展示、设备名称标签、原理动态演示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（22）点焊：二维动画展示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（23）手工电弧焊焊缝的形成-正接：三维动画展示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（24）电焊条及其组成：模型展示，文字介绍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（25）锉刀的握法：三维动画展示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（26）麻花钻与钻孔：结构模型展示、钻孔演示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（27）平面划线和立体划线：三维模型动态演示操作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（28）丝锥与铰杠：模型展示、文字介绍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（29）攻螺纹：模型展示、文字介绍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（30）板牙与板牙架：模型展示、文字介绍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（31）套螺纹：模型动态展示、文字介绍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（32）手锤零件示意图：下料、锉四方、锉平面、测量、划线、锯斜面、锉斜面、测量、划线、钻孔、攻螺纹、锉倒角、修整、检验、百分表测量、直角尺测量、万能角度尺测量，三维人物角色动作展示加工方法</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（33）摩托车发动机：模型展示、结构名称标签、工作原理动态展示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（34）起锯：三维人物角色动作展示操作方法</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（35）车刀的组成：模型展示、名称标签展示、三维动画展示刀具角度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（36）车削加工主运动、进给运动：切削运动、加工表面、切削用量，三维动画展示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（37）卧式车床加工：车端面、钻中心孔、双顶尖法车外圆、双顶法车成形面、车外锥面、车外螺纹、车外圆、钻孔、车锥孔、车直孔、铰孔、偏移尾架法车锥面，模型动态展示加工过程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（38）带孔铣刀的安装：模型动态演示安装过程、模型展示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（39）带柄铣刀的安装：模型动态演示安装过程、模型展示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（40）周铣与端铣：模型动态演示、文字介绍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（41）成型铣刀铣平面：机床演示加工过程，模型动态演示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（42.铣削范围：圆柱铣刀铣平面、成型铣刀铣凸圆、锯片铣刀切断、键槽铣刀铣键槽，机床模型动态展示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（43）铣削封闭式键槽：机床模型动态展示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（44）铣T形槽：机床模型动态展示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（45）顺铣与逆铣：模型动态展示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（46）成形齿轮铣刀加工：盘状、指类，模型动态演示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（47）插齿运动：用齿轮滚刀滚切直齿圆柱齿轮、插齿刀加工齿轮的成形运动，模型动态演示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（48）数控车床的组成示意图：模型展示、结构名称标签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（49）数控车削加工实例：模型动态展示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（50）数控铣削零件及工艺分析示意图：机床加工动态演示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（51）三维打印工作原理：模型动态演示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（52）三坐标测量机的组成：模型动态演示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（53）非金属激光切割雕刻机：模型展示、结构名称标签、加工过程演示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（54）气体激光器：模型展示、结构名称标签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（55）激光打孔：模型动态演示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（56）数控车削常用功能指令表：图表展示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（57）无人机的组成结构动态展示：模型动态展示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（58）无人机运动原理：旋翼无人机左倾、旋翼无人机前倾、旋翼无人机反扭、旋翼无人机偏航，模型动态演示及解说</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（59）无人机飞行原理与结构：模型展示，名称标签、运动展示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（60）测量工具：游标卡尺、千分尺，模型展示、三维动画展示使用方法</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（61）激光原理：三维动画展示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（62）激光打标：模型动态演示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（63）焊接的安全技术要求：三维动画展示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（64）熔化沉积成形的机床结构：模型展示、结构名称标签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（65）立体光固化快速成形：模型动态展示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（66）立式铣床与配件：立式铣床、回转工作台、万能铣头、分度头、平口钳，模型展示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（67）冲压基本工序：冲裁模、弯曲模、拉深模，模型动态演示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（68）选择性激光烧结成形打印机：模型动态演示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（69）常用激光器：半导体激光器、二氧化碳激光器、红宝石激光器，模型展示，结构名称标签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（70）车削安全技术要求：三维动画展示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（71）车间(实验室)安全操作要求：三维动画展示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（72）金属切割件设计加工范例：模型动态演示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（73）锻造六方体技术要求：三维动画展示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7.配套火电厂虚拟仿真软件系统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基于火电厂三维模型，针对输煤系统、制粉系统、汽水系统、生产过程四个模块进行虚拟仿真设计开发，实现了交互式学习火电厂的生产过程、主要设施设备的结构及工作原理。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7.1.功能要求：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漫游行走：用户可以通过键盘W、A、S、D、Q、E在三维场景内自由漫游行走，前进、后退、左行、右行、上升、下降、利用鼠标可以自由控制视角。</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热点提示：进入具体的模块后鼠标移动到模型上会高亮框选显示其名称并在场景下方出现具体介绍，具体介绍可以自由控制显隐。</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场景导航定位：在软件右上方有一个小地图，可实时展现所处位置，该地图可根据情况选择留下或者关闭。</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7.2.软件版本：提供单机版本资源</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1套、云平台版本（1年服务期）资源（</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5个教师账号），支持多种主流浏览器访问登录使用，无需下载任何插件或者应用；支持多种操作系统。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7.3.详细功能：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（1）实验环境：</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基于火电厂真实工作环境，采用三维技术真实模拟火电厂厂区环境。</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（2）输煤系统：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鼠标点击制粉系统按钮，进入单独的三维环境中，在该场景中通过鼠标键盘可以进行场景漫游。</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（2.1）设备结构及功能展示：</w:t>
            </w:r>
            <w:r>
              <w:rPr>
                <w:rFonts w:hint="eastAsia" w:ascii="仿宋" w:hAnsi="仿宋" w:eastAsia="仿宋" w:cs="仿宋"/>
                <w:i w:val="0"/>
                <w:iCs w:val="0"/>
                <w:color w:val="auto"/>
                <w:kern w:val="0"/>
                <w:sz w:val="24"/>
                <w:szCs w:val="24"/>
                <w:highlight w:val="none"/>
                <w:u w:val="none"/>
                <w:lang w:val="en-US" w:eastAsia="zh-CN" w:bidi="ar"/>
              </w:rPr>
              <w:br w:type="textWrapping"/>
            </w:r>
            <w:r>
              <w:rPr>
                <w:rStyle w:val="7"/>
                <w:rFonts w:hint="eastAsia" w:ascii="仿宋" w:hAnsi="仿宋" w:eastAsia="仿宋" w:cs="仿宋"/>
                <w:color w:val="auto"/>
                <w:sz w:val="24"/>
                <w:szCs w:val="24"/>
                <w:highlight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设施名称及介绍：鼠标指入模型，模型会高亮框选并显示其名称，鼠标单击模型在屏幕下方出现提示框，以文字的形式介绍该模型，至少包括：储煤基地、输煤栈桥。</w:t>
            </w:r>
            <w:r>
              <w:rPr>
                <w:rFonts w:hint="eastAsia" w:ascii="仿宋" w:hAnsi="仿宋" w:eastAsia="仿宋" w:cs="仿宋"/>
                <w:i w:val="0"/>
                <w:iCs w:val="0"/>
                <w:color w:val="auto"/>
                <w:kern w:val="0"/>
                <w:sz w:val="24"/>
                <w:szCs w:val="24"/>
                <w:highlight w:val="none"/>
                <w:u w:val="none"/>
                <w:lang w:val="en-US" w:eastAsia="zh-CN" w:bidi="ar"/>
              </w:rPr>
              <w:br w:type="textWrapping"/>
            </w:r>
            <w:r>
              <w:rPr>
                <w:rStyle w:val="7"/>
                <w:rFonts w:hint="eastAsia" w:ascii="仿宋" w:hAnsi="仿宋" w:eastAsia="仿宋" w:cs="仿宋"/>
                <w:color w:val="auto"/>
                <w:sz w:val="24"/>
                <w:szCs w:val="24"/>
                <w:highlight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 xml:space="preserve">设备结构三维展示：鼠标指入模型，该模型高亮并显示模型名称，鼠标单击模型，进入三维场景单独显示该模型，在此三维环境中可通过鼠标对该模型进行放大缩小旋转操作，在屏幕下方出现提示框，以文字形式介绍该模型。单击鼠标右键退出该模型三维环境，至少包括：翻车机、皮带给煤机、碎煤机。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（2.2）工作原理展示：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视频按钮，以二维动画的形式展示输煤系统从开始的运送方式到最后进入原煤仓的整个运行过程。在动画播放过程，可随时通过停止按钮暂停播放；还可以根据需要通过声音按钮选择留下或者关闭动画声音。</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鼠标点击模型按钮，以三维动作的形式展示输煤系统的整个运行过程。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（3）制粉系统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鼠标点击制粉系统按钮，进入单独的三维环境中，在该场景中通过鼠标键盘可以进行场景漫游和模型放大缩小操作。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（3.1）设备结构及功能展示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设施名称及介绍：鼠标指入模型，模型会高亮框选并显示其名称，鼠标单击模型在屏幕下方出现提示框，以文字的形式介绍该模型，至少包括：烟囱、静电除尘器、引风机、送风机。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设备结构三维展示：鼠标指入模型，该模型高亮并显示模型名称，鼠标单击模型，进入三维场景单独显示该模型，在此三维环境中可通过鼠标对该模型进行放大缩小旋转操作，在屏幕下方出现提示框，以文字形式介绍该模型。单击鼠标右键退出该模型三维环境，至少包括：旋风分离器、粗粉分离器、煤粉仓、原煤仓、磨煤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（3.2）工作原理展示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鼠标点击视频按钮，以二维动画的形式展示输煤系统的整个运行过程。在动画播放过程，可随时通过停止按钮暂停播放；还可以根据需要通过声音按钮选择留下或者关闭动画声音。</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鼠标点击模型按钮，以三维动作的形式展示输煤系统的整个运行过程。在展示过程中，当鼠标移动到相应位置会显示其名称。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（4）汽水系统</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点击汽水系统，进入相应场景，通过鼠标键盘控制进行场景漫游。</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（4.1）设备结构及功能展示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设施名称及介绍：鼠标指入模型，模型会高亮框选并显示其名称，至少包括：凉水塔。</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设备结构三维展示：鼠标指入模型，该模型高亮并显示模型名称，鼠标单击模型，进入三维场景单独显示该模型，在此三维环境中可通过鼠标对该模型进行放大缩小旋转操作，在屏幕下方出现提示框，以文字形式介绍该模型。单击鼠标右键退出该模型三维环境，至少包括：凝气器、汽轮机、发电机、水冷壁、再热器、省煤器、下降管、过热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（4.2）工作原理展示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鼠标点击视频按钮，以二维动画的形式展示输煤系统的整个运行过程。在动画播放过程，可随时通过停止按钮暂停播放；还可以根据需要通过声音按钮选择留下或者关闭动画声音。</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鼠标点击模型按钮，以三维动作的形式展示输煤系统的整个运行过程。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（5）生产过程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点击生产过程，进入火电厂整个场景，通过鼠标键盘控制进行场景漫游。</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（5.1）工作原理展示 ：鼠标点击视频按钮，以二维动画的形式展示火电厂从开始的输煤到最后完成发电的整个生产过程。在动画播放过程，可随时通过停止按钮暂停播放；还可以根据需要通过声音按钮选择留下或者关闭动画声音。</w:t>
            </w:r>
          </w:p>
        </w:tc>
        <w:tc>
          <w:tcPr>
            <w:tcW w:w="355" w:type="pct"/>
            <w:noWrap w:val="0"/>
            <w:vAlign w:val="center"/>
          </w:tcPr>
          <w:p w14:paraId="51BF02C9">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395EC10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套</w:t>
            </w:r>
          </w:p>
        </w:tc>
      </w:tr>
      <w:tr w14:paraId="0511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1C4138A1">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439" w:type="pct"/>
            <w:noWrap w:val="0"/>
            <w:vAlign w:val="center"/>
          </w:tcPr>
          <w:p w14:paraId="5FCDDA00">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LED立体显示处理系统</w:t>
            </w:r>
          </w:p>
        </w:tc>
        <w:tc>
          <w:tcPr>
            <w:tcW w:w="3553" w:type="pct"/>
            <w:noWrap w:val="0"/>
            <w:vAlign w:val="center"/>
          </w:tcPr>
          <w:p w14:paraId="5EA7601C">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1.3D发射器（1台）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采用无线ISM频段传输3D信号；最大支持</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1024副眼镜同时观看。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2.3D眼镜（50副）</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主动式 3D 眼镜，低功耗系统设计，配合支持 3D 功能的独立主控和 3D 发射器实现 3D 显示效果。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无信号，眼镜自动关闭，及电池电量指示功能，符合人性化设计</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信号接收距离≥ 30m。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完全充电一次可以连续使用≥35 小时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3.LED配电系统（1套）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三相配电系统，功率：</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20KW；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具有过载、过流、过载保护；</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通过定制软件控制电源系统的开关,具有温湿度采集；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通过PLC可设定任意时间开启和关闭LED显示屏电源；</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通过PLC可设定任意时间关闭计算机。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4.框架隔断（1宗）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采用模块化安装结构，外边框采用不锈钢包边，整屏与屏体框架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5.LED控制系统（1套）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采用无焊接简易拼装。</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输入接口不少于:DP1.2, HDMI2.0,DVIx4, AUDIO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输出接口不少于:HDMI LOOP,千兆网口x16,</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其它接口不少于:SENSOR, USB方口，USB扁口，LAN</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最大带载</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1040万像素，单口最大带载</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65万像素，</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最宽</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15360px,最高</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15360px,支持自定义</w:t>
            </w:r>
          </w:p>
        </w:tc>
        <w:tc>
          <w:tcPr>
            <w:tcW w:w="355" w:type="pct"/>
            <w:noWrap w:val="0"/>
            <w:vAlign w:val="center"/>
          </w:tcPr>
          <w:p w14:paraId="0F7E8AD6">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01B6173F">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套</w:t>
            </w:r>
          </w:p>
        </w:tc>
      </w:tr>
      <w:tr w14:paraId="2E49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43B7E0BF">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439" w:type="pct"/>
            <w:noWrap w:val="0"/>
            <w:vAlign w:val="center"/>
          </w:tcPr>
          <w:p w14:paraId="32EAA1E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教师端触控联动教学系统</w:t>
            </w:r>
          </w:p>
        </w:tc>
        <w:tc>
          <w:tcPr>
            <w:tcW w:w="3553" w:type="pct"/>
            <w:noWrap w:val="0"/>
            <w:vAlign w:val="center"/>
          </w:tcPr>
          <w:p w14:paraId="43E33C35">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一、平台要求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与3DLED沉浸式显示系统配套使用，可进行内容同步显示、可进行PPT展示、板书、VR资源2D/3D仿真实训操作等；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对比度：≥1000：1（静态）；5000000：1（动态）</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二、平台软件功能，以下软件功能，必须在同一套软件环境下实现。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1.在软件界面下，可实现图片,视频，办公软件文件的放大、缩小、拖曳；无需点击任何按钮或快捷键,可以打开多个图片,视频，办公软件文件。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文档演示应用：与文档演示软件无缝结合，在文档演示播放过程中，保留文档演示的声音动画,动作,直接通过手触控即可实现对文档演示的放大、缩小、翻页、标注及檫除、屏幕录制、可以直接播放文档演示上的视频文件和链接文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3.文字处理应用：与文字处理软件无缝结合，在文字处理操作中，保留文字处理的输入,直接通过手触控即可实现对文字处理的放大、缩小、翻页、标注及檫除、屏幕录制。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PPT+VR资源授课功能，PPT演示中，可随时触发VR资源，进行触摸互动操作，至少包括模型交互、动画交互等。随机配套齿轮泵触控操作文件，触控打开齿轮泵三维模型，可以触控操作旋转、缩放、自动拆分动作展示，可以控制拆分进度，同时随意调整视角、缩放观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5.工具条，支持自由移动，黑板两侧均可调出。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6.PDF应用：与PDF软件无缝结合，在PDF操作中，直接通过快捷键即可实现对PDF的放大、缩小、翻页、标注及檫除、屏幕录制。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7.视频应用：与视频软件无缝结合，在视频操作中，直接通过快捷键即可实现对视频的放大、缩小、暂停、快进、标注及檫除、屏幕录制。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8.笔功能:提供铅笔、荧光笔不少于2种笔型，并提供粗细，色彩等属性设置</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9.笔擦功能：提供对象擦、全屏擦除。</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10.辅助工具：提供放大镜、屏幕录制、视频录制、聚光灯、遮幕、照相机等常用工具。</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11.页面功能：可提供黑板页、任意改变主题背景，颜色背景，页面背景页；</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12.透明页：实现书写与鼠标的无缝切换。同一页面既可操作电脑又可以书写、批注。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13.页面操作：支持对页面的整体漫游、漫游返回、整页清除、翻页等，其中漫游功能支持对书写页面的无限放大和移动。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14.支持屏幕录制功能。屏幕录制可将操作过程及板书内容录制为视频并进行保存。</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15.插入对象：支持图片、文本、音频、视频的插入。</w:t>
            </w:r>
          </w:p>
        </w:tc>
        <w:tc>
          <w:tcPr>
            <w:tcW w:w="355" w:type="pct"/>
            <w:noWrap w:val="0"/>
            <w:vAlign w:val="center"/>
          </w:tcPr>
          <w:p w14:paraId="47B82A3E">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3A11574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套</w:t>
            </w:r>
          </w:p>
        </w:tc>
      </w:tr>
      <w:tr w14:paraId="0549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24F54120">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439" w:type="pct"/>
            <w:noWrap w:val="0"/>
            <w:vAlign w:val="center"/>
          </w:tcPr>
          <w:p w14:paraId="71355C61">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音响</w:t>
            </w:r>
          </w:p>
        </w:tc>
        <w:tc>
          <w:tcPr>
            <w:tcW w:w="3553" w:type="pct"/>
            <w:noWrap w:val="0"/>
            <w:vAlign w:val="center"/>
          </w:tcPr>
          <w:p w14:paraId="42020AC8">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音响设备</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（一）音箱4只</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1.低音单元：≥12"锥面；2.高音单元：1"VC、压缩驱动器-TW；3.频率响应：65Hz-20kHz；4.功率容量：RMS150W、峰值≥600W；；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（二）功放1台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信噪比</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110dB；2.频率响应：±1dB；3.功放类型：D类，平衡输出电路（BTL）；4.输出功率：4*300W。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（三）调音台1台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1.串扰：-83dB；2.话筒8路；3.幻象电源：+48V；4.数字效果：24编程；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（四）无线麦克风1套（头戴+手持）</w:t>
            </w:r>
          </w:p>
        </w:tc>
        <w:tc>
          <w:tcPr>
            <w:tcW w:w="355" w:type="pct"/>
            <w:noWrap w:val="0"/>
            <w:vAlign w:val="center"/>
          </w:tcPr>
          <w:p w14:paraId="5D377834">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2993D37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套</w:t>
            </w:r>
          </w:p>
        </w:tc>
      </w:tr>
      <w:tr w14:paraId="1ED2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042022B0">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439" w:type="pct"/>
            <w:noWrap w:val="0"/>
            <w:vAlign w:val="center"/>
          </w:tcPr>
          <w:p w14:paraId="0E5EBC0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双人学生桌</w:t>
            </w:r>
          </w:p>
        </w:tc>
        <w:tc>
          <w:tcPr>
            <w:tcW w:w="3553" w:type="pct"/>
            <w:noWrap w:val="0"/>
            <w:vAlign w:val="center"/>
          </w:tcPr>
          <w:p w14:paraId="0F711823">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1.桌长1400mm(±30mm)、宽600mm(±20mm)；</w:t>
            </w:r>
            <w:r>
              <w:rPr>
                <w:rFonts w:hint="eastAsia" w:ascii="仿宋" w:hAnsi="仿宋" w:eastAsia="仿宋" w:cs="仿宋"/>
                <w:i w:val="0"/>
                <w:iCs w:val="0"/>
                <w:color w:val="000000"/>
                <w:kern w:val="0"/>
                <w:sz w:val="24"/>
                <w:szCs w:val="24"/>
                <w:highlight w:val="none"/>
                <w:u w:val="none"/>
                <w:lang w:val="en-US" w:eastAsia="zh-CN" w:bidi="ar"/>
              </w:rPr>
              <w:t>高750mm</w:t>
            </w:r>
            <w:r>
              <w:rPr>
                <w:rFonts w:hint="eastAsia" w:ascii="仿宋" w:hAnsi="仿宋" w:eastAsia="仿宋" w:cs="仿宋"/>
                <w:i w:val="0"/>
                <w:iCs w:val="0"/>
                <w:color w:val="auto"/>
                <w:kern w:val="0"/>
                <w:sz w:val="24"/>
                <w:szCs w:val="24"/>
                <w:highlight w:val="none"/>
                <w:u w:val="none"/>
                <w:lang w:val="en-US" w:eastAsia="zh-CN" w:bidi="ar"/>
              </w:rPr>
              <w:t>±(30mm)</w:t>
            </w:r>
            <w:r>
              <w:rPr>
                <w:rFonts w:hint="eastAsia" w:ascii="仿宋" w:hAnsi="仿宋" w:eastAsia="仿宋" w:cs="仿宋"/>
                <w:i w:val="0"/>
                <w:iCs w:val="0"/>
                <w:color w:val="0000FF"/>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2.桌面采用12mm(±2mm)理化板，具有防静电特性。</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3.钢架采用1.2mm(±0.2mm)厚优质方钢，喷涂采</w:t>
            </w:r>
            <w:r>
              <w:rPr>
                <w:rFonts w:hint="eastAsia" w:ascii="仿宋" w:hAnsi="仿宋" w:eastAsia="仿宋" w:cs="仿宋"/>
                <w:i w:val="0"/>
                <w:iCs w:val="0"/>
                <w:color w:val="000000"/>
                <w:kern w:val="0"/>
                <w:sz w:val="24"/>
                <w:szCs w:val="24"/>
                <w:highlight w:val="none"/>
                <w:u w:val="none"/>
                <w:lang w:val="en-US" w:eastAsia="zh-CN" w:bidi="ar"/>
              </w:rPr>
              <w:t>用粉末喷涂。</w:t>
            </w:r>
          </w:p>
        </w:tc>
        <w:tc>
          <w:tcPr>
            <w:tcW w:w="355" w:type="pct"/>
            <w:noWrap w:val="0"/>
            <w:vAlign w:val="center"/>
          </w:tcPr>
          <w:p w14:paraId="4943D08F">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358" w:type="pct"/>
            <w:noWrap w:val="0"/>
            <w:vAlign w:val="center"/>
          </w:tcPr>
          <w:p w14:paraId="6A78509E">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张</w:t>
            </w:r>
          </w:p>
        </w:tc>
      </w:tr>
      <w:tr w14:paraId="553C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2E759558">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439" w:type="pct"/>
            <w:noWrap w:val="0"/>
            <w:vAlign w:val="center"/>
          </w:tcPr>
          <w:p w14:paraId="1B9B1938">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学生椅</w:t>
            </w:r>
          </w:p>
        </w:tc>
        <w:tc>
          <w:tcPr>
            <w:tcW w:w="3553" w:type="pct"/>
            <w:noWrap w:val="0"/>
            <w:vAlign w:val="center"/>
          </w:tcPr>
          <w:p w14:paraId="3FCD0D40">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1.椅面板：采用优选透气涤纶网布。</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2.椅轮：PU包裹静音轮；</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3.气压棒：三级气压棒；</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4.扶手：90°翻转扶手；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5.椅脚：PP五行椅脚；</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6.椅尺寸：高950mm(±20mm)、宽600mm(±10mm)。</w:t>
            </w:r>
          </w:p>
        </w:tc>
        <w:tc>
          <w:tcPr>
            <w:tcW w:w="355" w:type="pct"/>
            <w:noWrap w:val="0"/>
            <w:vAlign w:val="center"/>
          </w:tcPr>
          <w:p w14:paraId="50FB2BF9">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40</w:t>
            </w:r>
          </w:p>
        </w:tc>
        <w:tc>
          <w:tcPr>
            <w:tcW w:w="358" w:type="pct"/>
            <w:noWrap w:val="0"/>
            <w:vAlign w:val="center"/>
          </w:tcPr>
          <w:p w14:paraId="375E25B0">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把</w:t>
            </w:r>
          </w:p>
        </w:tc>
      </w:tr>
      <w:tr w14:paraId="6760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92" w:type="pct"/>
            <w:noWrap w:val="0"/>
            <w:vAlign w:val="center"/>
          </w:tcPr>
          <w:p w14:paraId="77B401CA">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w:t>
            </w:r>
          </w:p>
        </w:tc>
        <w:tc>
          <w:tcPr>
            <w:tcW w:w="439" w:type="pct"/>
            <w:noWrap w:val="0"/>
            <w:vAlign w:val="center"/>
          </w:tcPr>
          <w:p w14:paraId="168FBEA6">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VR实训工作站</w:t>
            </w:r>
          </w:p>
        </w:tc>
        <w:tc>
          <w:tcPr>
            <w:tcW w:w="3553" w:type="pct"/>
            <w:noWrap w:val="0"/>
            <w:vAlign w:val="center"/>
          </w:tcPr>
          <w:p w14:paraId="47BD3C6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1、CPU 规格-CPU 信息：物理核心数：≥8 核，主频：≥3.0GHz，末级缓存容量：≥16MB，线程数：≥16 线程，热设计功耗：≤70W</w:t>
            </w:r>
          </w:p>
          <w:p w14:paraId="296CCA67">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2、内存规格</w:t>
            </w:r>
          </w:p>
          <w:p w14:paraId="03D873A3">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内存配置容量：≥32GB</w:t>
            </w:r>
          </w:p>
          <w:p w14:paraId="10B56FD6">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内存类型：支持 DDR4/LPDDR4/LPDDR4X 及以上内存类型；</w:t>
            </w:r>
          </w:p>
          <w:p w14:paraId="250FC7C3">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3、主板规格</w:t>
            </w:r>
          </w:p>
          <w:p w14:paraId="6CDF0ECB">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主板集成模块:集成资源扩展模块、计算处理模块、音频扩展模块等，主板的互联拓扑可通过处理器或交换电路实现;</w:t>
            </w:r>
          </w:p>
          <w:p w14:paraId="4017588F">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主板其他内置接口不少于：2个M.2 SSD接口，1个M.2 Wifi+蓝牙接口，4个SATA3.0接口，9个USB接口，其中前置4个USB3.0接口，1个USB 3.0 Type C接口，后置4个USB3.0接口</w:t>
            </w:r>
          </w:p>
          <w:p w14:paraId="7C3FFC1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单内存插槽最大可支持容量：≥16GB；</w:t>
            </w:r>
          </w:p>
          <w:p w14:paraId="2240BE94">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内存插槽满配时提供的最高内存总容量：≥128GB</w:t>
            </w:r>
          </w:p>
          <w:p w14:paraId="6F1E8AE9">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4、存储设备规格</w:t>
            </w:r>
          </w:p>
          <w:p w14:paraId="75C5483E">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固态盘数量：≥1个；</w:t>
            </w:r>
          </w:p>
          <w:p w14:paraId="2622FFD6">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固态存储容量：≥256GB；</w:t>
            </w:r>
          </w:p>
          <w:p w14:paraId="60224F18">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机械硬盘数量：≥1个；</w:t>
            </w:r>
          </w:p>
          <w:p w14:paraId="3240E8C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机械硬盘总容量：≥1TB；</w:t>
            </w:r>
          </w:p>
          <w:p w14:paraId="02F3BCAF">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机械硬盘转速：≥7200rpm；</w:t>
            </w:r>
          </w:p>
          <w:p w14:paraId="07A1F731">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固态存储形态：M.2标准形态；</w:t>
            </w:r>
          </w:p>
          <w:p w14:paraId="752B67FB">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5、显卡规格</w:t>
            </w:r>
          </w:p>
          <w:p w14:paraId="7E17CFF7">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显卡类型：独立显卡；</w:t>
            </w:r>
          </w:p>
          <w:p w14:paraId="0EAA9550">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独立显卡显存位宽：显存位宽≥64 位；</w:t>
            </w:r>
          </w:p>
          <w:p w14:paraId="087D5382">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独立显卡显存容量：显存容量≥2GB；</w:t>
            </w:r>
          </w:p>
          <w:p w14:paraId="06BABC23">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显示屏屏占比：≥80%；</w:t>
            </w:r>
          </w:p>
          <w:p w14:paraId="19B504B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6、显示设备规格</w:t>
            </w:r>
          </w:p>
          <w:p w14:paraId="50E271A5">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显示屏分辨率：≥ 2560×1440；</w:t>
            </w:r>
          </w:p>
          <w:p w14:paraId="735FA076">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显示屏尺寸：≥23 英寸；</w:t>
            </w:r>
          </w:p>
          <w:p w14:paraId="3235DE38">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显示屏防蓝光：支持防蓝光模式，蓝光加权辐射亮度比 应≤0.0012W/( ·cd ·sr)（瓦每坎特拉 每球面度）。</w:t>
            </w:r>
          </w:p>
          <w:p w14:paraId="184E0616">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显示屏低频闪：显示屏应支持低频闪≤-35dB；</w:t>
            </w:r>
          </w:p>
          <w:p w14:paraId="015A50F8">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显示屏防炫目：显示屏镜面反射率≤10%；</w:t>
            </w:r>
          </w:p>
          <w:p w14:paraId="07CA26A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7、外设规格</w:t>
            </w:r>
          </w:p>
          <w:p w14:paraId="6BA43F6C">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鼠标数量：≥1个；</w:t>
            </w:r>
          </w:p>
          <w:p w14:paraId="203DF92B">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键盘数量：≥1个；</w:t>
            </w:r>
          </w:p>
          <w:p w14:paraId="0F65B480">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8、网络设备规格-有线网卡数量：≥1；</w:t>
            </w:r>
          </w:p>
          <w:p w14:paraId="1468CC5F">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9、外部接口规格</w:t>
            </w:r>
          </w:p>
          <w:p w14:paraId="1A6A6277">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USB 接口数量：≥8，机箱前面板至少包括4个 USB3.0 及1个Type C接口；</w:t>
            </w:r>
          </w:p>
          <w:p w14:paraId="6AA95A45">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视频接口数量：≥1；</w:t>
            </w:r>
          </w:p>
          <w:p w14:paraId="12EA8296">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ab/>
            </w:r>
            <w:r>
              <w:rPr>
                <w:rFonts w:hint="eastAsia" w:ascii="仿宋" w:hAnsi="仿宋" w:eastAsia="仿宋" w:cs="仿宋"/>
                <w:i w:val="0"/>
                <w:iCs w:val="0"/>
                <w:color w:val="auto"/>
                <w:kern w:val="0"/>
                <w:sz w:val="24"/>
                <w:szCs w:val="24"/>
                <w:highlight w:val="none"/>
                <w:u w:val="none"/>
                <w:lang w:val="en-US" w:eastAsia="zh-CN" w:bidi="ar"/>
              </w:rPr>
              <w:t>音频接口数量：≥5（前2后3）；</w:t>
            </w:r>
          </w:p>
          <w:p w14:paraId="2DB3839E">
            <w:pPr>
              <w:numPr>
                <w:ilvl w:val="0"/>
                <w:numId w:val="2"/>
              </w:numP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服务要求</w:t>
            </w:r>
          </w:p>
          <w:p w14:paraId="1FD5686F">
            <w:pPr>
              <w:numPr>
                <w:ilvl w:val="0"/>
                <w:numId w:val="0"/>
              </w:numPr>
              <w:ind w:firstLine="480" w:firstLineChars="20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服务周期:支持产品延保≥3 年</w:t>
            </w:r>
          </w:p>
          <w:p w14:paraId="698137D5">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预装操作系统:预装符合桌面操作系统政府采购需求标准的国产化正版操作系统</w:t>
            </w:r>
          </w:p>
          <w:p w14:paraId="358BAC21">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培训服务：供应商提供培训材料、产品手册、培训视频等培训相关内容</w:t>
            </w:r>
          </w:p>
          <w:p w14:paraId="5248FCEE">
            <w:pPr>
              <w:rPr>
                <w:rFonts w:hint="default"/>
                <w:lang w:val="en-US" w:eastAsia="zh-CN"/>
              </w:rPr>
            </w:pPr>
          </w:p>
        </w:tc>
        <w:tc>
          <w:tcPr>
            <w:tcW w:w="355" w:type="pct"/>
            <w:noWrap w:val="0"/>
            <w:vAlign w:val="center"/>
          </w:tcPr>
          <w:p w14:paraId="1855A93F">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40</w:t>
            </w:r>
          </w:p>
        </w:tc>
        <w:tc>
          <w:tcPr>
            <w:tcW w:w="358" w:type="pct"/>
            <w:noWrap w:val="0"/>
            <w:vAlign w:val="center"/>
          </w:tcPr>
          <w:p w14:paraId="4EE0D3F7">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台</w:t>
            </w:r>
          </w:p>
        </w:tc>
      </w:tr>
      <w:tr w14:paraId="4A86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6D960BDB">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439" w:type="pct"/>
            <w:noWrap w:val="0"/>
            <w:vAlign w:val="center"/>
          </w:tcPr>
          <w:p w14:paraId="6B07A05D">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VR头盔</w:t>
            </w:r>
          </w:p>
        </w:tc>
        <w:tc>
          <w:tcPr>
            <w:tcW w:w="3553" w:type="pct"/>
            <w:noWrap w:val="0"/>
            <w:vAlign w:val="center"/>
          </w:tcPr>
          <w:p w14:paraId="3579BA0A">
            <w:pPr>
              <w:keepNext w:val="0"/>
              <w:keepLines w:val="0"/>
              <w:widowControl/>
              <w:numPr>
                <w:ilvl w:val="0"/>
                <w:numId w:val="0"/>
              </w:numPr>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lang w:val="en-US" w:eastAsia="zh-CN" w:bidi="ar"/>
              </w:rPr>
              <w:t>一．</w:t>
            </w:r>
            <w:r>
              <w:rPr>
                <w:rFonts w:hint="eastAsia" w:ascii="仿宋" w:hAnsi="仿宋" w:eastAsia="仿宋" w:cs="仿宋"/>
                <w:i w:val="0"/>
                <w:iCs w:val="0"/>
                <w:color w:val="auto"/>
                <w:kern w:val="0"/>
                <w:sz w:val="24"/>
                <w:szCs w:val="24"/>
                <w:highlight w:val="none"/>
                <w:u w:val="none"/>
                <w:lang w:val="en-US" w:eastAsia="zh-CN" w:bidi="ar"/>
              </w:rPr>
              <w:t>VR头盔</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bCs/>
                <w:i w:val="0"/>
                <w:iCs w:val="0"/>
                <w:color w:val="auto"/>
                <w:kern w:val="0"/>
                <w:sz w:val="24"/>
                <w:szCs w:val="24"/>
                <w:highlight w:val="none"/>
                <w:u w:val="none"/>
                <w:lang w:val="en-US" w:eastAsia="zh-CN" w:bidi="ar"/>
              </w:rPr>
              <w:t>CPU：</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bCs/>
                <w:i w:val="0"/>
                <w:iCs w:val="0"/>
                <w:color w:val="auto"/>
                <w:kern w:val="0"/>
                <w:sz w:val="24"/>
                <w:szCs w:val="24"/>
                <w:highlight w:val="none"/>
                <w:u w:val="none"/>
                <w:lang w:val="en-US" w:eastAsia="zh-CN" w:bidi="ar"/>
              </w:rPr>
              <w:t>8核64位，最高主频</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bCs/>
                <w:i w:val="0"/>
                <w:iCs w:val="0"/>
                <w:color w:val="auto"/>
                <w:kern w:val="0"/>
                <w:sz w:val="24"/>
                <w:szCs w:val="24"/>
                <w:highlight w:val="none"/>
                <w:u w:val="none"/>
                <w:lang w:val="en-US" w:eastAsia="zh-CN" w:bidi="ar"/>
              </w:rPr>
              <w:t>2.84GHz</w:t>
            </w:r>
            <w:r>
              <w:rPr>
                <w:rFonts w:hint="eastAsia" w:ascii="仿宋" w:hAnsi="仿宋" w:eastAsia="仿宋" w:cs="仿宋"/>
                <w:bCs/>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GPU：主频</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587MHz</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内存：</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6GB RAM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闪存：UFS3.0 </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256GB</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WIFI：WIFI6 2.4G/5G双频</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BT：BT</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5.1</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屏幕：</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 xml:space="preserve">5.5 </w:t>
            </w:r>
          </w:p>
          <w:p w14:paraId="34A0E706">
            <w:pPr>
              <w:keepNext w:val="0"/>
              <w:keepLines w:val="0"/>
              <w:widowControl/>
              <w:numPr>
                <w:ilvl w:val="0"/>
                <w:numId w:val="0"/>
              </w:numPr>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分辨率：</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3664x1920，PPI：≥773</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刷新率：≥72/90Hz</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视场角：≥98°</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透镜：菲涅尔</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瞳距调节：支持物理瞳距调节，三档：58/63.5/69mm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护眼模式：通过TUV低蓝光认证，可以在系统设置中开启该功能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9轴传感器：1KHz采样频率</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P-senor：人脸佩戴感应</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前置摄像头：鱼眼摄像头(640x480@120Hz, FOV:166°) x 4，支持头部6Dof定位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手柄：6DoF体感手柄 x 2，支持光学定位，支持线性振动马达</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绑带：采用硬绑带设计，支持旋钮调节，侧绑带可向上旋转方便快速佩戴</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泡棉：可替换的泡棉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充电：支持快速充电</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电池容量：≥5300mAh</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扬声器：内置双立体声喇叭</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麦克风：双麦克降噪，全指向麦克风</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USB Type-C 3.0：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 USB3.0数据传输</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 5V/1A OTG 扩展供电能力</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 USB3.0 OTG扩展功能（需要转接线支持）</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 支持DP视频输出（支持转接线将头盔内容投到电脑上，有线连接稳定可靠）</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DP接口：通过定制DP线连接PC，体验4K分辨率 SteamVR内容</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3.5mm音频接口：连接第三方立体声耳机使用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Led灯：三色Led 显示开机，关机，充电状态</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二．配套智能制造生产线虚拟仿真教学系统资源1套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包括仪器设备、材料、工具等，并且可以进行人机交互，通过鼠标、键盘等外设，操作虚拟仪器设备，进行仿真实验。能够完整模拟实验流程，实时渲染实验现象。</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建立高度仿真的三维虚拟实训中心，学生在虚拟环境中，可以学习知识要点（工作原理、内部结构等），也可以对设备进行模拟操作，进行相应的训练项目。学生可以模拟典型零件在系列工位上的加工生产流程，也可以对单独的设备进行模拟实训，实现点线结合，全面练习。</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软件基于unity3d平台进行开发，三维模型要和真实设备按照1:1比例制作，使用材质贴图及shader技术，圆角物体，将硬边转为软边，单个模型面数限制为60000三角面，保守计算为20000四边面，一个模型对应一个材质球，不允许用黑色，凡是关于黑色的材质统一（50*50*50）颜色值，同空间内物体按材质类型进行合并贴图及模型，不应跨空间合并，透明贴图不能和非透明贴图共用于一个模型材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3.软件版本：须支持普通PC机、多点触控屏、VR立体屏幕、VR头盔使用, VR立体大屏版须支持多点触控操作、普通/立体显示一键切换功能，立体状态下，模型重影显示，用户佩戴3D眼镜可以看到悬浮于空中的立体效果，教师可以通过空中鼠标进行互动操作；软件须支持VR云平台版，满足学生不限时间地点，无需插件，使用手机、平板、PC等设备在线使用资源；软件须支持VR头盔沉浸式实训操作，可通过头部及手柄配合实现视角切换、仿真操作等。本次项目提供VR头盔版本1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本软件至少包含设备认知、CAD设计、产品全生命周期管理PLM、企业资源管理ERP、制造执行系统MES、仓储管理系统WMS、仓储控制系统WCS、生产线流程、自测考核等九部分。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一、设备认知</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机械仓储和智能制造生产线所用到的设备，主要包含机械仓库组成、立体货架、堆垛机、无线扫码器、输送滚筒、AGV、工业机器人、桁架机械手、立体仓库、机械仓储、输送滚筒、AGV、工业机器人、桁架机械手、双头车床、数控车床、加工中心、数控磨床等设备，可旋转、缩放、多角度观察设备，内容以三维互动展示、三位动作及文字的形式来展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二、CAD设计</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1、CAD简介：主要包括CAD概念的基本介绍，以文字形式来介绍。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2、电机轴的建模：包含任务说明和建模，其中任务说明以文字形式来介绍，建模以视频形式展示建模的介绍及全过程。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三、产品全生命周期管理PLM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1、基础原理：主要包含基本介绍和基本功能，以文字形式来介绍。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2、应用实例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要包含任务说明、任务流程、角色分配；其中任务说明、任务流程以文字形式来介绍，角色分配主要从项目经理、设计工程师、工艺工程师三个角色来介绍；项目经理主要介绍组建团队、审批升级请求（设计）、审批升级请求（工艺）、导出至ERP和MES，设计工程师主要介绍服务器登录、检入设计图纸、提交升级请求，工艺工程师主要介绍生成MBOM、编辑机加工计划、提交升级请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四、企业资源管理ERP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1、基础原理：主要包含ERP的定义和ERP的背景要求，以文字形式来介绍。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2、应用实例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要包含任务说明、销售管理、生产管理、采购管理四个模块；任务说明以文字形式介绍，其中生产管理和采购管理通过人机交互的形式进行，通过提示信息，按步骤进行相对应操作，可操作销售管理、生产管理和采购管理全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五、制造执行系统MES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1、文字介绍MES简介和任务说明。</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2、应用实例：视频介绍MES应用操作全过程。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六、仓储管理系统WMS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1、文字介绍功能概述。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2、应用实例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要包含任务说明、单据管理及任务查询、组盘上架、空托盘入库四个模块；任务说明以文字形式来介绍，单据管理及任务查询以视频的形式介绍操作过程，组盘上架、空托盘入库通过人机交互的形式，根据提示信息，点击对应的设备，进行实训操作。</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七、仓储控制系统WCS</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1、文字介绍功能概述。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2、应用实例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主要包含任务说明、联机运行、脱机运行三个模块；任务说明以文字形式来介绍，联机运行、脱机运行以视频的形式介绍操作过程。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八、生产线流程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主要包含原料采购入库、生产加工、成品销售出库三部分。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原料采购入库包含任务说明、原料采购入库两部分，任务说明以文字形式介绍，原料采购入库通过人机交互的形式进行，通过提示信息，按步骤进行相对应操作，操作完成后可以观看原料采购入库的整体流程。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生产加工包含任务说明、生产加工两部分，任务说明以文字形式介绍，生产加工通过人机交互的形式进行，通过提示信息，按步骤进行相对应操作，操作完成后可以观看生产加工的整体流程。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成品销售出库包含任务说明、成品销售出库两部分，任务说明以文字形式介绍，成品销售出库通过人机交互的形式进行，通过提示信息，按步骤进行相对应操作，操作完成后可以观看成品销售出库的整体流程。</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九、自测考核：设置选择题</w:t>
            </w:r>
            <w:r>
              <w:rPr>
                <w:rFonts w:hint="eastAsia" w:ascii="宋体" w:hAnsi="宋体" w:eastAsia="宋体" w:cs="宋体"/>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15道，提交之后显示得分。</w:t>
            </w:r>
          </w:p>
        </w:tc>
        <w:tc>
          <w:tcPr>
            <w:tcW w:w="355" w:type="pct"/>
            <w:noWrap w:val="0"/>
            <w:vAlign w:val="center"/>
          </w:tcPr>
          <w:p w14:paraId="548906AA">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358" w:type="pct"/>
            <w:noWrap w:val="0"/>
            <w:vAlign w:val="center"/>
          </w:tcPr>
          <w:p w14:paraId="583F2340">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个</w:t>
            </w:r>
          </w:p>
        </w:tc>
      </w:tr>
      <w:tr w14:paraId="53C7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207CE2EE">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11</w:t>
            </w:r>
          </w:p>
        </w:tc>
        <w:tc>
          <w:tcPr>
            <w:tcW w:w="439" w:type="pct"/>
            <w:noWrap w:val="0"/>
            <w:vAlign w:val="center"/>
          </w:tcPr>
          <w:p w14:paraId="6EC0FDD2">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课堂管理系统软件</w:t>
            </w:r>
          </w:p>
        </w:tc>
        <w:tc>
          <w:tcPr>
            <w:tcW w:w="3553" w:type="pct"/>
            <w:noWrap w:val="0"/>
            <w:vAlign w:val="center"/>
          </w:tcPr>
          <w:p w14:paraId="785AE050">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1.提供监控视图、报告视图、策略视图；在对应视图中能直观的操作相关功能。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2.全面支持正版操作系统、兼容虚拟机。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4.屏幕广播：将教师机屏幕和教师讲话实时广播给单一、部分或全体学生，可选择全屏或窗口方式。</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5.学生演示：教师选定一台学生机作为示范，由此学生代替教师进行示范教学。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6.分组教学：通过分组教学，可将学生分成几个组进行合作学习。小组长可使用多种功能来辅导同伴，例如：广播教学、监视、文件分发和网络影院。</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7.讨论：可组织学生使用文字、图片、手写板等多种方式开展讨论，可进行分组讨论或主题讨论。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8.支持文件分发和文件收集功能；支持拖拽添加文件，可限制学生提交文件的数目和大小。</w:t>
            </w:r>
          </w:p>
        </w:tc>
        <w:tc>
          <w:tcPr>
            <w:tcW w:w="355" w:type="pct"/>
            <w:noWrap w:val="0"/>
            <w:vAlign w:val="center"/>
          </w:tcPr>
          <w:p w14:paraId="1B32471B">
            <w:pPr>
              <w:keepNext w:val="0"/>
              <w:keepLines w:val="0"/>
              <w:widowControl/>
              <w:suppressLineNumbers w:val="0"/>
              <w:jc w:val="center"/>
              <w:textAlignment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358" w:type="pct"/>
            <w:noWrap w:val="0"/>
            <w:vAlign w:val="center"/>
          </w:tcPr>
          <w:p w14:paraId="2570238B">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套</w:t>
            </w:r>
          </w:p>
        </w:tc>
      </w:tr>
      <w:tr w14:paraId="6D4A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7771E800">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w:t>
            </w:r>
          </w:p>
        </w:tc>
        <w:tc>
          <w:tcPr>
            <w:tcW w:w="439" w:type="pct"/>
            <w:noWrap w:val="0"/>
            <w:vAlign w:val="center"/>
          </w:tcPr>
          <w:p w14:paraId="276DD079">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48交换机</w:t>
            </w:r>
          </w:p>
        </w:tc>
        <w:tc>
          <w:tcPr>
            <w:tcW w:w="3553" w:type="pct"/>
            <w:noWrap w:val="0"/>
            <w:vAlign w:val="center"/>
          </w:tcPr>
          <w:p w14:paraId="3DC04544">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端口类型：电口；</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端口数量：48口；</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下行端口速率：千兆；</w:t>
            </w:r>
          </w:p>
        </w:tc>
        <w:tc>
          <w:tcPr>
            <w:tcW w:w="355" w:type="pct"/>
            <w:noWrap w:val="0"/>
            <w:vAlign w:val="center"/>
          </w:tcPr>
          <w:p w14:paraId="4714671C">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22EF72B8">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台</w:t>
            </w:r>
          </w:p>
        </w:tc>
      </w:tr>
      <w:tr w14:paraId="23D8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02BB16FB">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w:t>
            </w:r>
          </w:p>
        </w:tc>
        <w:tc>
          <w:tcPr>
            <w:tcW w:w="439" w:type="pct"/>
            <w:noWrap w:val="0"/>
            <w:vAlign w:val="center"/>
          </w:tcPr>
          <w:p w14:paraId="6AE860E1">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网络机柜</w:t>
            </w:r>
          </w:p>
        </w:tc>
        <w:tc>
          <w:tcPr>
            <w:tcW w:w="3553" w:type="pct"/>
            <w:noWrap w:val="0"/>
            <w:vAlign w:val="center"/>
          </w:tcPr>
          <w:p w14:paraId="2EACD1A9">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高：20U，插孔数量不低于4个；材质：冷轧钢板；厚度：方孔条1.5mm，侧门0.8mm，其余1.2mm；配置：M6方螺母钉10套，内六角扳手只钥匙2把；尺寸（高x宽x深）不低于1100*580*600毫米；线缆长度不低于2米；顶部和底部配备出风口</w:t>
            </w:r>
          </w:p>
        </w:tc>
        <w:tc>
          <w:tcPr>
            <w:tcW w:w="355" w:type="pct"/>
            <w:noWrap w:val="0"/>
            <w:vAlign w:val="center"/>
          </w:tcPr>
          <w:p w14:paraId="73500EAF">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5553CF85">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台</w:t>
            </w:r>
          </w:p>
        </w:tc>
      </w:tr>
      <w:tr w14:paraId="57BC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4B7864A5">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14</w:t>
            </w:r>
          </w:p>
        </w:tc>
        <w:tc>
          <w:tcPr>
            <w:tcW w:w="439" w:type="pct"/>
            <w:noWrap w:val="0"/>
            <w:vAlign w:val="center"/>
          </w:tcPr>
          <w:p w14:paraId="58E1758C">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空调</w:t>
            </w:r>
          </w:p>
        </w:tc>
        <w:tc>
          <w:tcPr>
            <w:tcW w:w="3553" w:type="pct"/>
            <w:noWrap w:val="0"/>
            <w:vAlign w:val="center"/>
          </w:tcPr>
          <w:p w14:paraId="2B3F41BF">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3p立柜式，能效等级至少不低于2级 制热功率：≥2800W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制冷功率：≥1800W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扫风方式：上下/左右扫风</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制冷量：≥7000W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制热量：≥9500W</w:t>
            </w:r>
          </w:p>
        </w:tc>
        <w:tc>
          <w:tcPr>
            <w:tcW w:w="355" w:type="pct"/>
            <w:noWrap w:val="0"/>
            <w:vAlign w:val="center"/>
          </w:tcPr>
          <w:p w14:paraId="6E1C55A6">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2</w:t>
            </w:r>
          </w:p>
        </w:tc>
        <w:tc>
          <w:tcPr>
            <w:tcW w:w="358" w:type="pct"/>
            <w:noWrap w:val="0"/>
            <w:vAlign w:val="center"/>
          </w:tcPr>
          <w:p w14:paraId="58F68ABF">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台</w:t>
            </w:r>
          </w:p>
        </w:tc>
      </w:tr>
      <w:tr w14:paraId="47F2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2" w:type="pct"/>
            <w:noWrap w:val="0"/>
            <w:vAlign w:val="center"/>
          </w:tcPr>
          <w:p w14:paraId="0C0A7051">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w:t>
            </w:r>
          </w:p>
        </w:tc>
        <w:tc>
          <w:tcPr>
            <w:tcW w:w="439" w:type="pct"/>
            <w:noWrap w:val="0"/>
            <w:vAlign w:val="center"/>
          </w:tcPr>
          <w:p w14:paraId="3F355C3C">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装修</w:t>
            </w:r>
          </w:p>
        </w:tc>
        <w:tc>
          <w:tcPr>
            <w:tcW w:w="3553" w:type="pct"/>
            <w:noWrap w:val="0"/>
            <w:vAlign w:val="center"/>
          </w:tcPr>
          <w:p w14:paraId="2E600F0F">
            <w:pPr>
              <w:keepNext w:val="0"/>
              <w:keepLines w:val="0"/>
              <w:widowControl/>
              <w:suppressLineNumbers w:val="0"/>
              <w:jc w:val="left"/>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完成面积为105 平方米的教室装修，包括以下：</w:t>
            </w:r>
          </w:p>
          <w:p w14:paraId="1FBC4D37">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地面处理、自流平：对原有地面修补；通过专用材料做自流平；其无有机挥发物排放，绿色环保。具有附着力好、机械强度高，固化后漆膜收缩率低，能一次涂装成厚膜等。</w:t>
            </w:r>
          </w:p>
          <w:p w14:paraId="2F389942">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塑胶地板：耐磨厚度≥0.40mm；密度≥1380 Kg/m³；熔点≥212℃；耐磨转数≥1500转。进场施工时需提供产品检测报告，经校方确认后方可施工。</w:t>
            </w:r>
          </w:p>
          <w:p w14:paraId="455694B3">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窗帘盒：木工板基础，局部木饰面板，不锈钢阳角收口。</w:t>
            </w:r>
          </w:p>
          <w:p w14:paraId="2775FCDE">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窗帘：遮光布艺窗帘。</w:t>
            </w:r>
          </w:p>
          <w:p w14:paraId="5C5CAD11">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矿棉板吊顶：轻钢龙骨骨架，矿棉板安装 600mm×600mm尺寸平板灯</w:t>
            </w:r>
          </w:p>
          <w:p w14:paraId="197B64A9">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窗台板：木工板基础，人木饰面板或不锈钢饰面。</w:t>
            </w:r>
          </w:p>
          <w:p w14:paraId="762DEEF6">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乳胶漆墙面：批腻子两遍，打磨平整，涂刷 2 遍乳胶漆。</w:t>
            </w:r>
          </w:p>
          <w:p w14:paraId="02EA0606">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实木烤漆脚线：木工板基础，定制实木烤漆脚线。</w:t>
            </w:r>
          </w:p>
          <w:p w14:paraId="3898BBFE">
            <w:pPr>
              <w:keepNext w:val="0"/>
              <w:keepLines w:val="0"/>
              <w:widowControl/>
              <w:suppressLineNumbers w:val="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开关面板：86开关面板、地插面板，金属外壳。</w:t>
            </w:r>
          </w:p>
          <w:p w14:paraId="1050A61D">
            <w:pPr>
              <w:keepNext w:val="0"/>
              <w:keepLines w:val="0"/>
              <w:widowControl/>
              <w:suppressLineNumbers w:val="0"/>
              <w:jc w:val="left"/>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装修完成后要适配实训室的设备安装与调试。</w:t>
            </w:r>
          </w:p>
        </w:tc>
        <w:tc>
          <w:tcPr>
            <w:tcW w:w="355" w:type="pct"/>
            <w:noWrap w:val="0"/>
            <w:vAlign w:val="center"/>
          </w:tcPr>
          <w:p w14:paraId="32CACE57">
            <w:pPr>
              <w:keepNext w:val="0"/>
              <w:keepLines w:val="0"/>
              <w:widowControl/>
              <w:suppressLineNumbers w:val="0"/>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358" w:type="pct"/>
            <w:noWrap w:val="0"/>
            <w:vAlign w:val="center"/>
          </w:tcPr>
          <w:p w14:paraId="1C118612">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项</w:t>
            </w:r>
          </w:p>
        </w:tc>
      </w:tr>
    </w:tbl>
    <w:p w14:paraId="4A626D2C">
      <w:pPr>
        <w:pStyle w:val="3"/>
        <w:spacing w:line="500" w:lineRule="exact"/>
        <w:ind w:firstLine="0" w:firstLineChars="0"/>
        <w:jc w:val="left"/>
        <w:outlineLvl w:val="1"/>
        <w:rPr>
          <w:rFonts w:hint="eastAsia" w:ascii="仿宋" w:hAnsi="仿宋" w:eastAsia="仿宋" w:cs="Times New Roman"/>
          <w:b w:val="0"/>
          <w:bCs/>
          <w:color w:val="auto"/>
          <w:sz w:val="28"/>
          <w:szCs w:val="28"/>
        </w:rPr>
      </w:pPr>
    </w:p>
    <w:p w14:paraId="0B3C3171">
      <w:pPr>
        <w:pStyle w:val="3"/>
        <w:spacing w:line="500" w:lineRule="exact"/>
        <w:ind w:firstLine="0" w:firstLineChars="0"/>
        <w:jc w:val="left"/>
        <w:outlineLvl w:val="1"/>
        <w:rPr>
          <w:rFonts w:hint="eastAsia" w:ascii="仿宋" w:hAnsi="仿宋" w:eastAsia="仿宋" w:cs="Times New Roman"/>
          <w:b w:val="0"/>
          <w:bCs/>
          <w:color w:val="auto"/>
          <w:sz w:val="28"/>
          <w:szCs w:val="28"/>
        </w:rPr>
      </w:pPr>
      <w:r>
        <w:rPr>
          <w:rFonts w:hint="eastAsia" w:ascii="仿宋" w:hAnsi="仿宋" w:eastAsia="仿宋" w:cs="Times New Roman"/>
          <w:b w:val="0"/>
          <w:bCs/>
          <w:color w:val="auto"/>
          <w:sz w:val="28"/>
          <w:szCs w:val="28"/>
        </w:rPr>
        <w:t>其他要求:</w:t>
      </w:r>
    </w:p>
    <w:p w14:paraId="320AEA42">
      <w:pPr>
        <w:pStyle w:val="3"/>
        <w:numPr>
          <w:ilvl w:val="0"/>
          <w:numId w:val="3"/>
        </w:numPr>
        <w:spacing w:line="500" w:lineRule="exact"/>
        <w:ind w:firstLine="560" w:firstLineChars="200"/>
        <w:jc w:val="left"/>
        <w:outlineLvl w:val="1"/>
        <w:rPr>
          <w:rFonts w:hint="eastAsia" w:ascii="仿宋" w:hAnsi="仿宋" w:eastAsia="仿宋" w:cs="Times New Roman"/>
          <w:b w:val="0"/>
          <w:bCs/>
          <w:color w:val="auto"/>
          <w:sz w:val="28"/>
          <w:szCs w:val="28"/>
        </w:rPr>
      </w:pPr>
      <w:r>
        <w:rPr>
          <w:rFonts w:hint="eastAsia" w:ascii="仿宋" w:hAnsi="仿宋" w:eastAsia="仿宋" w:cs="Times New Roman"/>
          <w:b w:val="0"/>
          <w:bCs/>
          <w:color w:val="auto"/>
          <w:sz w:val="28"/>
          <w:szCs w:val="28"/>
        </w:rPr>
        <w:t>本次采购的核心产品为大屏VR立体集控系统和VR实训工作站。</w:t>
      </w:r>
    </w:p>
    <w:p w14:paraId="19A70C50">
      <w:pPr>
        <w:pStyle w:val="3"/>
        <w:numPr>
          <w:ilvl w:val="0"/>
          <w:numId w:val="3"/>
        </w:numPr>
        <w:spacing w:line="500" w:lineRule="exact"/>
        <w:ind w:firstLine="560" w:firstLineChars="200"/>
        <w:jc w:val="left"/>
        <w:outlineLvl w:val="1"/>
        <w:rPr>
          <w:rFonts w:hint="eastAsia" w:ascii="仿宋" w:hAnsi="仿宋" w:eastAsia="仿宋" w:cs="Times New Roman"/>
          <w:b w:val="0"/>
          <w:bCs/>
          <w:color w:val="auto"/>
          <w:sz w:val="28"/>
          <w:szCs w:val="28"/>
        </w:rPr>
      </w:pPr>
      <w:r>
        <w:rPr>
          <w:rFonts w:hint="eastAsia" w:ascii="仿宋" w:hAnsi="仿宋" w:eastAsia="仿宋" w:cs="Times New Roman"/>
          <w:b w:val="0"/>
          <w:bCs/>
          <w:color w:val="auto"/>
          <w:sz w:val="28"/>
          <w:szCs w:val="28"/>
        </w:rPr>
        <w:t>采购清单中所涉及所有货物的品牌规格型号名称，须在分项报价清单描述中注明，未注明货物品牌规格型号的视为响应无效。</w:t>
      </w:r>
    </w:p>
    <w:p w14:paraId="0AAEBAF3">
      <w:pPr>
        <w:pStyle w:val="3"/>
        <w:numPr>
          <w:ilvl w:val="0"/>
          <w:numId w:val="3"/>
        </w:numPr>
        <w:spacing w:line="500" w:lineRule="exact"/>
        <w:ind w:firstLine="560" w:firstLineChars="200"/>
        <w:jc w:val="left"/>
        <w:outlineLvl w:val="1"/>
        <w:rPr>
          <w:rFonts w:hint="eastAsia" w:ascii="仿宋" w:hAnsi="仿宋" w:eastAsia="仿宋" w:cs="Times New Roman"/>
          <w:b w:val="0"/>
          <w:bCs/>
          <w:color w:val="auto"/>
          <w:sz w:val="28"/>
          <w:szCs w:val="28"/>
        </w:rPr>
      </w:pPr>
      <w:r>
        <w:rPr>
          <w:rFonts w:hint="eastAsia" w:ascii="仿宋" w:hAnsi="仿宋" w:eastAsia="仿宋" w:cs="Times New Roman"/>
          <w:b w:val="0"/>
          <w:bCs/>
          <w:color w:val="auto"/>
          <w:sz w:val="28"/>
          <w:szCs w:val="28"/>
        </w:rPr>
        <w:t>供应商需依据售后服务内容，提供《售后服务承诺书》。</w:t>
      </w:r>
    </w:p>
    <w:p w14:paraId="221589CF">
      <w:pPr>
        <w:rPr>
          <w:rFonts w:hint="eastAsia"/>
        </w:rPr>
      </w:pPr>
    </w:p>
    <w:p w14:paraId="19CA35A6">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2E5BD3"/>
    <w:multiLevelType w:val="singleLevel"/>
    <w:tmpl w:val="EC2E5BD3"/>
    <w:lvl w:ilvl="0" w:tentative="0">
      <w:start w:val="1"/>
      <w:numFmt w:val="decimal"/>
      <w:suff w:val="nothing"/>
      <w:lvlText w:val="（%1）"/>
      <w:lvlJc w:val="left"/>
    </w:lvl>
  </w:abstractNum>
  <w:abstractNum w:abstractNumId="1">
    <w:nsid w:val="0CCC91F7"/>
    <w:multiLevelType w:val="singleLevel"/>
    <w:tmpl w:val="0CCC91F7"/>
    <w:lvl w:ilvl="0" w:tentative="0">
      <w:start w:val="10"/>
      <w:numFmt w:val="decimal"/>
      <w:suff w:val="nothing"/>
      <w:lvlText w:val="%1、"/>
      <w:lvlJc w:val="left"/>
    </w:lvl>
  </w:abstractNum>
  <w:abstractNum w:abstractNumId="2">
    <w:nsid w:val="3FBCC914"/>
    <w:multiLevelType w:val="singleLevel"/>
    <w:tmpl w:val="3FBCC914"/>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9E497B"/>
    <w:rsid w:val="109E4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3">
    <w:name w:val="Body Text First Indent"/>
    <w:basedOn w:val="2"/>
    <w:next w:val="1"/>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6">
    <w:name w:val="正文（缩进 2 字符）"/>
    <w:basedOn w:val="1"/>
    <w:qFormat/>
    <w:uiPriority w:val="0"/>
    <w:pPr>
      <w:ind w:firstLine="200" w:firstLineChars="200"/>
    </w:pPr>
  </w:style>
  <w:style w:type="character" w:customStyle="1" w:styleId="7">
    <w:name w:val="font41"/>
    <w:basedOn w:val="5"/>
    <w:qFormat/>
    <w:uiPriority w:val="0"/>
    <w:rPr>
      <w:rFonts w:hint="eastAsia" w:ascii="黑体" w:hAnsi="宋体" w:eastAsia="黑体" w:cs="黑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2026-10-12T08:45:00Z</dcterms:created>
  <dc:creator>磐</dc:creator>
  <cp:lastModifiedBy>磐</cp:lastModifiedBy>
  <dcterms:modified xsi:type="dcterms:W3CDTF">2026-10-12T08:45:33Z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59D848BF871B491396395F16AAAD9803_11</vt:lpwstr>
  </property>
  <property fmtid="{D5CDD505-2E9C-101B-9397-08002B2CF9AE}" pid="4" name="KSOTemplateDocerSaveRecord">
    <vt:lpwstr>eyJoZGlkIjoiZWVjZjE1MTUwZjBlZmY3NDFlNzg5YWNhN2M5Y2NkMzMiLCJ1c2VySWQiOiI0NTY5OTM1ODUifQ==</vt:lpwstr>
  </property>
</Properties>
</file>