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版本号：LZBE2026-284.20260512001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西安市产前诊断中心智慧工作平台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LZBE2026-284.</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西安市产前诊断中心智慧工作平台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西安市产前诊断中心智慧工作平台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西安市产前诊断中心智慧工作平台，1项。 一标段：产前诊断中心智慧工作平台及配套设备。包含产前诊断智慧云平台（SAAS服务）、产前诊断智慧数据管理平台、应用软硬一体机、存储交换机、网络交换机。 二标段：前置机及存储设备。包含前置机、存储软硬一体机。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2025年度经审计的财务审计报告（事业法人可提供部门决算报告）；或提供响应文件递交截止时间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日响应文件递交截止时间后的相关网站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2025年度经审计的财务审计报告（事业法人可提供部门决算报告）；或提供响应文件递交截止时间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日响应文件递交截止时间后的相关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西安市新城区解放路21号、西安市长安区航天东路155号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金娜、陈钊、刘强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采购包1：1,207,000.00元</w:t>
            </w:r>
          </w:p>
          <w:p>
            <w:pPr>
              <w:pStyle w:val="null3"/>
            </w:pPr>
            <w:r>
              <w:rPr>
                <w:rFonts w:ascii="仿宋_GB2312" w:hAnsi="仿宋_GB2312" w:cs="仿宋_GB2312" w:eastAsia="仿宋_GB2312"/>
              </w:rPr>
              <w:t>采购包2：430,000.00元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代理服务费收费标准：1、成交供应商向采购代理机构交纳招标代理服务费，供应商可将此费用考虑在磋商报价中，采购人不再单独支付。 2、招标代理服务费以成交金额为取费基数，收费标准参照计价格[2002]1980号、发改价格[2011]534号中货物类标准下浮20%收取。成交供应商在取得成交通知书前，向采购代理机构交纳招标代理服务费。 3、成交供应商按照成交公告公布的招标代理服务费金额，通过转账或现金形式缴纳至如下指定账户： 开户名称：龙寰项目管理咨询有限公司 开户行：平安银行西安高新路支行 账 号：30201278018376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所有项目按照甲方指定地点，实施、调试完成，平稳运行一个月后组织验收，准备验收文件，并书面通知甲方。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所有项目按照甲方指定地点，实施、调试完成，平稳运行一个月后组织验收，准备验收文件，并书面通知甲方。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联系人：金娜</w:t>
      </w:r>
    </w:p>
    <w:p>
      <w:pPr>
        <w:pStyle w:val="null3"/>
      </w:pPr>
      <w:r>
        <w:rPr>
          <w:rFonts w:ascii="仿宋_GB2312" w:hAnsi="仿宋_GB2312" w:cs="仿宋_GB2312" w:eastAsia="仿宋_GB2312"/>
        </w:rPr>
        <w:t>联系电话：029-88228899-651</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建设西安市产前诊断中心智慧工作平台。通过系统建设，缩短WGS、WES、携筛、新筛样本分析解读周期，辅助医生准确判断致病变异，提高遗传病诊断准确率；提升样本信息录入效率和报告生成效率；提高医联体医院与实验室之间的业务协同效率，增强中心医院基因检测服务的响应速度和服务质量，提升用户满意度。 项目将建立健全基因检测业务管理机制和信息资源管理机制，明确科室人员业务处理和数据管理中的职责权限；制定数据采集、存储、共享、安全管理等方面的制度和规范，确保业务有序开展和信息资源的有效管理与利用，推动医院科研水平提升。 项目建成后，将提医院在产前诊断领域的服务能力和社会影响力。通过实现产前诊断服务的数字化转型和智能化升级，有效降低全市出生缺陷率，提高妇幼健康水平，为社会和谐发展做出贡献。同时，通过建立统一的培训认证体系，提升全市产前诊断从业人员的专业素养和整体服务质量，促进医疗资源均衡分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1,207,000.00</w:t>
      </w:r>
    </w:p>
    <w:p>
      <w:pPr>
        <w:pStyle w:val="null3"/>
      </w:pPr>
      <w:r>
        <w:rPr>
          <w:rFonts w:ascii="仿宋_GB2312" w:hAnsi="仿宋_GB2312" w:cs="仿宋_GB2312" w:eastAsia="仿宋_GB2312"/>
        </w:rPr>
        <w:t>采购包最高限价（元）: 1,207,000.00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产前诊断中心智慧工作平台及配套设备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前置机及存储设备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标的名称：产前诊断中心智慧工作平台及配套设备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一：产前诊断智慧云平台（SaaS服务）</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（一）AI智能超声质控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、AI超声质控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提供一套成熟、即用型的事后AI产前超声质控工具，对医生上传的22个法定标准切面图像进行全自动、高精度质控评价，无需人工参与。该工具为事后AI质控，基于检查完成后上传的图像进行全自动质量评估，非实时引导式质控。系统精准识别并标注所有要求的解剖结构，对每个结构及切面整体质量进行精确评分，并对不合格图像清晰列出所有不合格原因，提升产前筛查与诊断同质化水平。 AI产前超声质控工具对图片进行HTTPS加密传输。图片上的病人信息进行脱敏处理。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智能评判产前超声检查切面的类型及标准程度。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智能评判为非标准切面的，自动给出非标准的原因。</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对切面进行智能打分，评分采用百分制。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具有可视化标注切面中重要的解剖结构。</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质控结果的统计分析，可视化图表显示以及质控报告自动生成。</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针对AI质控评分较低的医生，系统须能自动识别其薄弱切面，并提供针对性的辅助学习功能，包括但不限于：对非标准切面进行扣分项分析、展示对应标准切面参考图例，实现基于数据反馈的精准能力提升，直接服务于质控持续改进。</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、配套专业信息资料库</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当判定超声质控不合格时，医生能通过一键查阅，调阅当前病例相关疾病的标准化咨询要点或相似病例。</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 500</w:t>
            </w:r>
            <w:r>
              <w:rPr>
                <w:rFonts w:ascii="仿宋_GB2312" w:hAnsi="仿宋_GB2312" w:cs="仿宋_GB2312" w:eastAsia="仿宋_GB2312"/>
                <w:sz w:val="21"/>
              </w:rPr>
              <w:t>篇的讲座课件，包括超声/影像、产前筛查与诊断、遗传病与出生缺陷、环境因素及药物、妇产科、儿科、孕期营养、新生儿筛查技术规范等相关领域。</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 600</w:t>
            </w:r>
            <w:r>
              <w:rPr>
                <w:rFonts w:ascii="仿宋_GB2312" w:hAnsi="仿宋_GB2312" w:cs="仿宋_GB2312" w:eastAsia="仿宋_GB2312"/>
                <w:sz w:val="21"/>
              </w:rPr>
              <w:t>篇的临床咨询要点，包括超声/影像、妇产科、遗传病与出生缺陷等领域。</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 200</w:t>
            </w:r>
            <w:r>
              <w:rPr>
                <w:rFonts w:ascii="仿宋_GB2312" w:hAnsi="仿宋_GB2312" w:cs="仿宋_GB2312" w:eastAsia="仿宋_GB2312"/>
                <w:sz w:val="21"/>
              </w:rPr>
              <w:t>篇的妊娠疾病内容，包括产前筛查与诊断、早产、妊娠合并糖尿病、妊娠期肝病、妊娠合并甲状腺功能异常等疾病知识。</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rPr>
              <w:t>≥200</w:t>
            </w:r>
            <w:r>
              <w:rPr>
                <w:rFonts w:ascii="仿宋_GB2312" w:hAnsi="仿宋_GB2312" w:cs="仿宋_GB2312" w:eastAsia="仿宋_GB2312"/>
                <w:sz w:val="21"/>
              </w:rPr>
              <w:t>篇病例分享，涵盖超声/影像、产前筛查与诊断、出生缺陷、妇产科、儿科等领域疾病案例。</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rPr>
              <w:t>具有信息资料数据库查询功能，AI问答服务。</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须建立与之联动的资料信息库持续更新机制，更新频率不低于每月一篇新增内容。</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1"/>
              </w:rPr>
              <w:t>（二）医生培训与考核</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、产前筛查与诊断专项能力培训</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1"/>
              </w:rPr>
              <w:t>学习培训计划的查询、创建、修改和删除等管理功能。</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1"/>
              </w:rPr>
              <w:t>对培训计划进行权限设置功能，对权限范围内的学员开放。</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rPr>
              <w:t>可配置培训计划关联培训课程，并记录学时和完成状态。</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1"/>
              </w:rPr>
              <w:t>学员通过移动端进行注册，进行在线报名，完成在线学习的相关流程。</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rPr>
              <w:t>系统须具备学习课程创建、修改维护、查询及课程审核功能。</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rPr>
              <w:t>管理学习课程功能，包括快速定位课程、收藏课程和学时进度。</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rPr>
              <w:t>具备多种方式组合的课程查询功能。</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1"/>
              </w:rPr>
              <w:t>具备视频、图文等主流课程格式的播放与展示，并具备课程相关信息的显示查看。</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、在线考试与智能防作弊</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1"/>
              </w:rPr>
              <w:t>具备多种类型题型的在线考试（至少包括选择题、填空题等）。</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1"/>
              </w:rPr>
              <w:t>具备超声动态图的在线考试。</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1"/>
              </w:rPr>
              <w:t>具备考试实时人脸监控技术，考试人脸图像动态抓拍技术，考试过程实时监控，查看考生状态，如监控到异常发出警告或提示信息。</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1"/>
              </w:rPr>
              <w:t>具备同一考试方案可选择随机出题或固定出题。固定出题可随机题目顺序。</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1"/>
              </w:rPr>
              <w:t>计算机在线出卷、答卷和阅卷。</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1"/>
              </w:rPr>
              <w:t>考试过程中显示倒计时提醒，控制考试时间。</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1"/>
              </w:rPr>
              <w:t>考生考试时间的灵活安排，无需所有考生同时开考，可以分批进行。</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1"/>
              </w:rPr>
              <w:t>可控制考试页面的移出，禁止考试过程中查找答案、即时通讯等舞弊手段。</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sz w:val="21"/>
              </w:rPr>
              <w:t>防止考试中通过截屏、复制等手段泄露试题，自动记录截屏和切出系统等违规操作。</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21"/>
              </w:rPr>
              <w:t>提供查看错题解析，并根据需求个性化设置试题解析的查看功能。</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sz w:val="21"/>
              </w:rPr>
              <w:t>题库总题量≥6000道，并包含超声动态图判读等特色题型。</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sz w:val="21"/>
              </w:rPr>
              <w:t>能满足单场≥500人同时在线考试。</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sz w:val="21"/>
              </w:rPr>
              <w:t>试卷套数≥120套，并建立试题持续更新机制，每年更新比例≥总题库的5%。</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21"/>
              </w:rPr>
              <w:t>可不限次数地创建与组织考试。</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sz w:val="21"/>
              </w:rPr>
              <w:t>自动评分功能，对客观题（如选择题、填空题）实现自动精确评分；对超声动态图判读等主观题，满足基于标准答案和评分规则的自动化评分或辅助评分，大幅提升阅卷效率和一致性。</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、临床实践管理</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sz w:val="21"/>
              </w:rPr>
              <w:t>系统须具备统一的临床实践计划发布与管理功能，对实践基地、时间安排、培训周期及专业方向等核心要素进行集中配置与发布。</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sz w:val="21"/>
              </w:rPr>
              <w:t>具备地理位置信息的打卡签到机制；系统具备学员在线提交电子实践日志；具备带教老师提供在线评阅与打分功能。</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、远程认证与电子证书</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sz w:val="21"/>
              </w:rPr>
              <w:t>学员通过考核后，系统须自动生成标准化的电子证书。</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sz w:val="21"/>
              </w:rPr>
              <w:t>自定义证书样式灵活配置显示内容。</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sz w:val="21"/>
              </w:rPr>
              <w:t>领取证书方式提供可配置项勾选，是否需要远程认证并领取证书。</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sz w:val="21"/>
              </w:rPr>
              <w:t>学员可在线领取证书（保存至手机相册或发送至指定邮箱）。</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sz w:val="21"/>
              </w:rPr>
              <w:t>具备证书补发申请功能，以防电子证书丢失。</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sz w:val="21"/>
              </w:rPr>
              <w:t>自动生成证书领取名单，便于查询通过认证考试的人员。</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sz w:val="21"/>
              </w:rPr>
              <w:t>系统须与医院现有CA（数字认证）系统对接，为生成的电子证书自动加盖具备法律效力的医院电子公章。</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、直播课堂</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sz w:val="21"/>
              </w:rPr>
              <w:t>直播服务部署于供应商提供的第三方云平台，供应商应确保该平台符合国家网络安全及医疗数据合规要求，并对直播过程中的数据安全与隐私保护承担全部责任。</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sz w:val="21"/>
              </w:rPr>
              <w:t>管理员可以在后台创建直播，包括填写直播标题、选择讲师、设置直播开始和结束时间、编写直播介绍以及上传封面等。</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sz w:val="21"/>
              </w:rPr>
              <w:t>学员可以通过移动端或电脑端进入直播间观看在线直播。</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sz w:val="21"/>
              </w:rPr>
              <w:t>管理员可以在直播间发布公告信息。</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sz w:val="21"/>
              </w:rPr>
              <w:t>管理员可对学员进行管理，包括禁言和解除禁言等操作。</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sz w:val="21"/>
              </w:rPr>
              <w:t>直播模块具有在线报名、已报名、直播结束三种状态。</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sz w:val="21"/>
              </w:rPr>
              <w:t>直播模块具有显示每一场直播的开播时间。</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sz w:val="21"/>
              </w:rPr>
              <w:t>直播课程详情页可查看直播课程介绍。</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sz w:val="21"/>
              </w:rPr>
              <w:t>讲师、管理员和学员可以在直播互动区进行文字互动交流。</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sz w:val="21"/>
              </w:rPr>
              <w:t>讲师可以选择多种方式进行直播，包括使用专业直播软件进行推流和使用自主研发的直播推流系统进行推流。</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sz w:val="21"/>
              </w:rPr>
              <w:t>具备统计学员直播观看时长信息。</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sz w:val="21"/>
              </w:rPr>
              <w:t>具备自动显示每次直播课程的报名人次、参加人次。</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sz w:val="21"/>
              </w:rPr>
              <w:t>具备直播倍速调整、横屏等功能。</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sz w:val="21"/>
              </w:rPr>
              <w:t>直播过程中，讲师可实时分享典型或疑难病例的超声动态图像、MRI影像等，学员可在互动区提出诊断困惑，讲师现场答疑解惑。</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、直播推流服务与质量保障要求</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sz w:val="21"/>
              </w:rPr>
              <w:t>（1）高集成推流模式（内置推流）</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sz w:val="21"/>
              </w:rPr>
              <w:t>系统应提供集成、开箱即用的实时音视频推流功能，用户可在系统内便捷地完成直播发起与画面合成。</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sz w:val="21"/>
              </w:rPr>
              <w:t>针对产科超声等高动态医学影像，输出分辨率≥1080P的自适应画质，确保医学诊断细节的清晰呈现。</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sz w:val="21"/>
              </w:rPr>
              <w:t>推流端应支持在病例讨论等相关界面内，直接调用并整合本地素材，实现从画面采集到流媒体发布的一体化操作流程。</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sz w:val="21"/>
              </w:rPr>
              <w:t>（2）专业协议扩展模式（外部推流）</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sz w:val="21"/>
              </w:rPr>
              <w:t>系统须提供标准的流媒体协议接口，如实时消息传输协议，支持对接开放式广播软件等专业推流软件或硬件编码设备。</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sz w:val="21"/>
              </w:rPr>
              <w:t>整套推流服务（含内置与扩展模式）须兼容主流操作系统</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sz w:val="21"/>
              </w:rPr>
              <w:t>具备有效的网络自适应与重连机制，在网络短暂中断恢复后，自动重连且画面恢复时间≤5秒。</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sz w:val="21"/>
              </w:rPr>
              <w:t>7</w:t>
            </w:r>
            <w:r>
              <w:rPr>
                <w:rFonts w:ascii="仿宋_GB2312" w:hAnsi="仿宋_GB2312" w:cs="仿宋_GB2312" w:eastAsia="仿宋_GB2312"/>
                <w:sz w:val="21"/>
              </w:rPr>
              <w:t>、产前筛查与诊断专项课程</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sz w:val="21"/>
              </w:rPr>
              <w:t>平台须规划建设产前筛查与诊断能力提升系列直播课程，课程内容须严格限定于本专业领域，须包含但不限于《22个标准切面的规范化扫查与质控要点》、《胎儿心脏畸形的超声筛查策略》、《NT增厚的临床咨询与遗传学解读》、《染色体微缺失/微重复的产前筛查与诊断路径》、《高龄孕妇产前筛查方案优化》等核心课程，所有课程须由省级产前筛查与诊断中心专家、临床遗传咨询师或资深超声医师主讲。</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sz w:val="21"/>
              </w:rPr>
              <w:t>建立系统的课程更新机制，包括每年≥5%的存量课程进行内容复审与更新、依据最新临床指南和行业共识动态增补≥1门新课程，且所有更新与增补课程的主讲资质及方案符合院方要求并提交医院方备案。</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sz w:val="21"/>
              </w:rPr>
              <w:t>8</w:t>
            </w:r>
            <w:r>
              <w:rPr>
                <w:rFonts w:ascii="仿宋_GB2312" w:hAnsi="仿宋_GB2312" w:cs="仿宋_GB2312" w:eastAsia="仿宋_GB2312"/>
                <w:sz w:val="21"/>
              </w:rPr>
              <w:t>、课程录制与回放</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sz w:val="21"/>
              </w:rPr>
              <w:t>直播课程可以进行实时录制，录制完成后可以在线下载并维护成课件等功能，方便学员回顾学习内容。</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sz w:val="21"/>
              </w:rPr>
              <w:t>可按课件标题、上传时间、课件分类等条件对课件进行检索。</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sz w:val="21"/>
              </w:rPr>
              <w:t>直播回放功能，学员可以在回放列表中查看之前直播的录制视频。</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sz w:val="21"/>
              </w:rPr>
              <w:t>回放过程中可倍速播放、暂停。</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pPr>
            <w:r>
              <w:rPr>
                <w:rFonts w:ascii="仿宋_GB2312" w:hAnsi="仿宋_GB2312" w:cs="仿宋_GB2312" w:eastAsia="仿宋_GB2312"/>
                <w:sz w:val="21"/>
              </w:rPr>
              <w:t>9</w:t>
            </w:r>
            <w:r>
              <w:rPr>
                <w:rFonts w:ascii="仿宋_GB2312" w:hAnsi="仿宋_GB2312" w:cs="仿宋_GB2312" w:eastAsia="仿宋_GB2312"/>
                <w:sz w:val="21"/>
              </w:rPr>
              <w:t>、考试分析</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pPr>
            <w:r>
              <w:rPr>
                <w:rFonts w:ascii="仿宋_GB2312" w:hAnsi="仿宋_GB2312" w:cs="仿宋_GB2312" w:eastAsia="仿宋_GB2312"/>
                <w:sz w:val="21"/>
              </w:rPr>
              <w:t>培训整体数据统计分析，用表格形式体现：应参加人数、实际参加人数、参加率、课程完成人数、课程完成率等。</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pPr>
            <w:r>
              <w:rPr>
                <w:rFonts w:ascii="仿宋_GB2312" w:hAnsi="仿宋_GB2312" w:cs="仿宋_GB2312" w:eastAsia="仿宋_GB2312"/>
                <w:sz w:val="21"/>
              </w:rPr>
              <w:t>培训每场考试的考试数据分析，用表格形式体现：试卷总分、试卷平均分、用户最高分、及格率、缺考人数等。</w:t>
            </w:r>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p>
            <w:pPr>
              <w:pStyle w:val="null3"/>
            </w:pPr>
            <w:r>
              <w:rPr>
                <w:rFonts w:ascii="仿宋_GB2312" w:hAnsi="仿宋_GB2312" w:cs="仿宋_GB2312" w:eastAsia="仿宋_GB2312"/>
                <w:sz w:val="21"/>
              </w:rPr>
              <w:t>培训每场考试的分数分段统计分析，用可视化图表体现分段和人数。</w:t>
            </w:r>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p>
            <w:pPr>
              <w:pStyle w:val="null3"/>
            </w:pPr>
            <w:r>
              <w:rPr>
                <w:rFonts w:ascii="仿宋_GB2312" w:hAnsi="仿宋_GB2312" w:cs="仿宋_GB2312" w:eastAsia="仿宋_GB2312"/>
                <w:sz w:val="21"/>
              </w:rPr>
              <w:t>培训每场考试的试题正确率分析，用可视化图表体现题目和正确率。</w:t>
            </w:r>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p>
            <w:pPr>
              <w:pStyle w:val="null3"/>
            </w:pPr>
            <w:r>
              <w:rPr>
                <w:rFonts w:ascii="仿宋_GB2312" w:hAnsi="仿宋_GB2312" w:cs="仿宋_GB2312" w:eastAsia="仿宋_GB2312"/>
                <w:sz w:val="21"/>
              </w:rPr>
              <w:t>培训每场考试的参加科室正确率和错误率分析，用可视化图表体现每个科室的正确率和错误率。</w:t>
            </w:r>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p>
            <w:pPr>
              <w:pStyle w:val="null3"/>
            </w:pPr>
            <w:r>
              <w:rPr>
                <w:rFonts w:ascii="仿宋_GB2312" w:hAnsi="仿宋_GB2312" w:cs="仿宋_GB2312" w:eastAsia="仿宋_GB2312"/>
                <w:sz w:val="21"/>
              </w:rPr>
              <w:t>具备查看参与考试的考生成绩分数，并可导出。</w:t>
            </w:r>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p>
            <w:pPr>
              <w:pStyle w:val="null3"/>
            </w:pPr>
            <w:r>
              <w:rPr>
                <w:rFonts w:ascii="仿宋_GB2312" w:hAnsi="仿宋_GB2312" w:cs="仿宋_GB2312" w:eastAsia="仿宋_GB2312"/>
                <w:sz w:val="21"/>
              </w:rPr>
              <w:t>具备导出考试的分数分段、每道试题的正确和错误分析数据、参加考试科室的正确率和错误率数据等。</w:t>
            </w:r>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p>
            <w:pPr>
              <w:pStyle w:val="null3"/>
            </w:pPr>
            <w:r>
              <w:rPr>
                <w:rFonts w:ascii="仿宋_GB2312" w:hAnsi="仿宋_GB2312" w:cs="仿宋_GB2312" w:eastAsia="仿宋_GB2312"/>
                <w:sz w:val="21"/>
              </w:rPr>
              <w:t>当特定课程测验正确率普遍偏低时，能自动识别该知识点为共性薄弱环节，并提示教学管理部门安排专题强化培训或启动技术规范修订。</w:t>
            </w:r>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p>
            <w:pPr>
              <w:pStyle w:val="null3"/>
            </w:pPr>
            <w:r>
              <w:rPr>
                <w:rFonts w:ascii="仿宋_GB2312" w:hAnsi="仿宋_GB2312" w:cs="仿宋_GB2312" w:eastAsia="仿宋_GB2312"/>
                <w:sz w:val="21"/>
              </w:rPr>
              <w:t>10</w:t>
            </w:r>
            <w:r>
              <w:rPr>
                <w:rFonts w:ascii="仿宋_GB2312" w:hAnsi="仿宋_GB2312" w:cs="仿宋_GB2312" w:eastAsia="仿宋_GB2312"/>
                <w:sz w:val="21"/>
              </w:rPr>
              <w:t>、多学科病例讨论</w:t>
            </w:r>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p>
            <w:pPr>
              <w:pStyle w:val="null3"/>
            </w:pPr>
            <w:r>
              <w:rPr>
                <w:rFonts w:ascii="仿宋_GB2312" w:hAnsi="仿宋_GB2312" w:cs="仿宋_GB2312" w:eastAsia="仿宋_GB2312"/>
                <w:sz w:val="21"/>
              </w:rPr>
              <w:t>创建病例讨论，对病例讨论信息进行编辑和删除。</w:t>
            </w:r>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p>
            <w:pPr>
              <w:pStyle w:val="null3"/>
            </w:pPr>
            <w:r>
              <w:rPr>
                <w:rFonts w:ascii="仿宋_GB2312" w:hAnsi="仿宋_GB2312" w:cs="仿宋_GB2312" w:eastAsia="仿宋_GB2312"/>
                <w:sz w:val="21"/>
              </w:rPr>
              <w:t>设置病例讨论管理员、讲师，管理员具备管理会议权限，讲师具备开启摄像头和麦克风、分享屏幕等权限。</w:t>
            </w:r>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p>
            <w:pPr>
              <w:pStyle w:val="null3"/>
            </w:pPr>
            <w:r>
              <w:rPr>
                <w:rFonts w:ascii="仿宋_GB2312" w:hAnsi="仿宋_GB2312" w:cs="仿宋_GB2312" w:eastAsia="仿宋_GB2312"/>
                <w:sz w:val="21"/>
              </w:rPr>
              <w:t>具备设置病例讨论标题信息是否对外发布。</w:t>
            </w:r>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p>
            <w:pPr>
              <w:pStyle w:val="null3"/>
            </w:pPr>
            <w:r>
              <w:rPr>
                <w:rFonts w:ascii="仿宋_GB2312" w:hAnsi="仿宋_GB2312" w:cs="仿宋_GB2312" w:eastAsia="仿宋_GB2312"/>
                <w:sz w:val="21"/>
              </w:rPr>
              <w:t>具备观众举手互动，由管理员和发起人审核通过后成为讲师操作。</w:t>
            </w:r>
          </w:p>
        </w:tc>
      </w:tr>
      <w:tr>
        <w:tc>
          <w:tcPr>
            <w:tcW w:type="dxa" w:w="2769"/>
          </w:tcPr>
          <w:p>
            <w:pPr>
              <w:pStyle w:val="null3"/>
            </w:pPr>
            <w:r>
              <w:rPr>
                <w:rFonts w:ascii="仿宋_GB2312" w:hAnsi="仿宋_GB2312" w:cs="仿宋_GB2312" w:eastAsia="仿宋_GB2312"/>
              </w:rPr>
              <w:t>102</w:t>
            </w:r>
          </w:p>
        </w:tc>
        <w:tc>
          <w:tcPr>
            <w:tcW w:type="dxa" w:w="2769"/>
          </w:tcPr>
          <w:p/>
        </w:tc>
        <w:tc>
          <w:tcPr>
            <w:tcW w:type="dxa" w:w="2769"/>
          </w:tcPr>
          <w:p>
            <w:pPr>
              <w:pStyle w:val="null3"/>
            </w:pPr>
            <w:r>
              <w:rPr>
                <w:rFonts w:ascii="仿宋_GB2312" w:hAnsi="仿宋_GB2312" w:cs="仿宋_GB2312" w:eastAsia="仿宋_GB2312"/>
                <w:sz w:val="21"/>
              </w:rPr>
              <w:t>具备管理员和发起人邀请观众互动，观众同意后上麦成为讲师，进行互动发言。</w:t>
            </w:r>
          </w:p>
        </w:tc>
      </w:tr>
      <w:tr>
        <w:tc>
          <w:tcPr>
            <w:tcW w:type="dxa" w:w="2769"/>
          </w:tcPr>
          <w:p>
            <w:pPr>
              <w:pStyle w:val="null3"/>
            </w:pPr>
            <w:r>
              <w:rPr>
                <w:rFonts w:ascii="仿宋_GB2312" w:hAnsi="仿宋_GB2312" w:cs="仿宋_GB2312" w:eastAsia="仿宋_GB2312"/>
              </w:rPr>
              <w:t>103</w:t>
            </w:r>
          </w:p>
        </w:tc>
        <w:tc>
          <w:tcPr>
            <w:tcW w:type="dxa" w:w="2769"/>
          </w:tcPr>
          <w:p/>
        </w:tc>
        <w:tc>
          <w:tcPr>
            <w:tcW w:type="dxa" w:w="2769"/>
          </w:tcPr>
          <w:p>
            <w:pPr>
              <w:pStyle w:val="null3"/>
            </w:pPr>
            <w:r>
              <w:rPr>
                <w:rFonts w:ascii="仿宋_GB2312" w:hAnsi="仿宋_GB2312" w:cs="仿宋_GB2312" w:eastAsia="仿宋_GB2312"/>
                <w:sz w:val="21"/>
              </w:rPr>
              <w:t>实现讲师音视频和文字等形式的实时交流。</w:t>
            </w:r>
          </w:p>
        </w:tc>
      </w:tr>
      <w:tr>
        <w:tc>
          <w:tcPr>
            <w:tcW w:type="dxa" w:w="2769"/>
          </w:tcPr>
          <w:p>
            <w:pPr>
              <w:pStyle w:val="null3"/>
            </w:pPr>
            <w:r>
              <w:rPr>
                <w:rFonts w:ascii="仿宋_GB2312" w:hAnsi="仿宋_GB2312" w:cs="仿宋_GB2312" w:eastAsia="仿宋_GB2312"/>
              </w:rPr>
              <w:t>104</w:t>
            </w:r>
          </w:p>
        </w:tc>
        <w:tc>
          <w:tcPr>
            <w:tcW w:type="dxa" w:w="2769"/>
          </w:tcPr>
          <w:p/>
        </w:tc>
        <w:tc>
          <w:tcPr>
            <w:tcW w:type="dxa" w:w="2769"/>
          </w:tcPr>
          <w:p>
            <w:pPr>
              <w:pStyle w:val="null3"/>
            </w:pPr>
            <w:r>
              <w:rPr>
                <w:rFonts w:ascii="仿宋_GB2312" w:hAnsi="仿宋_GB2312" w:cs="仿宋_GB2312" w:eastAsia="仿宋_GB2312"/>
                <w:sz w:val="21"/>
              </w:rPr>
              <w:t>实现观众文字互动。</w:t>
            </w:r>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p>
            <w:pPr>
              <w:pStyle w:val="null3"/>
            </w:pPr>
            <w:r>
              <w:rPr>
                <w:rFonts w:ascii="仿宋_GB2312" w:hAnsi="仿宋_GB2312" w:cs="仿宋_GB2312" w:eastAsia="仿宋_GB2312"/>
                <w:sz w:val="21"/>
              </w:rPr>
              <w:t>实现管理员和发起人可统一设置全体静音和解除全体静音。</w:t>
            </w:r>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p>
            <w:pPr>
              <w:pStyle w:val="null3"/>
            </w:pPr>
            <w:r>
              <w:rPr>
                <w:rFonts w:ascii="仿宋_GB2312" w:hAnsi="仿宋_GB2312" w:cs="仿宋_GB2312" w:eastAsia="仿宋_GB2312"/>
                <w:sz w:val="21"/>
              </w:rPr>
              <w:t>实现对病例讨论房间进行权限控制，以输入密码形式加入房间。</w:t>
            </w:r>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p>
            <w:pPr>
              <w:pStyle w:val="null3"/>
            </w:pPr>
            <w:r>
              <w:rPr>
                <w:rFonts w:ascii="仿宋_GB2312" w:hAnsi="仿宋_GB2312" w:cs="仿宋_GB2312" w:eastAsia="仿宋_GB2312"/>
                <w:sz w:val="21"/>
              </w:rPr>
              <w:t>实现可复制分享会议号，受邀方输入会议号加入会议房间。</w:t>
            </w:r>
          </w:p>
        </w:tc>
      </w:tr>
      <w:tr>
        <w:tc>
          <w:tcPr>
            <w:tcW w:type="dxa" w:w="2769"/>
          </w:tcPr>
          <w:p>
            <w:pPr>
              <w:pStyle w:val="null3"/>
            </w:pPr>
            <w:r>
              <w:rPr>
                <w:rFonts w:ascii="仿宋_GB2312" w:hAnsi="仿宋_GB2312" w:cs="仿宋_GB2312" w:eastAsia="仿宋_GB2312"/>
              </w:rPr>
              <w:t>108</w:t>
            </w:r>
          </w:p>
        </w:tc>
        <w:tc>
          <w:tcPr>
            <w:tcW w:type="dxa" w:w="2769"/>
          </w:tcPr>
          <w:p/>
        </w:tc>
        <w:tc>
          <w:tcPr>
            <w:tcW w:type="dxa" w:w="2769"/>
          </w:tcPr>
          <w:p>
            <w:pPr>
              <w:pStyle w:val="null3"/>
            </w:pPr>
            <w:r>
              <w:rPr>
                <w:rFonts w:ascii="仿宋_GB2312" w:hAnsi="仿宋_GB2312" w:cs="仿宋_GB2312" w:eastAsia="仿宋_GB2312"/>
                <w:sz w:val="21"/>
              </w:rPr>
              <w:t>实现按时间范围等条件查询历次病例讨论的记录，并在列表中展示每次讨论的核心信息，包括但不限于开始时间、结束时间、参加对象、参加人数、管理员等信息。</w:t>
            </w:r>
          </w:p>
        </w:tc>
      </w:tr>
      <w:tr>
        <w:tc>
          <w:tcPr>
            <w:tcW w:type="dxa" w:w="2769"/>
          </w:tcPr>
          <w:p>
            <w:pPr>
              <w:pStyle w:val="null3"/>
            </w:pPr>
            <w:r>
              <w:rPr>
                <w:rFonts w:ascii="仿宋_GB2312" w:hAnsi="仿宋_GB2312" w:cs="仿宋_GB2312" w:eastAsia="仿宋_GB2312"/>
              </w:rPr>
              <w:t>109</w:t>
            </w:r>
          </w:p>
        </w:tc>
        <w:tc>
          <w:tcPr>
            <w:tcW w:type="dxa" w:w="2769"/>
          </w:tcPr>
          <w:p/>
        </w:tc>
        <w:tc>
          <w:tcPr>
            <w:tcW w:type="dxa" w:w="2769"/>
          </w:tcPr>
          <w:p>
            <w:pPr>
              <w:pStyle w:val="null3"/>
            </w:pPr>
            <w:r>
              <w:rPr>
                <w:rFonts w:ascii="仿宋_GB2312" w:hAnsi="仿宋_GB2312" w:cs="仿宋_GB2312" w:eastAsia="仿宋_GB2312"/>
                <w:sz w:val="21"/>
              </w:rPr>
              <w:t>具备快捷创建讨论功能。</w:t>
            </w:r>
          </w:p>
        </w:tc>
      </w:tr>
      <w:tr>
        <w:tc>
          <w:tcPr>
            <w:tcW w:type="dxa" w:w="2769"/>
          </w:tcPr>
          <w:p>
            <w:pPr>
              <w:pStyle w:val="null3"/>
            </w:pPr>
            <w:r>
              <w:rPr>
                <w:rFonts w:ascii="仿宋_GB2312" w:hAnsi="仿宋_GB2312" w:cs="仿宋_GB2312" w:eastAsia="仿宋_GB2312"/>
              </w:rPr>
              <w:t>110</w:t>
            </w:r>
          </w:p>
        </w:tc>
        <w:tc>
          <w:tcPr>
            <w:tcW w:type="dxa" w:w="2769"/>
          </w:tcPr>
          <w:p/>
        </w:tc>
        <w:tc>
          <w:tcPr>
            <w:tcW w:type="dxa" w:w="2769"/>
          </w:tcPr>
          <w:p>
            <w:pPr>
              <w:pStyle w:val="null3"/>
            </w:pPr>
            <w:r>
              <w:rPr>
                <w:rFonts w:ascii="仿宋_GB2312" w:hAnsi="仿宋_GB2312" w:cs="仿宋_GB2312" w:eastAsia="仿宋_GB2312"/>
                <w:sz w:val="21"/>
              </w:rPr>
              <w:t>建立基于角色的访问控制，参与讨论的使用方需通过登录验证和具备相关角色才可进入线上会议室。系统需由发起人严格控制参会人员名单，未经授权的人员无法通过链接或会议ID直接接入，防止讨论环境意外暴露。</w:t>
            </w:r>
          </w:p>
        </w:tc>
      </w:tr>
      <w:tr>
        <w:tc>
          <w:tcPr>
            <w:tcW w:type="dxa" w:w="2769"/>
          </w:tcPr>
          <w:p>
            <w:pPr>
              <w:pStyle w:val="null3"/>
            </w:pPr>
            <w:r>
              <w:rPr>
                <w:rFonts w:ascii="仿宋_GB2312" w:hAnsi="仿宋_GB2312" w:cs="仿宋_GB2312" w:eastAsia="仿宋_GB2312"/>
              </w:rPr>
              <w:t>111</w:t>
            </w:r>
          </w:p>
        </w:tc>
        <w:tc>
          <w:tcPr>
            <w:tcW w:type="dxa" w:w="2769"/>
          </w:tcPr>
          <w:p/>
        </w:tc>
        <w:tc>
          <w:tcPr>
            <w:tcW w:type="dxa" w:w="2769"/>
          </w:tcPr>
          <w:p>
            <w:pPr>
              <w:pStyle w:val="null3"/>
            </w:pPr>
            <w:r>
              <w:rPr>
                <w:rFonts w:ascii="仿宋_GB2312" w:hAnsi="仿宋_GB2312" w:cs="仿宋_GB2312" w:eastAsia="仿宋_GB2312"/>
                <w:sz w:val="21"/>
              </w:rPr>
              <w:t>音视频流及共享的数据链路必须采用安全传输协议，确保数据在公网传输过程中不被监听或篡改。每次病例讨论生成的会话密钥应为一次性使用，讨论结束即失效，确保会话过程的物理与逻辑隔离。</w:t>
            </w:r>
          </w:p>
        </w:tc>
      </w:tr>
      <w:tr>
        <w:tc>
          <w:tcPr>
            <w:tcW w:type="dxa" w:w="2769"/>
          </w:tcPr>
          <w:p>
            <w:pPr>
              <w:pStyle w:val="null3"/>
            </w:pPr>
            <w:r>
              <w:rPr>
                <w:rFonts w:ascii="仿宋_GB2312" w:hAnsi="仿宋_GB2312" w:cs="仿宋_GB2312" w:eastAsia="仿宋_GB2312"/>
              </w:rPr>
              <w:t>112</w:t>
            </w:r>
          </w:p>
        </w:tc>
        <w:tc>
          <w:tcPr>
            <w:tcW w:type="dxa" w:w="2769"/>
          </w:tcPr>
          <w:p/>
        </w:tc>
        <w:tc>
          <w:tcPr>
            <w:tcW w:type="dxa" w:w="2769"/>
          </w:tcPr>
          <w:p>
            <w:pPr>
              <w:pStyle w:val="null3"/>
            </w:pPr>
            <w:r>
              <w:rPr>
                <w:rFonts w:ascii="仿宋_GB2312" w:hAnsi="仿宋_GB2312" w:cs="仿宋_GB2312" w:eastAsia="仿宋_GB2312"/>
                <w:sz w:val="21"/>
              </w:rPr>
              <w:t>满足音视频互动与资料共享，不生成、不存储多学科病例讨论结论或报告，确保功能定位在经验分享与教学层面。</w:t>
            </w:r>
          </w:p>
        </w:tc>
      </w:tr>
      <w:tr>
        <w:tc>
          <w:tcPr>
            <w:tcW w:type="dxa" w:w="2769"/>
          </w:tcPr>
          <w:p>
            <w:pPr>
              <w:pStyle w:val="null3"/>
            </w:pPr>
            <w:r>
              <w:rPr>
                <w:rFonts w:ascii="仿宋_GB2312" w:hAnsi="仿宋_GB2312" w:cs="仿宋_GB2312" w:eastAsia="仿宋_GB2312"/>
              </w:rPr>
              <w:t>113</w:t>
            </w:r>
          </w:p>
        </w:tc>
        <w:tc>
          <w:tcPr>
            <w:tcW w:type="dxa" w:w="2769"/>
          </w:tcPr>
          <w:p/>
        </w:tc>
        <w:tc>
          <w:tcPr>
            <w:tcW w:type="dxa" w:w="2769"/>
          </w:tcPr>
          <w:p>
            <w:pPr>
              <w:pStyle w:val="null3"/>
            </w:pPr>
            <w:r>
              <w:rPr>
                <w:rFonts w:ascii="仿宋_GB2312" w:hAnsi="仿宋_GB2312" w:cs="仿宋_GB2312" w:eastAsia="仿宋_GB2312"/>
                <w:sz w:val="21"/>
              </w:rPr>
              <w:t>供应商应确保该平台符合国家网络安全及医疗数据合规要求，并对数据安全与隐私保护承担全部责任。</w:t>
            </w:r>
          </w:p>
        </w:tc>
      </w:tr>
      <w:tr>
        <w:tc>
          <w:tcPr>
            <w:tcW w:type="dxa" w:w="2769"/>
          </w:tcPr>
          <w:p>
            <w:pPr>
              <w:pStyle w:val="null3"/>
            </w:pPr>
            <w:r>
              <w:rPr>
                <w:rFonts w:ascii="仿宋_GB2312" w:hAnsi="仿宋_GB2312" w:cs="仿宋_GB2312" w:eastAsia="仿宋_GB2312"/>
              </w:rPr>
              <w:t>114</w:t>
            </w:r>
          </w:p>
        </w:tc>
        <w:tc>
          <w:tcPr>
            <w:tcW w:type="dxa" w:w="2769"/>
          </w:tcPr>
          <w:p/>
        </w:tc>
        <w:tc>
          <w:tcPr>
            <w:tcW w:type="dxa" w:w="2769"/>
          </w:tcPr>
          <w:p>
            <w:pPr>
              <w:pStyle w:val="null3"/>
            </w:pPr>
            <w:r>
              <w:rPr>
                <w:rFonts w:ascii="仿宋_GB2312" w:hAnsi="仿宋_GB2312" w:cs="仿宋_GB2312" w:eastAsia="仿宋_GB2312"/>
                <w:sz w:val="21"/>
              </w:rPr>
              <w:t>11</w:t>
            </w:r>
            <w:r>
              <w:rPr>
                <w:rFonts w:ascii="仿宋_GB2312" w:hAnsi="仿宋_GB2312" w:cs="仿宋_GB2312" w:eastAsia="仿宋_GB2312"/>
                <w:sz w:val="21"/>
              </w:rPr>
              <w:t>、产前筛查智能辅助决策</w:t>
            </w:r>
          </w:p>
        </w:tc>
      </w:tr>
      <w:tr>
        <w:tc>
          <w:tcPr>
            <w:tcW w:type="dxa" w:w="2769"/>
          </w:tcPr>
          <w:p>
            <w:pPr>
              <w:pStyle w:val="null3"/>
            </w:pPr>
            <w:r>
              <w:rPr>
                <w:rFonts w:ascii="仿宋_GB2312" w:hAnsi="仿宋_GB2312" w:cs="仿宋_GB2312" w:eastAsia="仿宋_GB2312"/>
              </w:rPr>
              <w:t>115</w:t>
            </w:r>
          </w:p>
        </w:tc>
        <w:tc>
          <w:tcPr>
            <w:tcW w:type="dxa" w:w="2769"/>
          </w:tcPr>
          <w:p/>
        </w:tc>
        <w:tc>
          <w:tcPr>
            <w:tcW w:type="dxa" w:w="2769"/>
          </w:tcPr>
          <w:p>
            <w:pPr>
              <w:pStyle w:val="null3"/>
            </w:pPr>
            <w:r>
              <w:rPr>
                <w:rFonts w:ascii="仿宋_GB2312" w:hAnsi="仿宋_GB2312" w:cs="仿宋_GB2312" w:eastAsia="仿宋_GB2312"/>
                <w:sz w:val="21"/>
              </w:rPr>
              <w:t>须在移动端中构建基于权威知识库的智能问答功能，作为产前筛查与诊断知识中枢的核心交互服务。支持医生通过自然语言便捷提问，系统能够自动从持续更新的内置指南、文献及病例库中提取、分析与整合信息，生成循证解答。</w:t>
            </w:r>
          </w:p>
        </w:tc>
      </w:tr>
      <w:tr>
        <w:tc>
          <w:tcPr>
            <w:tcW w:type="dxa" w:w="2769"/>
          </w:tcPr>
          <w:p>
            <w:pPr>
              <w:pStyle w:val="null3"/>
            </w:pPr>
            <w:r>
              <w:rPr>
                <w:rFonts w:ascii="仿宋_GB2312" w:hAnsi="仿宋_GB2312" w:cs="仿宋_GB2312" w:eastAsia="仿宋_GB2312"/>
              </w:rPr>
              <w:t>116</w:t>
            </w:r>
          </w:p>
        </w:tc>
        <w:tc>
          <w:tcPr>
            <w:tcW w:type="dxa" w:w="2769"/>
          </w:tcPr>
          <w:p/>
        </w:tc>
        <w:tc>
          <w:tcPr>
            <w:tcW w:type="dxa" w:w="2769"/>
          </w:tcPr>
          <w:p>
            <w:pPr>
              <w:pStyle w:val="null3"/>
            </w:pPr>
            <w:r>
              <w:rPr>
                <w:rFonts w:ascii="仿宋_GB2312" w:hAnsi="仿宋_GB2312" w:cs="仿宋_GB2312" w:eastAsia="仿宋_GB2312"/>
                <w:sz w:val="21"/>
              </w:rPr>
              <w:t>供应商须建立与之联动的知识持续更新机制，确保其作为核心工具，持续提升诊断的规范性、效率与准确性。</w:t>
            </w:r>
          </w:p>
        </w:tc>
      </w:tr>
      <w:tr>
        <w:tc>
          <w:tcPr>
            <w:tcW w:type="dxa" w:w="2769"/>
          </w:tcPr>
          <w:p>
            <w:pPr>
              <w:pStyle w:val="null3"/>
            </w:pPr>
            <w:r>
              <w:rPr>
                <w:rFonts w:ascii="仿宋_GB2312" w:hAnsi="仿宋_GB2312" w:cs="仿宋_GB2312" w:eastAsia="仿宋_GB2312"/>
              </w:rPr>
              <w:t>117</w:t>
            </w:r>
          </w:p>
        </w:tc>
        <w:tc>
          <w:tcPr>
            <w:tcW w:type="dxa" w:w="2769"/>
          </w:tcPr>
          <w:p/>
        </w:tc>
        <w:tc>
          <w:tcPr>
            <w:tcW w:type="dxa" w:w="2769"/>
          </w:tcPr>
          <w:p>
            <w:pPr>
              <w:pStyle w:val="null3"/>
            </w:pPr>
            <w:r>
              <w:rPr>
                <w:rFonts w:ascii="仿宋_GB2312" w:hAnsi="仿宋_GB2312" w:cs="仿宋_GB2312" w:eastAsia="仿宋_GB2312"/>
                <w:sz w:val="21"/>
              </w:rPr>
              <w:t>12</w:t>
            </w:r>
            <w:r>
              <w:rPr>
                <w:rFonts w:ascii="仿宋_GB2312" w:hAnsi="仿宋_GB2312" w:cs="仿宋_GB2312" w:eastAsia="仿宋_GB2312"/>
                <w:sz w:val="21"/>
              </w:rPr>
              <w:t>、权威指南与规范知识库</w:t>
            </w:r>
          </w:p>
        </w:tc>
      </w:tr>
      <w:tr>
        <w:tc>
          <w:tcPr>
            <w:tcW w:type="dxa" w:w="2769"/>
          </w:tcPr>
          <w:p>
            <w:pPr>
              <w:pStyle w:val="null3"/>
            </w:pPr>
            <w:r>
              <w:rPr>
                <w:rFonts w:ascii="仿宋_GB2312" w:hAnsi="仿宋_GB2312" w:cs="仿宋_GB2312" w:eastAsia="仿宋_GB2312"/>
              </w:rPr>
              <w:t>118</w:t>
            </w:r>
          </w:p>
        </w:tc>
        <w:tc>
          <w:tcPr>
            <w:tcW w:type="dxa" w:w="2769"/>
          </w:tcPr>
          <w:p/>
        </w:tc>
        <w:tc>
          <w:tcPr>
            <w:tcW w:type="dxa" w:w="2769"/>
          </w:tcPr>
          <w:p>
            <w:pPr>
              <w:pStyle w:val="null3"/>
            </w:pPr>
            <w:r>
              <w:rPr>
                <w:rFonts w:ascii="仿宋_GB2312" w:hAnsi="仿宋_GB2312" w:cs="仿宋_GB2312" w:eastAsia="仿宋_GB2312"/>
                <w:sz w:val="21"/>
              </w:rPr>
              <w:t>内置由国家卫健委、中华医学会等权威机构发布的产前筛查与诊断相关指南及技术规范，包括《孕前和孕期保健指南》、《产前筛查与诊断技术管理办法》、《胎儿染色体异常的产前筛查与诊断技术规范》等核心文件，并提供全文检索与目录导航功能，确保医生在诊断标准不明确时可一键查询官方依据。</w:t>
            </w:r>
          </w:p>
        </w:tc>
      </w:tr>
      <w:tr>
        <w:tc>
          <w:tcPr>
            <w:tcW w:type="dxa" w:w="2769"/>
          </w:tcPr>
          <w:p>
            <w:pPr>
              <w:pStyle w:val="null3"/>
            </w:pPr>
            <w:r>
              <w:rPr>
                <w:rFonts w:ascii="仿宋_GB2312" w:hAnsi="仿宋_GB2312" w:cs="仿宋_GB2312" w:eastAsia="仿宋_GB2312"/>
              </w:rPr>
              <w:t>119</w:t>
            </w:r>
          </w:p>
        </w:tc>
        <w:tc>
          <w:tcPr>
            <w:tcW w:type="dxa" w:w="2769"/>
          </w:tcPr>
          <w:p/>
        </w:tc>
        <w:tc>
          <w:tcPr>
            <w:tcW w:type="dxa" w:w="2769"/>
          </w:tcPr>
          <w:p>
            <w:pPr>
              <w:pStyle w:val="null3"/>
            </w:pPr>
            <w:r>
              <w:rPr>
                <w:rFonts w:ascii="仿宋_GB2312" w:hAnsi="仿宋_GB2312" w:cs="仿宋_GB2312" w:eastAsia="仿宋_GB2312"/>
                <w:sz w:val="21"/>
              </w:rPr>
              <w:t>权威指南与规范知识库须建立更新机制包括两部分：一是供应商建立官方标准内容的持续更新机制，及时同步最新规范内容，保障诊疗行为合法合规，有效规避医疗风险；二是面向医院管理员开放的自定义知识维护功能，医院可独立管理本院特色的知识内容并随时更新。至少每季度更新一次。</w:t>
            </w:r>
          </w:p>
        </w:tc>
      </w:tr>
      <w:tr>
        <w:tc>
          <w:tcPr>
            <w:tcW w:type="dxa" w:w="2769"/>
          </w:tcPr>
          <w:p>
            <w:pPr>
              <w:pStyle w:val="null3"/>
            </w:pPr>
            <w:r>
              <w:rPr>
                <w:rFonts w:ascii="仿宋_GB2312" w:hAnsi="仿宋_GB2312" w:cs="仿宋_GB2312" w:eastAsia="仿宋_GB2312"/>
              </w:rPr>
              <w:t>120</w:t>
            </w:r>
          </w:p>
        </w:tc>
        <w:tc>
          <w:tcPr>
            <w:tcW w:type="dxa" w:w="2769"/>
          </w:tcPr>
          <w:p/>
        </w:tc>
        <w:tc>
          <w:tcPr>
            <w:tcW w:type="dxa" w:w="2769"/>
          </w:tcPr>
          <w:p>
            <w:pPr>
              <w:pStyle w:val="null3"/>
            </w:pPr>
            <w:r>
              <w:rPr>
                <w:rFonts w:ascii="仿宋_GB2312" w:hAnsi="仿宋_GB2312" w:cs="仿宋_GB2312" w:eastAsia="仿宋_GB2312"/>
                <w:sz w:val="21"/>
              </w:rPr>
              <w:t>13</w:t>
            </w:r>
            <w:r>
              <w:rPr>
                <w:rFonts w:ascii="仿宋_GB2312" w:hAnsi="仿宋_GB2312" w:cs="仿宋_GB2312" w:eastAsia="仿宋_GB2312"/>
                <w:sz w:val="21"/>
              </w:rPr>
              <w:t>、典型病例与经验分享库</w:t>
            </w:r>
          </w:p>
        </w:tc>
      </w:tr>
      <w:tr>
        <w:tc>
          <w:tcPr>
            <w:tcW w:type="dxa" w:w="2769"/>
          </w:tcPr>
          <w:p>
            <w:pPr>
              <w:pStyle w:val="null3"/>
            </w:pPr>
            <w:r>
              <w:rPr>
                <w:rFonts w:ascii="仿宋_GB2312" w:hAnsi="仿宋_GB2312" w:cs="仿宋_GB2312" w:eastAsia="仿宋_GB2312"/>
              </w:rPr>
              <w:t>121</w:t>
            </w:r>
          </w:p>
        </w:tc>
        <w:tc>
          <w:tcPr>
            <w:tcW w:type="dxa" w:w="2769"/>
          </w:tcPr>
          <w:p/>
        </w:tc>
        <w:tc>
          <w:tcPr>
            <w:tcW w:type="dxa" w:w="2769"/>
          </w:tcPr>
          <w:p>
            <w:pPr>
              <w:pStyle w:val="null3"/>
            </w:pPr>
            <w:r>
              <w:rPr>
                <w:rFonts w:ascii="仿宋_GB2312" w:hAnsi="仿宋_GB2312" w:cs="仿宋_GB2312" w:eastAsia="仿宋_GB2312"/>
                <w:sz w:val="21"/>
              </w:rPr>
              <w:t>建立典型病例知识库，收录覆盖超声/影像、遗传病、出生缺陷等核心领域的典型产前筛查与诊断病例。每个病例包含完整病史、检查过程、诊断思路、最终结果及专家点评。</w:t>
            </w:r>
          </w:p>
        </w:tc>
      </w:tr>
      <w:tr>
        <w:tc>
          <w:tcPr>
            <w:tcW w:type="dxa" w:w="2769"/>
          </w:tcPr>
          <w:p>
            <w:pPr>
              <w:pStyle w:val="null3"/>
            </w:pPr>
            <w:r>
              <w:rPr>
                <w:rFonts w:ascii="仿宋_GB2312" w:hAnsi="仿宋_GB2312" w:cs="仿宋_GB2312" w:eastAsia="仿宋_GB2312"/>
              </w:rPr>
              <w:t>122</w:t>
            </w:r>
          </w:p>
        </w:tc>
        <w:tc>
          <w:tcPr>
            <w:tcW w:type="dxa" w:w="2769"/>
          </w:tcPr>
          <w:p/>
        </w:tc>
        <w:tc>
          <w:tcPr>
            <w:tcW w:type="dxa" w:w="2769"/>
          </w:tcPr>
          <w:p>
            <w:pPr>
              <w:pStyle w:val="null3"/>
            </w:pPr>
            <w:r>
              <w:rPr>
                <w:rFonts w:ascii="仿宋_GB2312" w:hAnsi="仿宋_GB2312" w:cs="仿宋_GB2312" w:eastAsia="仿宋_GB2312"/>
                <w:sz w:val="21"/>
              </w:rPr>
              <w:t>系统支持通过关键词快速检索病例，辅助医生在接诊相似病例时参考借鉴，提升诊断准确性，减少误诊漏诊风险。</w:t>
            </w:r>
          </w:p>
        </w:tc>
      </w:tr>
      <w:tr>
        <w:tc>
          <w:tcPr>
            <w:tcW w:type="dxa" w:w="2769"/>
          </w:tcPr>
          <w:p>
            <w:pPr>
              <w:pStyle w:val="null3"/>
            </w:pPr>
            <w:r>
              <w:rPr>
                <w:rFonts w:ascii="仿宋_GB2312" w:hAnsi="仿宋_GB2312" w:cs="仿宋_GB2312" w:eastAsia="仿宋_GB2312"/>
              </w:rPr>
              <w:t>123</w:t>
            </w:r>
          </w:p>
        </w:tc>
        <w:tc>
          <w:tcPr>
            <w:tcW w:type="dxa" w:w="2769"/>
          </w:tcPr>
          <w:p/>
        </w:tc>
        <w:tc>
          <w:tcPr>
            <w:tcW w:type="dxa" w:w="2769"/>
          </w:tcPr>
          <w:p>
            <w:pPr>
              <w:pStyle w:val="null3"/>
            </w:pPr>
            <w:r>
              <w:rPr>
                <w:rFonts w:ascii="仿宋_GB2312" w:hAnsi="仿宋_GB2312" w:cs="仿宋_GB2312" w:eastAsia="仿宋_GB2312"/>
                <w:sz w:val="21"/>
              </w:rPr>
              <w:t>典型病例与经验分享库建立更新机制包括两部分：一是供应商建立典型病例与经验分享内容的持续更新机制，及时同步最新内容；二是面向医院管理员开放的自定义知识维护功能，医院可独立管理本院特色的知识内容并随时更新。至少每季度更新一次。</w:t>
            </w:r>
          </w:p>
        </w:tc>
      </w:tr>
      <w:tr>
        <w:tc>
          <w:tcPr>
            <w:tcW w:type="dxa" w:w="2769"/>
          </w:tcPr>
          <w:p>
            <w:pPr>
              <w:pStyle w:val="null3"/>
            </w:pPr>
            <w:r>
              <w:rPr>
                <w:rFonts w:ascii="仿宋_GB2312" w:hAnsi="仿宋_GB2312" w:cs="仿宋_GB2312" w:eastAsia="仿宋_GB2312"/>
              </w:rPr>
              <w:t>124</w:t>
            </w:r>
          </w:p>
        </w:tc>
        <w:tc>
          <w:tcPr>
            <w:tcW w:type="dxa" w:w="2769"/>
          </w:tcPr>
          <w:p/>
        </w:tc>
        <w:tc>
          <w:tcPr>
            <w:tcW w:type="dxa" w:w="2769"/>
          </w:tcPr>
          <w:p>
            <w:pPr>
              <w:pStyle w:val="null3"/>
            </w:pPr>
            <w:r>
              <w:rPr>
                <w:rFonts w:ascii="仿宋_GB2312" w:hAnsi="仿宋_GB2312" w:cs="仿宋_GB2312" w:eastAsia="仿宋_GB2312"/>
                <w:sz w:val="21"/>
              </w:rPr>
              <w:t>14</w:t>
            </w:r>
            <w:r>
              <w:rPr>
                <w:rFonts w:ascii="仿宋_GB2312" w:hAnsi="仿宋_GB2312" w:cs="仿宋_GB2312" w:eastAsia="仿宋_GB2312"/>
                <w:sz w:val="21"/>
              </w:rPr>
              <w:t>、临床咨询要点库</w:t>
            </w:r>
          </w:p>
        </w:tc>
      </w:tr>
      <w:tr>
        <w:tc>
          <w:tcPr>
            <w:tcW w:type="dxa" w:w="2769"/>
          </w:tcPr>
          <w:p>
            <w:pPr>
              <w:pStyle w:val="null3"/>
            </w:pPr>
            <w:r>
              <w:rPr>
                <w:rFonts w:ascii="仿宋_GB2312" w:hAnsi="仿宋_GB2312" w:cs="仿宋_GB2312" w:eastAsia="仿宋_GB2312"/>
              </w:rPr>
              <w:t>125</w:t>
            </w:r>
          </w:p>
        </w:tc>
        <w:tc>
          <w:tcPr>
            <w:tcW w:type="dxa" w:w="2769"/>
          </w:tcPr>
          <w:p/>
        </w:tc>
        <w:tc>
          <w:tcPr>
            <w:tcW w:type="dxa" w:w="2769"/>
          </w:tcPr>
          <w:p>
            <w:pPr>
              <w:pStyle w:val="null3"/>
            </w:pPr>
            <w:r>
              <w:rPr>
                <w:rFonts w:ascii="仿宋_GB2312" w:hAnsi="仿宋_GB2312" w:cs="仿宋_GB2312" w:eastAsia="仿宋_GB2312"/>
                <w:sz w:val="21"/>
              </w:rPr>
              <w:t>提供标准化的临床咨询要点库，内容须聚焦产前筛查与诊断后的风险沟通、方案选择及心理疏导等关键环节，例如，《如何向孕妇解释NIPT高风险结果》、《胎儿结构异常的产前咨询要点》、《染色体平衡易位的再发风险评估》等典型场景。</w:t>
            </w:r>
          </w:p>
        </w:tc>
      </w:tr>
      <w:tr>
        <w:tc>
          <w:tcPr>
            <w:tcW w:type="dxa" w:w="2769"/>
          </w:tcPr>
          <w:p>
            <w:pPr>
              <w:pStyle w:val="null3"/>
            </w:pPr>
            <w:r>
              <w:rPr>
                <w:rFonts w:ascii="仿宋_GB2312" w:hAnsi="仿宋_GB2312" w:cs="仿宋_GB2312" w:eastAsia="仿宋_GB2312"/>
              </w:rPr>
              <w:t>126</w:t>
            </w:r>
          </w:p>
        </w:tc>
        <w:tc>
          <w:tcPr>
            <w:tcW w:type="dxa" w:w="2769"/>
          </w:tcPr>
          <w:p/>
        </w:tc>
        <w:tc>
          <w:tcPr>
            <w:tcW w:type="dxa" w:w="2769"/>
          </w:tcPr>
          <w:p>
            <w:pPr>
              <w:pStyle w:val="null3"/>
            </w:pPr>
            <w:r>
              <w:rPr>
                <w:rFonts w:ascii="仿宋_GB2312" w:hAnsi="仿宋_GB2312" w:cs="仿宋_GB2312" w:eastAsia="仿宋_GB2312"/>
                <w:sz w:val="21"/>
              </w:rPr>
              <w:t>临床咨询要点库须建立更新机制包括两部分：一是供应商建立要点库内容的持续更新机制，及时同步最新内容；二是面向医院管理员开放的自定义知识维护功能，医院可独立管理本院特色的知识内容并随时更新。至少每季度更新一次。</w:t>
            </w:r>
          </w:p>
        </w:tc>
      </w:tr>
      <w:tr>
        <w:tc>
          <w:tcPr>
            <w:tcW w:type="dxa" w:w="2769"/>
          </w:tcPr>
          <w:p>
            <w:pPr>
              <w:pStyle w:val="null3"/>
            </w:pPr>
            <w:r>
              <w:rPr>
                <w:rFonts w:ascii="仿宋_GB2312" w:hAnsi="仿宋_GB2312" w:cs="仿宋_GB2312" w:eastAsia="仿宋_GB2312"/>
              </w:rPr>
              <w:t>127</w:t>
            </w:r>
          </w:p>
        </w:tc>
        <w:tc>
          <w:tcPr>
            <w:tcW w:type="dxa" w:w="2769"/>
          </w:tcPr>
          <w:p/>
        </w:tc>
        <w:tc>
          <w:tcPr>
            <w:tcW w:type="dxa" w:w="2769"/>
          </w:tcPr>
          <w:p>
            <w:pPr>
              <w:pStyle w:val="null3"/>
            </w:pPr>
            <w:r>
              <w:rPr>
                <w:rFonts w:ascii="仿宋_GB2312" w:hAnsi="仿宋_GB2312" w:cs="仿宋_GB2312" w:eastAsia="仿宋_GB2312"/>
                <w:sz w:val="21"/>
              </w:rPr>
              <w:t>15</w:t>
            </w:r>
            <w:r>
              <w:rPr>
                <w:rFonts w:ascii="仿宋_GB2312" w:hAnsi="仿宋_GB2312" w:cs="仿宋_GB2312" w:eastAsia="仿宋_GB2312"/>
                <w:sz w:val="21"/>
              </w:rPr>
              <w:t>、专业知识资源库管理</w:t>
            </w:r>
          </w:p>
        </w:tc>
      </w:tr>
      <w:tr>
        <w:tc>
          <w:tcPr>
            <w:tcW w:type="dxa" w:w="2769"/>
          </w:tcPr>
          <w:p>
            <w:pPr>
              <w:pStyle w:val="null3"/>
            </w:pPr>
            <w:r>
              <w:rPr>
                <w:rFonts w:ascii="仿宋_GB2312" w:hAnsi="仿宋_GB2312" w:cs="仿宋_GB2312" w:eastAsia="仿宋_GB2312"/>
              </w:rPr>
              <w:t>128</w:t>
            </w:r>
          </w:p>
        </w:tc>
        <w:tc>
          <w:tcPr>
            <w:tcW w:type="dxa" w:w="2769"/>
          </w:tcPr>
          <w:p/>
        </w:tc>
        <w:tc>
          <w:tcPr>
            <w:tcW w:type="dxa" w:w="2769"/>
          </w:tcPr>
          <w:p>
            <w:pPr>
              <w:pStyle w:val="null3"/>
            </w:pPr>
            <w:r>
              <w:rPr>
                <w:rFonts w:ascii="仿宋_GB2312" w:hAnsi="仿宋_GB2312" w:cs="仿宋_GB2312" w:eastAsia="仿宋_GB2312"/>
                <w:sz w:val="21"/>
              </w:rPr>
              <w:t>集中管理产前筛查与诊断相关的技术规范、最新文献、指南共识及讲座课件等资源，并按"产前超声"、"遗传实验室"等专业维度进行分类管理。</w:t>
            </w:r>
          </w:p>
        </w:tc>
      </w:tr>
      <w:tr>
        <w:tc>
          <w:tcPr>
            <w:tcW w:type="dxa" w:w="2769"/>
          </w:tcPr>
          <w:p>
            <w:pPr>
              <w:pStyle w:val="null3"/>
            </w:pPr>
            <w:r>
              <w:rPr>
                <w:rFonts w:ascii="仿宋_GB2312" w:hAnsi="仿宋_GB2312" w:cs="仿宋_GB2312" w:eastAsia="仿宋_GB2312"/>
              </w:rPr>
              <w:t>129</w:t>
            </w:r>
          </w:p>
        </w:tc>
        <w:tc>
          <w:tcPr>
            <w:tcW w:type="dxa" w:w="2769"/>
          </w:tcPr>
          <w:p/>
        </w:tc>
        <w:tc>
          <w:tcPr>
            <w:tcW w:type="dxa" w:w="2769"/>
          </w:tcPr>
          <w:p>
            <w:pPr>
              <w:pStyle w:val="null3"/>
            </w:pPr>
            <w:r>
              <w:rPr>
                <w:rFonts w:ascii="仿宋_GB2312" w:hAnsi="仿宋_GB2312" w:cs="仿宋_GB2312" w:eastAsia="仿宋_GB2312"/>
                <w:sz w:val="21"/>
              </w:rPr>
              <w:t>（三）公众服务</w:t>
            </w:r>
          </w:p>
        </w:tc>
      </w:tr>
      <w:tr>
        <w:tc>
          <w:tcPr>
            <w:tcW w:type="dxa" w:w="2769"/>
          </w:tcPr>
          <w:p>
            <w:pPr>
              <w:pStyle w:val="null3"/>
            </w:pPr>
            <w:r>
              <w:rPr>
                <w:rFonts w:ascii="仿宋_GB2312" w:hAnsi="仿宋_GB2312" w:cs="仿宋_GB2312" w:eastAsia="仿宋_GB2312"/>
              </w:rPr>
              <w:t>130</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、孕期健康科普</w:t>
            </w:r>
          </w:p>
        </w:tc>
      </w:tr>
      <w:tr>
        <w:tc>
          <w:tcPr>
            <w:tcW w:type="dxa" w:w="2769"/>
          </w:tcPr>
          <w:p>
            <w:pPr>
              <w:pStyle w:val="null3"/>
            </w:pPr>
            <w:r>
              <w:rPr>
                <w:rFonts w:ascii="仿宋_GB2312" w:hAnsi="仿宋_GB2312" w:cs="仿宋_GB2312" w:eastAsia="仿宋_GB2312"/>
              </w:rPr>
              <w:t>131</w:t>
            </w:r>
          </w:p>
        </w:tc>
        <w:tc>
          <w:tcPr>
            <w:tcW w:type="dxa" w:w="2769"/>
          </w:tcPr>
          <w:p/>
        </w:tc>
        <w:tc>
          <w:tcPr>
            <w:tcW w:type="dxa" w:w="2769"/>
          </w:tcPr>
          <w:p>
            <w:pPr>
              <w:pStyle w:val="null3"/>
            </w:pPr>
            <w:r>
              <w:rPr>
                <w:rFonts w:ascii="仿宋_GB2312" w:hAnsi="仿宋_GB2312" w:cs="仿宋_GB2312" w:eastAsia="仿宋_GB2312"/>
                <w:sz w:val="21"/>
              </w:rPr>
              <w:t>通过移动端面向公众提供免注册访问服务，提供涵盖孕期保健、出生缺陷预防、产前筛查与诊断流程介绍及常见问题解答等内容的科普图文与短视频。</w:t>
            </w:r>
          </w:p>
        </w:tc>
      </w:tr>
      <w:tr>
        <w:tc>
          <w:tcPr>
            <w:tcW w:type="dxa" w:w="2769"/>
          </w:tcPr>
          <w:p>
            <w:pPr>
              <w:pStyle w:val="null3"/>
            </w:pPr>
            <w:r>
              <w:rPr>
                <w:rFonts w:ascii="仿宋_GB2312" w:hAnsi="仿宋_GB2312" w:cs="仿宋_GB2312" w:eastAsia="仿宋_GB2312"/>
              </w:rPr>
              <w:t>132</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、机构与服务查询功能</w:t>
            </w:r>
          </w:p>
        </w:tc>
      </w:tr>
      <w:tr>
        <w:tc>
          <w:tcPr>
            <w:tcW w:type="dxa" w:w="2769"/>
          </w:tcPr>
          <w:p>
            <w:pPr>
              <w:pStyle w:val="null3"/>
            </w:pPr>
            <w:r>
              <w:rPr>
                <w:rFonts w:ascii="仿宋_GB2312" w:hAnsi="仿宋_GB2312" w:cs="仿宋_GB2312" w:eastAsia="仿宋_GB2312"/>
              </w:rPr>
              <w:t>133</w:t>
            </w:r>
          </w:p>
        </w:tc>
        <w:tc>
          <w:tcPr>
            <w:tcW w:type="dxa" w:w="2769"/>
          </w:tcPr>
          <w:p/>
        </w:tc>
        <w:tc>
          <w:tcPr>
            <w:tcW w:type="dxa" w:w="2769"/>
          </w:tcPr>
          <w:p>
            <w:pPr>
              <w:pStyle w:val="null3"/>
            </w:pPr>
            <w:r>
              <w:rPr>
                <w:rFonts w:ascii="仿宋_GB2312" w:hAnsi="仿宋_GB2312" w:cs="仿宋_GB2312" w:eastAsia="仿宋_GB2312"/>
                <w:sz w:val="21"/>
              </w:rPr>
              <w:t>通过移动端为公众提供医疗机构信息查询服务，按所在地区、机构类型（如"产前筛查与诊断中心"、"三甲医院产科"）等条件进行筛选，可查询医疗机构的名称、地址、联系电话及服务项目等基本信息。</w:t>
            </w:r>
          </w:p>
        </w:tc>
      </w:tr>
      <w:tr>
        <w:tc>
          <w:tcPr>
            <w:tcW w:type="dxa" w:w="2769"/>
          </w:tcPr>
          <w:p>
            <w:pPr>
              <w:pStyle w:val="null3"/>
            </w:pPr>
            <w:r>
              <w:rPr>
                <w:rFonts w:ascii="仿宋_GB2312" w:hAnsi="仿宋_GB2312" w:cs="仿宋_GB2312" w:eastAsia="仿宋_GB2312"/>
              </w:rPr>
              <w:t>134</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、内容分级与安全隔离</w:t>
            </w:r>
          </w:p>
        </w:tc>
      </w:tr>
      <w:tr>
        <w:tc>
          <w:tcPr>
            <w:tcW w:type="dxa" w:w="2769"/>
          </w:tcPr>
          <w:p>
            <w:pPr>
              <w:pStyle w:val="null3"/>
            </w:pPr>
            <w:r>
              <w:rPr>
                <w:rFonts w:ascii="仿宋_GB2312" w:hAnsi="仿宋_GB2312" w:cs="仿宋_GB2312" w:eastAsia="仿宋_GB2312"/>
              </w:rPr>
              <w:t>135</w:t>
            </w:r>
          </w:p>
        </w:tc>
        <w:tc>
          <w:tcPr>
            <w:tcW w:type="dxa" w:w="2769"/>
          </w:tcPr>
          <w:p/>
        </w:tc>
        <w:tc>
          <w:tcPr>
            <w:tcW w:type="dxa" w:w="2769"/>
          </w:tcPr>
          <w:p>
            <w:pPr>
              <w:pStyle w:val="null3"/>
            </w:pPr>
            <w:r>
              <w:rPr>
                <w:rFonts w:ascii="仿宋_GB2312" w:hAnsi="仿宋_GB2312" w:cs="仿宋_GB2312" w:eastAsia="仿宋_GB2312"/>
                <w:sz w:val="21"/>
              </w:rPr>
              <w:t>严格区分公众端与医生端。公众端禁止访问任何专业功能（如病例讨论、考试系统、质控工具）；提供醒目的“医生登录”入口，确保患者隐私和专业信息安全。</w:t>
            </w:r>
          </w:p>
        </w:tc>
      </w:tr>
      <w:tr>
        <w:tc>
          <w:tcPr>
            <w:tcW w:type="dxa" w:w="2769"/>
          </w:tcPr>
          <w:p>
            <w:pPr>
              <w:pStyle w:val="null3"/>
            </w:pPr>
            <w:r>
              <w:rPr>
                <w:rFonts w:ascii="仿宋_GB2312" w:hAnsi="仿宋_GB2312" w:cs="仿宋_GB2312" w:eastAsia="仿宋_GB2312"/>
              </w:rPr>
              <w:t>136</w:t>
            </w:r>
          </w:p>
        </w:tc>
        <w:tc>
          <w:tcPr>
            <w:tcW w:type="dxa" w:w="2769"/>
          </w:tcPr>
          <w:p/>
        </w:tc>
        <w:tc>
          <w:tcPr>
            <w:tcW w:type="dxa" w:w="2769"/>
          </w:tcPr>
          <w:p>
            <w:pPr>
              <w:pStyle w:val="null3"/>
            </w:pPr>
            <w:r>
              <w:rPr>
                <w:rFonts w:ascii="仿宋_GB2312" w:hAnsi="仿宋_GB2312" w:cs="仿宋_GB2312" w:eastAsia="仿宋_GB2312"/>
                <w:sz w:val="21"/>
              </w:rPr>
              <w:t>（四）统一后台管理</w:t>
            </w:r>
          </w:p>
        </w:tc>
      </w:tr>
      <w:tr>
        <w:tc>
          <w:tcPr>
            <w:tcW w:type="dxa" w:w="2769"/>
          </w:tcPr>
          <w:p>
            <w:pPr>
              <w:pStyle w:val="null3"/>
            </w:pPr>
            <w:r>
              <w:rPr>
                <w:rFonts w:ascii="仿宋_GB2312" w:hAnsi="仿宋_GB2312" w:cs="仿宋_GB2312" w:eastAsia="仿宋_GB2312"/>
              </w:rPr>
              <w:t>137</w:t>
            </w:r>
          </w:p>
        </w:tc>
        <w:tc>
          <w:tcPr>
            <w:tcW w:type="dxa" w:w="2769"/>
          </w:tcPr>
          <w:p/>
        </w:tc>
        <w:tc>
          <w:tcPr>
            <w:tcW w:type="dxa" w:w="2769"/>
          </w:tcPr>
          <w:p>
            <w:pPr>
              <w:pStyle w:val="null3"/>
            </w:pPr>
            <w:r>
              <w:rPr>
                <w:rFonts w:ascii="仿宋_GB2312" w:hAnsi="仿宋_GB2312" w:cs="仿宋_GB2312" w:eastAsia="仿宋_GB2312"/>
                <w:sz w:val="21"/>
              </w:rPr>
              <w:t>系统提供统一的后台管理功能，对全市范围内机构、人员、文献、技术资料、专家、直播、考试等所有核心数据进行查询、添加、修改与删除操作。</w:t>
            </w:r>
          </w:p>
        </w:tc>
      </w:tr>
      <w:tr>
        <w:tc>
          <w:tcPr>
            <w:tcW w:type="dxa" w:w="2769"/>
          </w:tcPr>
          <w:p>
            <w:pPr>
              <w:pStyle w:val="null3"/>
            </w:pPr>
            <w:r>
              <w:rPr>
                <w:rFonts w:ascii="仿宋_GB2312" w:hAnsi="仿宋_GB2312" w:cs="仿宋_GB2312" w:eastAsia="仿宋_GB2312"/>
              </w:rPr>
              <w:t>138</w:t>
            </w:r>
          </w:p>
        </w:tc>
        <w:tc>
          <w:tcPr>
            <w:tcW w:type="dxa" w:w="2769"/>
          </w:tcPr>
          <w:p/>
        </w:tc>
        <w:tc>
          <w:tcPr>
            <w:tcW w:type="dxa" w:w="2769"/>
          </w:tcPr>
          <w:p>
            <w:pPr>
              <w:pStyle w:val="null3"/>
            </w:pPr>
            <w:r>
              <w:rPr>
                <w:rFonts w:ascii="仿宋_GB2312" w:hAnsi="仿宋_GB2312" w:cs="仿宋_GB2312" w:eastAsia="仿宋_GB2312"/>
                <w:sz w:val="21"/>
              </w:rPr>
              <w:t>具备多级权限控制，涵盖市级、机构级、医生及学员等不同角色，实现系统数据的精细化管理与维护。</w:t>
            </w:r>
          </w:p>
        </w:tc>
      </w:tr>
      <w:tr>
        <w:tc>
          <w:tcPr>
            <w:tcW w:type="dxa" w:w="2769"/>
          </w:tcPr>
          <w:p>
            <w:pPr>
              <w:pStyle w:val="null3"/>
            </w:pPr>
            <w:r>
              <w:rPr>
                <w:rFonts w:ascii="仿宋_GB2312" w:hAnsi="仿宋_GB2312" w:cs="仿宋_GB2312" w:eastAsia="仿宋_GB2312"/>
              </w:rPr>
              <w:t>139</w:t>
            </w:r>
          </w:p>
        </w:tc>
        <w:tc>
          <w:tcPr>
            <w:tcW w:type="dxa" w:w="2769"/>
          </w:tcPr>
          <w:p/>
        </w:tc>
        <w:tc>
          <w:tcPr>
            <w:tcW w:type="dxa" w:w="2769"/>
          </w:tcPr>
          <w:p>
            <w:pPr>
              <w:pStyle w:val="null3"/>
            </w:pPr>
            <w:r>
              <w:rPr>
                <w:rFonts w:ascii="仿宋_GB2312" w:hAnsi="仿宋_GB2312" w:cs="仿宋_GB2312" w:eastAsia="仿宋_GB2312"/>
                <w:sz w:val="21"/>
              </w:rPr>
              <w:t>（五）系统架构与安全</w:t>
            </w:r>
          </w:p>
        </w:tc>
      </w:tr>
      <w:tr>
        <w:tc>
          <w:tcPr>
            <w:tcW w:type="dxa" w:w="2769"/>
          </w:tcPr>
          <w:p>
            <w:pPr>
              <w:pStyle w:val="null3"/>
            </w:pPr>
            <w:r>
              <w:rPr>
                <w:rFonts w:ascii="仿宋_GB2312" w:hAnsi="仿宋_GB2312" w:cs="仿宋_GB2312" w:eastAsia="仿宋_GB2312"/>
              </w:rPr>
              <w:t>140</w:t>
            </w:r>
          </w:p>
        </w:tc>
        <w:tc>
          <w:tcPr>
            <w:tcW w:type="dxa" w:w="2769"/>
          </w:tcPr>
          <w:p/>
        </w:tc>
        <w:tc>
          <w:tcPr>
            <w:tcW w:type="dxa" w:w="2769"/>
          </w:tcPr>
          <w:p>
            <w:pPr>
              <w:pStyle w:val="null3"/>
            </w:pPr>
            <w:r>
              <w:rPr>
                <w:rFonts w:ascii="仿宋_GB2312" w:hAnsi="仿宋_GB2312" w:cs="仿宋_GB2312" w:eastAsia="仿宋_GB2312"/>
                <w:sz w:val="21"/>
              </w:rPr>
              <w:t>全面兼容国产浏览器，并确保在国产操作系统及数据库环境中稳定运行；系统须对敏感信息与个人隐私数据实施符合国家要求的加密存储，全面保障系统安全稳定运行。</w:t>
            </w:r>
          </w:p>
        </w:tc>
      </w:tr>
      <w:tr>
        <w:tc>
          <w:tcPr>
            <w:tcW w:type="dxa" w:w="2769"/>
          </w:tcPr>
          <w:p>
            <w:pPr>
              <w:pStyle w:val="null3"/>
            </w:pPr>
            <w:r>
              <w:rPr>
                <w:rFonts w:ascii="仿宋_GB2312" w:hAnsi="仿宋_GB2312" w:cs="仿宋_GB2312" w:eastAsia="仿宋_GB2312"/>
              </w:rPr>
              <w:t>141</w:t>
            </w:r>
          </w:p>
        </w:tc>
        <w:tc>
          <w:tcPr>
            <w:tcW w:type="dxa" w:w="2769"/>
          </w:tcPr>
          <w:p/>
        </w:tc>
        <w:tc>
          <w:tcPr>
            <w:tcW w:type="dxa" w:w="2769"/>
          </w:tcPr>
          <w:p>
            <w:pPr>
              <w:pStyle w:val="null3"/>
            </w:pPr>
            <w:r>
              <w:rPr>
                <w:rFonts w:ascii="仿宋_GB2312" w:hAnsi="仿宋_GB2312" w:cs="仿宋_GB2312" w:eastAsia="仿宋_GB2312"/>
                <w:sz w:val="21"/>
              </w:rPr>
              <w:t>（六）流量保障</w:t>
            </w:r>
          </w:p>
        </w:tc>
      </w:tr>
      <w:tr>
        <w:tc>
          <w:tcPr>
            <w:tcW w:type="dxa" w:w="2769"/>
          </w:tcPr>
          <w:p>
            <w:pPr>
              <w:pStyle w:val="null3"/>
            </w:pPr>
            <w:r>
              <w:rPr>
                <w:rFonts w:ascii="仿宋_GB2312" w:hAnsi="仿宋_GB2312" w:cs="仿宋_GB2312" w:eastAsia="仿宋_GB2312"/>
              </w:rPr>
              <w:t>142</w:t>
            </w:r>
          </w:p>
        </w:tc>
        <w:tc>
          <w:tcPr>
            <w:tcW w:type="dxa" w:w="2769"/>
          </w:tcPr>
          <w:p/>
        </w:tc>
        <w:tc>
          <w:tcPr>
            <w:tcW w:type="dxa" w:w="2769"/>
          </w:tcPr>
          <w:p>
            <w:pPr>
              <w:pStyle w:val="null3"/>
            </w:pPr>
            <w:r>
              <w:rPr>
                <w:rFonts w:ascii="仿宋_GB2312" w:hAnsi="仿宋_GB2312" w:cs="仿宋_GB2312" w:eastAsia="仿宋_GB2312"/>
                <w:sz w:val="21"/>
              </w:rPr>
              <w:t>三年维保期内，供应商提供的流量服务包括平台所需的全部公网流量（含普通直播流量、互动直播流量、录播流量及视频存储流量，并提供OSS回源、图片/PDF内容CDN分发及负载均衡网关等），且流量必须满足院方业务开展的需求，播放必须流畅无卡顿。且流量费由供应商一次性打包承担，医院无需另行付费。</w:t>
            </w:r>
          </w:p>
        </w:tc>
      </w:tr>
      <w:tr>
        <w:tc>
          <w:tcPr>
            <w:tcW w:type="dxa" w:w="2769"/>
          </w:tcPr>
          <w:p>
            <w:pPr>
              <w:pStyle w:val="null3"/>
            </w:pPr>
            <w:r>
              <w:rPr>
                <w:rFonts w:ascii="仿宋_GB2312" w:hAnsi="仿宋_GB2312" w:cs="仿宋_GB2312" w:eastAsia="仿宋_GB2312"/>
              </w:rPr>
              <w:t>143</w:t>
            </w:r>
          </w:p>
        </w:tc>
        <w:tc>
          <w:tcPr>
            <w:tcW w:type="dxa" w:w="2769"/>
          </w:tcPr>
          <w:p/>
        </w:tc>
        <w:tc>
          <w:tcPr>
            <w:tcW w:type="dxa" w:w="2769"/>
          </w:tcPr>
          <w:p>
            <w:pPr>
              <w:pStyle w:val="null3"/>
            </w:pPr>
            <w:r>
              <w:rPr>
                <w:rFonts w:ascii="仿宋_GB2312" w:hAnsi="仿宋_GB2312" w:cs="仿宋_GB2312" w:eastAsia="仿宋_GB2312"/>
                <w:sz w:val="21"/>
              </w:rPr>
              <w:t>维保期满后，若医院选择续购维保服务，续保服务费总额不超过该项目合同金额的8%。此续保服务费应已包含服务期内系统所需的全部网络流量费用，供应商须负责该流量的统一充值、监控与管理，医院无需支付任何额外费用。</w:t>
            </w:r>
          </w:p>
        </w:tc>
      </w:tr>
      <w:tr>
        <w:tc>
          <w:tcPr>
            <w:tcW w:type="dxa" w:w="2769"/>
          </w:tcPr>
          <w:p>
            <w:pPr>
              <w:pStyle w:val="null3"/>
            </w:pPr>
            <w:r>
              <w:rPr>
                <w:rFonts w:ascii="仿宋_GB2312" w:hAnsi="仿宋_GB2312" w:cs="仿宋_GB2312" w:eastAsia="仿宋_GB2312"/>
              </w:rPr>
              <w:t>144</w:t>
            </w:r>
          </w:p>
        </w:tc>
        <w:tc>
          <w:tcPr>
            <w:tcW w:type="dxa" w:w="2769"/>
          </w:tcPr>
          <w:p/>
        </w:tc>
        <w:tc>
          <w:tcPr>
            <w:tcW w:type="dxa" w:w="2769"/>
          </w:tcPr>
          <w:p>
            <w:pPr>
              <w:pStyle w:val="null3"/>
            </w:pPr>
            <w:r>
              <w:rPr>
                <w:rFonts w:ascii="仿宋_GB2312" w:hAnsi="仿宋_GB2312" w:cs="仿宋_GB2312" w:eastAsia="仿宋_GB2312"/>
                <w:sz w:val="21"/>
              </w:rPr>
              <w:t>（七）数据保全与服务延续</w:t>
            </w:r>
          </w:p>
        </w:tc>
      </w:tr>
      <w:tr>
        <w:tc>
          <w:tcPr>
            <w:tcW w:type="dxa" w:w="2769"/>
          </w:tcPr>
          <w:p>
            <w:pPr>
              <w:pStyle w:val="null3"/>
            </w:pPr>
            <w:r>
              <w:rPr>
                <w:rFonts w:ascii="仿宋_GB2312" w:hAnsi="仿宋_GB2312" w:cs="仿宋_GB2312" w:eastAsia="仿宋_GB2312"/>
              </w:rPr>
              <w:t>145</w:t>
            </w:r>
          </w:p>
        </w:tc>
        <w:tc>
          <w:tcPr>
            <w:tcW w:type="dxa" w:w="2769"/>
          </w:tcPr>
          <w:p/>
        </w:tc>
        <w:tc>
          <w:tcPr>
            <w:tcW w:type="dxa" w:w="2769"/>
          </w:tcPr>
          <w:p>
            <w:pPr>
              <w:pStyle w:val="null3"/>
            </w:pPr>
            <w:r>
              <w:rPr>
                <w:rFonts w:ascii="仿宋_GB2312" w:hAnsi="仿宋_GB2312" w:cs="仿宋_GB2312" w:eastAsia="仿宋_GB2312"/>
                <w:sz w:val="21"/>
              </w:rPr>
              <w:t>三年维保期满后，若医院选择不再续购维保服务，供应商须继续保留系统中的全部历史数据，保留期不少于 1年（自服务期满次日起算）。在1年数据保留期内，医院方若决定续购维保服务，供应商应确保系统及所有历史数据可立即恢复使用。此情况下，医院方仅需支付约定的维保服务费用，供应商不得就数据恢复、系统重新启用等事项收取任何额外费用。在1年数据保留期内，医院可要求供应商将全部历史数据以结构化、可读的通用格式（如SQL备份、CSV等）完整导出并交还医院。</w:t>
            </w:r>
          </w:p>
        </w:tc>
      </w:tr>
      <w:tr>
        <w:tc>
          <w:tcPr>
            <w:tcW w:type="dxa" w:w="2769"/>
          </w:tcPr>
          <w:p>
            <w:pPr>
              <w:pStyle w:val="null3"/>
            </w:pPr>
            <w:r>
              <w:rPr>
                <w:rFonts w:ascii="仿宋_GB2312" w:hAnsi="仿宋_GB2312" w:cs="仿宋_GB2312" w:eastAsia="仿宋_GB2312"/>
              </w:rPr>
              <w:t>146</w:t>
            </w:r>
          </w:p>
        </w:tc>
        <w:tc>
          <w:tcPr>
            <w:tcW w:type="dxa" w:w="2769"/>
          </w:tcPr>
          <w:p/>
        </w:tc>
        <w:tc>
          <w:tcPr>
            <w:tcW w:type="dxa" w:w="2769"/>
          </w:tcPr>
          <w:p>
            <w:pPr>
              <w:pStyle w:val="null3"/>
            </w:pPr>
            <w:r>
              <w:rPr>
                <w:rFonts w:ascii="仿宋_GB2312" w:hAnsi="仿宋_GB2312" w:cs="仿宋_GB2312" w:eastAsia="仿宋_GB2312"/>
                <w:sz w:val="21"/>
              </w:rPr>
              <w:t>无论医院续购服务恢复使用，或要求导出数据，自相关历史数据交还医院方之日起，该数据的所有权及一切相关权益即完全归属于医院方。供应商在依据本条款完成数据交付后，须彻底删除其持有的所有相关数据副本，不得以任何形式继续保留或使用。</w:t>
            </w:r>
          </w:p>
        </w:tc>
      </w:tr>
      <w:tr>
        <w:tc>
          <w:tcPr>
            <w:tcW w:type="dxa" w:w="2769"/>
          </w:tcPr>
          <w:p>
            <w:pPr>
              <w:pStyle w:val="null3"/>
            </w:pPr>
            <w:r>
              <w:rPr>
                <w:rFonts w:ascii="仿宋_GB2312" w:hAnsi="仿宋_GB2312" w:cs="仿宋_GB2312" w:eastAsia="仿宋_GB2312"/>
              </w:rPr>
              <w:t>147</w:t>
            </w:r>
          </w:p>
        </w:tc>
        <w:tc>
          <w:tcPr>
            <w:tcW w:type="dxa" w:w="2769"/>
          </w:tcPr>
          <w:p/>
        </w:tc>
        <w:tc>
          <w:tcPr>
            <w:tcW w:type="dxa" w:w="2769"/>
          </w:tcPr>
          <w:p>
            <w:pPr>
              <w:pStyle w:val="null3"/>
            </w:pPr>
            <w:r>
              <w:rPr>
                <w:rFonts w:ascii="仿宋_GB2312" w:hAnsi="仿宋_GB2312" w:cs="仿宋_GB2312" w:eastAsia="仿宋_GB2312"/>
                <w:sz w:val="21"/>
              </w:rPr>
              <w:t>（八）性能要求</w:t>
            </w:r>
          </w:p>
        </w:tc>
      </w:tr>
      <w:tr>
        <w:tc>
          <w:tcPr>
            <w:tcW w:type="dxa" w:w="2769"/>
          </w:tcPr>
          <w:p>
            <w:pPr>
              <w:pStyle w:val="null3"/>
            </w:pPr>
            <w:r>
              <w:rPr>
                <w:rFonts w:ascii="仿宋_GB2312" w:hAnsi="仿宋_GB2312" w:cs="仿宋_GB2312" w:eastAsia="仿宋_GB2312"/>
              </w:rPr>
              <w:t>148</w:t>
            </w:r>
          </w:p>
        </w:tc>
        <w:tc>
          <w:tcPr>
            <w:tcW w:type="dxa" w:w="2769"/>
          </w:tcPr>
          <w:p/>
        </w:tc>
        <w:tc>
          <w:tcPr>
            <w:tcW w:type="dxa" w:w="2769"/>
          </w:tcPr>
          <w:p>
            <w:pPr>
              <w:pStyle w:val="null3"/>
            </w:pPr>
            <w:r>
              <w:rPr>
                <w:rFonts w:ascii="仿宋_GB2312" w:hAnsi="仿宋_GB2312" w:cs="仿宋_GB2312" w:eastAsia="仿宋_GB2312"/>
                <w:sz w:val="21"/>
              </w:rPr>
              <w:t>页面加载：在4G/5G移动网络环境下，页面首屏打开时间≤2秒。</w:t>
            </w:r>
          </w:p>
        </w:tc>
      </w:tr>
      <w:tr>
        <w:tc>
          <w:tcPr>
            <w:tcW w:type="dxa" w:w="2769"/>
          </w:tcPr>
          <w:p>
            <w:pPr>
              <w:pStyle w:val="null3"/>
            </w:pPr>
            <w:r>
              <w:rPr>
                <w:rFonts w:ascii="仿宋_GB2312" w:hAnsi="仿宋_GB2312" w:cs="仿宋_GB2312" w:eastAsia="仿宋_GB2312"/>
              </w:rPr>
              <w:t>149</w:t>
            </w:r>
          </w:p>
        </w:tc>
        <w:tc>
          <w:tcPr>
            <w:tcW w:type="dxa" w:w="2769"/>
          </w:tcPr>
          <w:p/>
        </w:tc>
        <w:tc>
          <w:tcPr>
            <w:tcW w:type="dxa" w:w="2769"/>
          </w:tcPr>
          <w:p>
            <w:pPr>
              <w:pStyle w:val="null3"/>
            </w:pPr>
            <w:r>
              <w:rPr>
                <w:rFonts w:ascii="仿宋_GB2312" w:hAnsi="仿宋_GB2312" w:cs="仿宋_GB2312" w:eastAsia="仿宋_GB2312"/>
                <w:sz w:val="21"/>
              </w:rPr>
              <w:t>业务操作：常规查询、报名、学习等操作平均响应时间应≤0.5秒，极端情况下≤1秒。</w:t>
            </w:r>
          </w:p>
        </w:tc>
      </w:tr>
      <w:tr>
        <w:tc>
          <w:tcPr>
            <w:tcW w:type="dxa" w:w="2769"/>
          </w:tcPr>
          <w:p>
            <w:pPr>
              <w:pStyle w:val="null3"/>
            </w:pPr>
            <w:r>
              <w:rPr>
                <w:rFonts w:ascii="仿宋_GB2312" w:hAnsi="仿宋_GB2312" w:cs="仿宋_GB2312" w:eastAsia="仿宋_GB2312"/>
              </w:rPr>
              <w:t>150</w:t>
            </w:r>
          </w:p>
        </w:tc>
        <w:tc>
          <w:tcPr>
            <w:tcW w:type="dxa" w:w="2769"/>
          </w:tcPr>
          <w:p/>
        </w:tc>
        <w:tc>
          <w:tcPr>
            <w:tcW w:type="dxa" w:w="2769"/>
          </w:tcPr>
          <w:p>
            <w:pPr>
              <w:pStyle w:val="null3"/>
            </w:pPr>
            <w:r>
              <w:rPr>
                <w:rFonts w:ascii="仿宋_GB2312" w:hAnsi="仿宋_GB2312" w:cs="仿宋_GB2312" w:eastAsia="仿宋_GB2312"/>
                <w:sz w:val="21"/>
              </w:rPr>
              <w:t>复杂计算：涉及AI质控、大数据统计分析等复杂操作，平均响应时间≤3秒，极端情况下≤5秒。</w:t>
            </w:r>
          </w:p>
        </w:tc>
      </w:tr>
      <w:tr>
        <w:tc>
          <w:tcPr>
            <w:tcW w:type="dxa" w:w="2769"/>
          </w:tcPr>
          <w:p>
            <w:pPr>
              <w:pStyle w:val="null3"/>
            </w:pPr>
            <w:r>
              <w:rPr>
                <w:rFonts w:ascii="仿宋_GB2312" w:hAnsi="仿宋_GB2312" w:cs="仿宋_GB2312" w:eastAsia="仿宋_GB2312"/>
              </w:rPr>
              <w:t>151</w:t>
            </w:r>
          </w:p>
        </w:tc>
        <w:tc>
          <w:tcPr>
            <w:tcW w:type="dxa" w:w="2769"/>
          </w:tcPr>
          <w:p/>
        </w:tc>
        <w:tc>
          <w:tcPr>
            <w:tcW w:type="dxa" w:w="2769"/>
          </w:tcPr>
          <w:p>
            <w:pPr>
              <w:pStyle w:val="null3"/>
            </w:pPr>
            <w:r>
              <w:rPr>
                <w:rFonts w:ascii="仿宋_GB2312" w:hAnsi="仿宋_GB2312" w:cs="仿宋_GB2312" w:eastAsia="仿宋_GB2312"/>
                <w:sz w:val="21"/>
              </w:rPr>
              <w:t>图像上传：单张标准DICOM格式超声图像上传完成时间≤3秒。</w:t>
            </w:r>
          </w:p>
        </w:tc>
      </w:tr>
      <w:tr>
        <w:tc>
          <w:tcPr>
            <w:tcW w:type="dxa" w:w="2769"/>
          </w:tcPr>
          <w:p>
            <w:pPr>
              <w:pStyle w:val="null3"/>
            </w:pPr>
            <w:r>
              <w:rPr>
                <w:rFonts w:ascii="仿宋_GB2312" w:hAnsi="仿宋_GB2312" w:cs="仿宋_GB2312" w:eastAsia="仿宋_GB2312"/>
              </w:rPr>
              <w:t>152</w:t>
            </w:r>
          </w:p>
        </w:tc>
        <w:tc>
          <w:tcPr>
            <w:tcW w:type="dxa" w:w="2769"/>
          </w:tcPr>
          <w:p/>
        </w:tc>
        <w:tc>
          <w:tcPr>
            <w:tcW w:type="dxa" w:w="2769"/>
          </w:tcPr>
          <w:p>
            <w:pPr>
              <w:pStyle w:val="null3"/>
            </w:pPr>
            <w:r>
              <w:rPr>
                <w:rFonts w:ascii="仿宋_GB2312" w:hAnsi="仿宋_GB2312" w:cs="仿宋_GB2312" w:eastAsia="仿宋_GB2312"/>
                <w:sz w:val="21"/>
              </w:rPr>
              <w:t>确保各地用户访问平台时，网络延迟低、视频播放流畅。</w:t>
            </w:r>
          </w:p>
        </w:tc>
      </w:tr>
      <w:tr>
        <w:tc>
          <w:tcPr>
            <w:tcW w:type="dxa" w:w="2769"/>
          </w:tcPr>
          <w:p>
            <w:pPr>
              <w:pStyle w:val="null3"/>
            </w:pPr>
            <w:r>
              <w:rPr>
                <w:rFonts w:ascii="仿宋_GB2312" w:hAnsi="仿宋_GB2312" w:cs="仿宋_GB2312" w:eastAsia="仿宋_GB2312"/>
              </w:rPr>
              <w:t>153</w:t>
            </w:r>
          </w:p>
        </w:tc>
        <w:tc>
          <w:tcPr>
            <w:tcW w:type="dxa" w:w="2769"/>
          </w:tcPr>
          <w:p/>
        </w:tc>
        <w:tc>
          <w:tcPr>
            <w:tcW w:type="dxa" w:w="2769"/>
          </w:tcPr>
          <w:p>
            <w:pPr>
              <w:pStyle w:val="null3"/>
            </w:pPr>
            <w:r>
              <w:rPr>
                <w:rFonts w:ascii="仿宋_GB2312" w:hAnsi="仿宋_GB2312" w:cs="仿宋_GB2312" w:eastAsia="仿宋_GB2312"/>
                <w:sz w:val="21"/>
              </w:rPr>
              <w:t>系统全年可用性≥99.9%，即全年非计划性停机时间累计≤8小时。</w:t>
            </w:r>
          </w:p>
        </w:tc>
      </w:tr>
      <w:tr>
        <w:tc>
          <w:tcPr>
            <w:tcW w:type="dxa" w:w="2769"/>
          </w:tcPr>
          <w:p>
            <w:pPr>
              <w:pStyle w:val="null3"/>
            </w:pPr>
            <w:r>
              <w:rPr>
                <w:rFonts w:ascii="仿宋_GB2312" w:hAnsi="仿宋_GB2312" w:cs="仿宋_GB2312" w:eastAsia="仿宋_GB2312"/>
              </w:rPr>
              <w:t>154</w:t>
            </w:r>
          </w:p>
        </w:tc>
        <w:tc>
          <w:tcPr>
            <w:tcW w:type="dxa" w:w="2769"/>
          </w:tcPr>
          <w:p/>
        </w:tc>
        <w:tc>
          <w:tcPr>
            <w:tcW w:type="dxa" w:w="2769"/>
          </w:tcPr>
          <w:p>
            <w:pPr>
              <w:pStyle w:val="null3"/>
            </w:pPr>
            <w:r>
              <w:rPr>
                <w:rFonts w:ascii="仿宋_GB2312" w:hAnsi="仿宋_GB2312" w:cs="仿宋_GB2312" w:eastAsia="仿宋_GB2312"/>
                <w:sz w:val="21"/>
              </w:rPr>
              <w:t>满足7×24小时不间断服务，系统升级、功能迭代必须通过灰度发布、热更新等技术实现，确保业务零中断、用户无感知。</w:t>
            </w:r>
          </w:p>
        </w:tc>
      </w:tr>
      <w:tr>
        <w:tc>
          <w:tcPr>
            <w:tcW w:type="dxa" w:w="2769"/>
          </w:tcPr>
          <w:p>
            <w:pPr>
              <w:pStyle w:val="null3"/>
            </w:pPr>
            <w:r>
              <w:rPr>
                <w:rFonts w:ascii="仿宋_GB2312" w:hAnsi="仿宋_GB2312" w:cs="仿宋_GB2312" w:eastAsia="仿宋_GB2312"/>
              </w:rPr>
              <w:t>155</w:t>
            </w:r>
          </w:p>
        </w:tc>
        <w:tc>
          <w:tcPr>
            <w:tcW w:type="dxa" w:w="2769"/>
          </w:tcPr>
          <w:p/>
        </w:tc>
        <w:tc>
          <w:tcPr>
            <w:tcW w:type="dxa" w:w="2769"/>
          </w:tcPr>
          <w:p>
            <w:pPr>
              <w:pStyle w:val="null3"/>
            </w:pPr>
            <w:r>
              <w:rPr>
                <w:rFonts w:ascii="仿宋_GB2312" w:hAnsi="仿宋_GB2312" w:cs="仿宋_GB2312" w:eastAsia="仿宋_GB2312"/>
                <w:sz w:val="21"/>
              </w:rPr>
              <w:t>（九）资源要求</w:t>
            </w:r>
          </w:p>
        </w:tc>
      </w:tr>
      <w:tr>
        <w:tc>
          <w:tcPr>
            <w:tcW w:type="dxa" w:w="2769"/>
          </w:tcPr>
          <w:p>
            <w:pPr>
              <w:pStyle w:val="null3"/>
            </w:pPr>
            <w:r>
              <w:rPr>
                <w:rFonts w:ascii="仿宋_GB2312" w:hAnsi="仿宋_GB2312" w:cs="仿宋_GB2312" w:eastAsia="仿宋_GB2312"/>
              </w:rPr>
              <w:t>156</w:t>
            </w:r>
          </w:p>
        </w:tc>
        <w:tc>
          <w:tcPr>
            <w:tcW w:type="dxa" w:w="2769"/>
          </w:tcPr>
          <w:p/>
        </w:tc>
        <w:tc>
          <w:tcPr>
            <w:tcW w:type="dxa" w:w="2769"/>
          </w:tcPr>
          <w:p>
            <w:pPr>
              <w:pStyle w:val="null3"/>
            </w:pPr>
            <w:r>
              <w:rPr>
                <w:rFonts w:ascii="仿宋_GB2312" w:hAnsi="仿宋_GB2312" w:cs="仿宋_GB2312" w:eastAsia="仿宋_GB2312"/>
                <w:sz w:val="21"/>
              </w:rPr>
              <w:t>产前诊断智慧云平台（SaaS服务）所需的AI超声质控工具（含AI模型及算力服务器资源）由供应商在云侧统一提供和维护；平台运行所需的其余服务器、存储、带宽及安全设备亦由供应商在云侧统一提供，医院端无需额外投入硬件资源。</w:t>
            </w:r>
          </w:p>
        </w:tc>
      </w:tr>
      <w:tr>
        <w:tc>
          <w:tcPr>
            <w:tcW w:type="dxa" w:w="2769"/>
          </w:tcPr>
          <w:p>
            <w:pPr>
              <w:pStyle w:val="null3"/>
            </w:pPr>
            <w:r>
              <w:rPr>
                <w:rFonts w:ascii="仿宋_GB2312" w:hAnsi="仿宋_GB2312" w:cs="仿宋_GB2312" w:eastAsia="仿宋_GB2312"/>
              </w:rPr>
              <w:t>157</w:t>
            </w:r>
          </w:p>
        </w:tc>
        <w:tc>
          <w:tcPr>
            <w:tcW w:type="dxa" w:w="2769"/>
          </w:tcPr>
          <w:p/>
        </w:tc>
        <w:tc>
          <w:tcPr>
            <w:tcW w:type="dxa" w:w="2769"/>
          </w:tcPr>
          <w:p>
            <w:pPr>
              <w:pStyle w:val="null3"/>
            </w:pPr>
            <w:r>
              <w:rPr>
                <w:rFonts w:ascii="仿宋_GB2312" w:hAnsi="仿宋_GB2312" w:cs="仿宋_GB2312" w:eastAsia="仿宋_GB2312"/>
                <w:sz w:val="21"/>
              </w:rPr>
              <w:t>供应商须提供唯一且固定的专属访问域名。</w:t>
            </w:r>
          </w:p>
        </w:tc>
      </w:tr>
      <w:tr>
        <w:tc>
          <w:tcPr>
            <w:tcW w:type="dxa" w:w="2769"/>
          </w:tcPr>
          <w:p>
            <w:pPr>
              <w:pStyle w:val="null3"/>
            </w:pPr>
            <w:r>
              <w:rPr>
                <w:rFonts w:ascii="仿宋_GB2312" w:hAnsi="仿宋_GB2312" w:cs="仿宋_GB2312" w:eastAsia="仿宋_GB2312"/>
              </w:rPr>
              <w:t>158</w:t>
            </w:r>
          </w:p>
        </w:tc>
        <w:tc>
          <w:tcPr>
            <w:tcW w:type="dxa" w:w="2769"/>
          </w:tcPr>
          <w:p/>
        </w:tc>
        <w:tc>
          <w:tcPr>
            <w:tcW w:type="dxa" w:w="2769"/>
          </w:tcPr>
          <w:p>
            <w:pPr>
              <w:pStyle w:val="null3"/>
            </w:pPr>
            <w:r>
              <w:rPr>
                <w:rFonts w:ascii="仿宋_GB2312" w:hAnsi="仿宋_GB2312" w:cs="仿宋_GB2312" w:eastAsia="仿宋_GB2312"/>
                <w:sz w:val="21"/>
              </w:rPr>
              <w:t>二：产前诊断智慧数据管理平台</w:t>
            </w:r>
          </w:p>
        </w:tc>
      </w:tr>
      <w:tr>
        <w:tc>
          <w:tcPr>
            <w:tcW w:type="dxa" w:w="2769"/>
          </w:tcPr>
          <w:p>
            <w:pPr>
              <w:pStyle w:val="null3"/>
            </w:pPr>
            <w:r>
              <w:rPr>
                <w:rFonts w:ascii="仿宋_GB2312" w:hAnsi="仿宋_GB2312" w:cs="仿宋_GB2312" w:eastAsia="仿宋_GB2312"/>
              </w:rPr>
              <w:t>159</w:t>
            </w:r>
          </w:p>
        </w:tc>
        <w:tc>
          <w:tcPr>
            <w:tcW w:type="dxa" w:w="2769"/>
          </w:tcPr>
          <w:p/>
        </w:tc>
        <w:tc>
          <w:tcPr>
            <w:tcW w:type="dxa" w:w="2769"/>
          </w:tcPr>
          <w:p>
            <w:pPr>
              <w:pStyle w:val="null3"/>
            </w:pPr>
            <w:r>
              <w:rPr>
                <w:rFonts w:ascii="仿宋_GB2312" w:hAnsi="仿宋_GB2312" w:cs="仿宋_GB2312" w:eastAsia="仿宋_GB2312"/>
                <w:sz w:val="21"/>
              </w:rPr>
              <w:t>（一）医联体核心医院管理</w:t>
            </w:r>
          </w:p>
        </w:tc>
      </w:tr>
      <w:tr>
        <w:tc>
          <w:tcPr>
            <w:tcW w:type="dxa" w:w="2769"/>
          </w:tcPr>
          <w:p>
            <w:pPr>
              <w:pStyle w:val="null3"/>
            </w:pPr>
            <w:r>
              <w:rPr>
                <w:rFonts w:ascii="仿宋_GB2312" w:hAnsi="仿宋_GB2312" w:cs="仿宋_GB2312" w:eastAsia="仿宋_GB2312"/>
              </w:rPr>
              <w:t>160</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、孕妇信息管理</w:t>
            </w:r>
          </w:p>
        </w:tc>
      </w:tr>
      <w:tr>
        <w:tc>
          <w:tcPr>
            <w:tcW w:type="dxa" w:w="2769"/>
          </w:tcPr>
          <w:p>
            <w:pPr>
              <w:pStyle w:val="null3"/>
            </w:pPr>
            <w:r>
              <w:rPr>
                <w:rFonts w:ascii="仿宋_GB2312" w:hAnsi="仿宋_GB2312" w:cs="仿宋_GB2312" w:eastAsia="仿宋_GB2312"/>
              </w:rPr>
              <w:t>161</w:t>
            </w:r>
          </w:p>
        </w:tc>
        <w:tc>
          <w:tcPr>
            <w:tcW w:type="dxa" w:w="2769"/>
          </w:tcPr>
          <w:p/>
        </w:tc>
        <w:tc>
          <w:tcPr>
            <w:tcW w:type="dxa" w:w="2769"/>
          </w:tcPr>
          <w:p>
            <w:pPr>
              <w:pStyle w:val="null3"/>
            </w:pPr>
            <w:r>
              <w:rPr>
                <w:rFonts w:ascii="仿宋_GB2312" w:hAnsi="仿宋_GB2312" w:cs="仿宋_GB2312" w:eastAsia="仿宋_GB2312"/>
                <w:sz w:val="21"/>
              </w:rPr>
              <w:t>具备孕妇档案信息管理功能（孕周、家属信息、孕产史、妊娠情况等）。</w:t>
            </w:r>
          </w:p>
        </w:tc>
      </w:tr>
      <w:tr>
        <w:tc>
          <w:tcPr>
            <w:tcW w:type="dxa" w:w="2769"/>
          </w:tcPr>
          <w:p>
            <w:pPr>
              <w:pStyle w:val="null3"/>
            </w:pPr>
            <w:r>
              <w:rPr>
                <w:rFonts w:ascii="仿宋_GB2312" w:hAnsi="仿宋_GB2312" w:cs="仿宋_GB2312" w:eastAsia="仿宋_GB2312"/>
              </w:rPr>
              <w:t>162</w:t>
            </w:r>
          </w:p>
        </w:tc>
        <w:tc>
          <w:tcPr>
            <w:tcW w:type="dxa" w:w="2769"/>
          </w:tcPr>
          <w:p/>
        </w:tc>
        <w:tc>
          <w:tcPr>
            <w:tcW w:type="dxa" w:w="2769"/>
          </w:tcPr>
          <w:p>
            <w:pPr>
              <w:pStyle w:val="null3"/>
            </w:pPr>
            <w:r>
              <w:rPr>
                <w:rFonts w:ascii="仿宋_GB2312" w:hAnsi="仿宋_GB2312" w:cs="仿宋_GB2312" w:eastAsia="仿宋_GB2312"/>
                <w:sz w:val="21"/>
              </w:rPr>
              <w:t>具备审核孕妇提交的基础信息与临床信息功能（姓名、年龄、孕周、孕产史等）。</w:t>
            </w:r>
          </w:p>
        </w:tc>
      </w:tr>
      <w:tr>
        <w:tc>
          <w:tcPr>
            <w:tcW w:type="dxa" w:w="2769"/>
          </w:tcPr>
          <w:p>
            <w:pPr>
              <w:pStyle w:val="null3"/>
            </w:pPr>
            <w:r>
              <w:rPr>
                <w:rFonts w:ascii="仿宋_GB2312" w:hAnsi="仿宋_GB2312" w:cs="仿宋_GB2312" w:eastAsia="仿宋_GB2312"/>
              </w:rPr>
              <w:t>163</w:t>
            </w:r>
          </w:p>
        </w:tc>
        <w:tc>
          <w:tcPr>
            <w:tcW w:type="dxa" w:w="2769"/>
          </w:tcPr>
          <w:p/>
        </w:tc>
        <w:tc>
          <w:tcPr>
            <w:tcW w:type="dxa" w:w="2769"/>
          </w:tcPr>
          <w:p>
            <w:pPr>
              <w:pStyle w:val="null3"/>
            </w:pPr>
            <w:r>
              <w:rPr>
                <w:rFonts w:ascii="仿宋_GB2312" w:hAnsi="仿宋_GB2312" w:cs="仿宋_GB2312" w:eastAsia="仿宋_GB2312"/>
                <w:sz w:val="21"/>
              </w:rPr>
              <w:t>信息审核通过后自动生成孕妇基本信息和档案信息。</w:t>
            </w:r>
          </w:p>
        </w:tc>
      </w:tr>
      <w:tr>
        <w:tc>
          <w:tcPr>
            <w:tcW w:type="dxa" w:w="2769"/>
          </w:tcPr>
          <w:p>
            <w:pPr>
              <w:pStyle w:val="null3"/>
            </w:pPr>
            <w:r>
              <w:rPr>
                <w:rFonts w:ascii="仿宋_GB2312" w:hAnsi="仿宋_GB2312" w:cs="仿宋_GB2312" w:eastAsia="仿宋_GB2312"/>
              </w:rPr>
              <w:t>164</w:t>
            </w:r>
          </w:p>
        </w:tc>
        <w:tc>
          <w:tcPr>
            <w:tcW w:type="dxa" w:w="2769"/>
          </w:tcPr>
          <w:p/>
        </w:tc>
        <w:tc>
          <w:tcPr>
            <w:tcW w:type="dxa" w:w="2769"/>
          </w:tcPr>
          <w:p>
            <w:pPr>
              <w:pStyle w:val="null3"/>
            </w:pPr>
            <w:r>
              <w:rPr>
                <w:rFonts w:ascii="仿宋_GB2312" w:hAnsi="仿宋_GB2312" w:cs="仿宋_GB2312" w:eastAsia="仿宋_GB2312"/>
                <w:sz w:val="21"/>
              </w:rPr>
              <w:t>具备异常数据同步操作，系统推送的异常报告（如检测结果与孕妇信息不匹配等情况），支持人工修正差异化信息，修正后系统自动将报告及检测结果归入对应孕妇档案，确保数据准确入库。</w:t>
            </w:r>
          </w:p>
        </w:tc>
      </w:tr>
      <w:tr>
        <w:tc>
          <w:tcPr>
            <w:tcW w:type="dxa" w:w="2769"/>
          </w:tcPr>
          <w:p>
            <w:pPr>
              <w:pStyle w:val="null3"/>
            </w:pPr>
            <w:r>
              <w:rPr>
                <w:rFonts w:ascii="仿宋_GB2312" w:hAnsi="仿宋_GB2312" w:cs="仿宋_GB2312" w:eastAsia="仿宋_GB2312"/>
              </w:rPr>
              <w:t>165</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、样本递送及实验室管理</w:t>
            </w:r>
          </w:p>
        </w:tc>
      </w:tr>
      <w:tr>
        <w:tc>
          <w:tcPr>
            <w:tcW w:type="dxa" w:w="2769"/>
          </w:tcPr>
          <w:p>
            <w:pPr>
              <w:pStyle w:val="null3"/>
            </w:pPr>
            <w:r>
              <w:rPr>
                <w:rFonts w:ascii="仿宋_GB2312" w:hAnsi="仿宋_GB2312" w:cs="仿宋_GB2312" w:eastAsia="仿宋_GB2312"/>
              </w:rPr>
              <w:t>166</w:t>
            </w:r>
          </w:p>
        </w:tc>
        <w:tc>
          <w:tcPr>
            <w:tcW w:type="dxa" w:w="2769"/>
          </w:tcPr>
          <w:p/>
        </w:tc>
        <w:tc>
          <w:tcPr>
            <w:tcW w:type="dxa" w:w="2769"/>
          </w:tcPr>
          <w:p>
            <w:pPr>
              <w:pStyle w:val="null3"/>
            </w:pPr>
            <w:r>
              <w:rPr>
                <w:rFonts w:ascii="仿宋_GB2312" w:hAnsi="仿宋_GB2312" w:cs="仿宋_GB2312" w:eastAsia="仿宋_GB2312"/>
                <w:sz w:val="21"/>
              </w:rPr>
              <w:t>对本院样本可进行新增、编辑、删除、提交、标记异常等操作，对异常样本进行重采、重新保存、通知、归档及详情查看操作。</w:t>
            </w:r>
          </w:p>
        </w:tc>
      </w:tr>
      <w:tr>
        <w:tc>
          <w:tcPr>
            <w:tcW w:type="dxa" w:w="2769"/>
          </w:tcPr>
          <w:p>
            <w:pPr>
              <w:pStyle w:val="null3"/>
            </w:pPr>
            <w:r>
              <w:rPr>
                <w:rFonts w:ascii="仿宋_GB2312" w:hAnsi="仿宋_GB2312" w:cs="仿宋_GB2312" w:eastAsia="仿宋_GB2312"/>
              </w:rPr>
              <w:t>167</w:t>
            </w:r>
          </w:p>
        </w:tc>
        <w:tc>
          <w:tcPr>
            <w:tcW w:type="dxa" w:w="2769"/>
          </w:tcPr>
          <w:p/>
        </w:tc>
        <w:tc>
          <w:tcPr>
            <w:tcW w:type="dxa" w:w="2769"/>
          </w:tcPr>
          <w:p>
            <w:pPr>
              <w:pStyle w:val="null3"/>
            </w:pPr>
            <w:r>
              <w:rPr>
                <w:rFonts w:ascii="仿宋_GB2312" w:hAnsi="仿宋_GB2312" w:cs="仿宋_GB2312" w:eastAsia="仿宋_GB2312"/>
                <w:sz w:val="21"/>
              </w:rPr>
              <w:t>可接收下级医院递送样本，录入实验室编号并完成验收。</w:t>
            </w:r>
          </w:p>
        </w:tc>
      </w:tr>
      <w:tr>
        <w:tc>
          <w:tcPr>
            <w:tcW w:type="dxa" w:w="2769"/>
          </w:tcPr>
          <w:p>
            <w:pPr>
              <w:pStyle w:val="null3"/>
            </w:pPr>
            <w:r>
              <w:rPr>
                <w:rFonts w:ascii="仿宋_GB2312" w:hAnsi="仿宋_GB2312" w:cs="仿宋_GB2312" w:eastAsia="仿宋_GB2312"/>
              </w:rPr>
              <w:t>168</w:t>
            </w:r>
          </w:p>
        </w:tc>
        <w:tc>
          <w:tcPr>
            <w:tcW w:type="dxa" w:w="2769"/>
          </w:tcPr>
          <w:p/>
        </w:tc>
        <w:tc>
          <w:tcPr>
            <w:tcW w:type="dxa" w:w="2769"/>
          </w:tcPr>
          <w:p>
            <w:pPr>
              <w:pStyle w:val="null3"/>
            </w:pPr>
            <w:r>
              <w:rPr>
                <w:rFonts w:ascii="仿宋_GB2312" w:hAnsi="仿宋_GB2312" w:cs="仿宋_GB2312" w:eastAsia="仿宋_GB2312"/>
                <w:sz w:val="21"/>
              </w:rPr>
              <w:t>实时追踪样本物流状态（待递送、待签收、已签收），记录样本操作流转日志及签收线上虚拟样本包裹。</w:t>
            </w:r>
          </w:p>
        </w:tc>
      </w:tr>
      <w:tr>
        <w:tc>
          <w:tcPr>
            <w:tcW w:type="dxa" w:w="2769"/>
          </w:tcPr>
          <w:p>
            <w:pPr>
              <w:pStyle w:val="null3"/>
            </w:pPr>
            <w:r>
              <w:rPr>
                <w:rFonts w:ascii="仿宋_GB2312" w:hAnsi="仿宋_GB2312" w:cs="仿宋_GB2312" w:eastAsia="仿宋_GB2312"/>
              </w:rPr>
              <w:t>169</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、检验管理</w:t>
            </w:r>
          </w:p>
        </w:tc>
      </w:tr>
      <w:tr>
        <w:tc>
          <w:tcPr>
            <w:tcW w:type="dxa" w:w="2769"/>
          </w:tcPr>
          <w:p>
            <w:pPr>
              <w:pStyle w:val="null3"/>
            </w:pPr>
            <w:r>
              <w:rPr>
                <w:rFonts w:ascii="仿宋_GB2312" w:hAnsi="仿宋_GB2312" w:cs="仿宋_GB2312" w:eastAsia="仿宋_GB2312"/>
              </w:rPr>
              <w:t>170</w:t>
            </w:r>
          </w:p>
        </w:tc>
        <w:tc>
          <w:tcPr>
            <w:tcW w:type="dxa" w:w="2769"/>
          </w:tcPr>
          <w:p/>
        </w:tc>
        <w:tc>
          <w:tcPr>
            <w:tcW w:type="dxa" w:w="2769"/>
          </w:tcPr>
          <w:p>
            <w:pPr>
              <w:pStyle w:val="null3"/>
            </w:pPr>
            <w:r>
              <w:rPr>
                <w:rFonts w:ascii="仿宋_GB2312" w:hAnsi="仿宋_GB2312" w:cs="仿宋_GB2312" w:eastAsia="仿宋_GB2312"/>
                <w:sz w:val="21"/>
              </w:rPr>
              <w:t>管理检测系统推送的各类检测报告数据（NIPT、NIPT Plus、CNV、唐筛、FISH、核型、血清筛查等）。</w:t>
            </w:r>
          </w:p>
        </w:tc>
      </w:tr>
      <w:tr>
        <w:tc>
          <w:tcPr>
            <w:tcW w:type="dxa" w:w="2769"/>
          </w:tcPr>
          <w:p>
            <w:pPr>
              <w:pStyle w:val="null3"/>
            </w:pPr>
            <w:r>
              <w:rPr>
                <w:rFonts w:ascii="仿宋_GB2312" w:hAnsi="仿宋_GB2312" w:cs="仿宋_GB2312" w:eastAsia="仿宋_GB2312"/>
              </w:rPr>
              <w:t>171</w:t>
            </w:r>
          </w:p>
        </w:tc>
        <w:tc>
          <w:tcPr>
            <w:tcW w:type="dxa" w:w="2769"/>
          </w:tcPr>
          <w:p/>
        </w:tc>
        <w:tc>
          <w:tcPr>
            <w:tcW w:type="dxa" w:w="2769"/>
          </w:tcPr>
          <w:p>
            <w:pPr>
              <w:pStyle w:val="null3"/>
            </w:pPr>
            <w:r>
              <w:rPr>
                <w:rFonts w:ascii="仿宋_GB2312" w:hAnsi="仿宋_GB2312" w:cs="仿宋_GB2312" w:eastAsia="仿宋_GB2312"/>
                <w:sz w:val="21"/>
              </w:rPr>
              <w:t>实现检验报告的新增、编辑、删除、审核结果、审核报告、发送给用户、撤回发放、判读、导出及上传功能。</w:t>
            </w:r>
          </w:p>
        </w:tc>
      </w:tr>
      <w:tr>
        <w:tc>
          <w:tcPr>
            <w:tcW w:type="dxa" w:w="2769"/>
          </w:tcPr>
          <w:p>
            <w:pPr>
              <w:pStyle w:val="null3"/>
            </w:pPr>
            <w:r>
              <w:rPr>
                <w:rFonts w:ascii="仿宋_GB2312" w:hAnsi="仿宋_GB2312" w:cs="仿宋_GB2312" w:eastAsia="仿宋_GB2312"/>
              </w:rPr>
              <w:t>172</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、诊断辅助管理</w:t>
            </w:r>
          </w:p>
        </w:tc>
      </w:tr>
      <w:tr>
        <w:tc>
          <w:tcPr>
            <w:tcW w:type="dxa" w:w="2769"/>
          </w:tcPr>
          <w:p>
            <w:pPr>
              <w:pStyle w:val="null3"/>
            </w:pPr>
            <w:r>
              <w:rPr>
                <w:rFonts w:ascii="仿宋_GB2312" w:hAnsi="仿宋_GB2312" w:cs="仿宋_GB2312" w:eastAsia="仿宋_GB2312"/>
              </w:rPr>
              <w:t>173</w:t>
            </w:r>
          </w:p>
        </w:tc>
        <w:tc>
          <w:tcPr>
            <w:tcW w:type="dxa" w:w="2769"/>
          </w:tcPr>
          <w:p/>
        </w:tc>
        <w:tc>
          <w:tcPr>
            <w:tcW w:type="dxa" w:w="2769"/>
          </w:tcPr>
          <w:p>
            <w:pPr>
              <w:pStyle w:val="null3"/>
            </w:pPr>
            <w:r>
              <w:rPr>
                <w:rFonts w:ascii="仿宋_GB2312" w:hAnsi="仿宋_GB2312" w:cs="仿宋_GB2312" w:eastAsia="仿宋_GB2312"/>
                <w:sz w:val="21"/>
              </w:rPr>
              <w:t>实现羊水穿刺手术等产前诊断手术登记，实时追踪后续检测结果。</w:t>
            </w:r>
          </w:p>
        </w:tc>
      </w:tr>
      <w:tr>
        <w:tc>
          <w:tcPr>
            <w:tcW w:type="dxa" w:w="2769"/>
          </w:tcPr>
          <w:p>
            <w:pPr>
              <w:pStyle w:val="null3"/>
            </w:pPr>
            <w:r>
              <w:rPr>
                <w:rFonts w:ascii="仿宋_GB2312" w:hAnsi="仿宋_GB2312" w:cs="仿宋_GB2312" w:eastAsia="仿宋_GB2312"/>
              </w:rPr>
              <w:t>174</w:t>
            </w:r>
          </w:p>
        </w:tc>
        <w:tc>
          <w:tcPr>
            <w:tcW w:type="dxa" w:w="2769"/>
          </w:tcPr>
          <w:p/>
        </w:tc>
        <w:tc>
          <w:tcPr>
            <w:tcW w:type="dxa" w:w="2769"/>
          </w:tcPr>
          <w:p>
            <w:pPr>
              <w:pStyle w:val="null3"/>
            </w:pPr>
            <w:r>
              <w:rPr>
                <w:rFonts w:ascii="仿宋_GB2312" w:hAnsi="仿宋_GB2312" w:cs="仿宋_GB2312" w:eastAsia="仿宋_GB2312"/>
                <w:sz w:val="21"/>
              </w:rPr>
              <w:t>检测样本直接与孕妇档案关联。</w:t>
            </w:r>
          </w:p>
        </w:tc>
      </w:tr>
      <w:tr>
        <w:tc>
          <w:tcPr>
            <w:tcW w:type="dxa" w:w="2769"/>
          </w:tcPr>
          <w:p>
            <w:pPr>
              <w:pStyle w:val="null3"/>
            </w:pPr>
            <w:r>
              <w:rPr>
                <w:rFonts w:ascii="仿宋_GB2312" w:hAnsi="仿宋_GB2312" w:cs="仿宋_GB2312" w:eastAsia="仿宋_GB2312"/>
              </w:rPr>
              <w:t>175</w:t>
            </w:r>
          </w:p>
        </w:tc>
        <w:tc>
          <w:tcPr>
            <w:tcW w:type="dxa" w:w="2769"/>
          </w:tcPr>
          <w:p/>
        </w:tc>
        <w:tc>
          <w:tcPr>
            <w:tcW w:type="dxa" w:w="2769"/>
          </w:tcPr>
          <w:p>
            <w:pPr>
              <w:pStyle w:val="null3"/>
            </w:pPr>
            <w:r>
              <w:rPr>
                <w:rFonts w:ascii="仿宋_GB2312" w:hAnsi="仿宋_GB2312" w:cs="仿宋_GB2312" w:eastAsia="仿宋_GB2312"/>
                <w:sz w:val="21"/>
              </w:rPr>
              <w:t>家系检测与孕妇档案关联，整合家系遗传信息辅助诊断解读。</w:t>
            </w:r>
          </w:p>
        </w:tc>
      </w:tr>
      <w:tr>
        <w:tc>
          <w:tcPr>
            <w:tcW w:type="dxa" w:w="2769"/>
          </w:tcPr>
          <w:p>
            <w:pPr>
              <w:pStyle w:val="null3"/>
            </w:pPr>
            <w:r>
              <w:rPr>
                <w:rFonts w:ascii="仿宋_GB2312" w:hAnsi="仿宋_GB2312" w:cs="仿宋_GB2312" w:eastAsia="仿宋_GB2312"/>
              </w:rPr>
              <w:t>176</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、随访管理</w:t>
            </w:r>
          </w:p>
        </w:tc>
      </w:tr>
      <w:tr>
        <w:tc>
          <w:tcPr>
            <w:tcW w:type="dxa" w:w="2769"/>
          </w:tcPr>
          <w:p>
            <w:pPr>
              <w:pStyle w:val="null3"/>
            </w:pPr>
            <w:r>
              <w:rPr>
                <w:rFonts w:ascii="仿宋_GB2312" w:hAnsi="仿宋_GB2312" w:cs="仿宋_GB2312" w:eastAsia="仿宋_GB2312"/>
              </w:rPr>
              <w:t>177</w:t>
            </w:r>
          </w:p>
        </w:tc>
        <w:tc>
          <w:tcPr>
            <w:tcW w:type="dxa" w:w="2769"/>
          </w:tcPr>
          <w:p/>
        </w:tc>
        <w:tc>
          <w:tcPr>
            <w:tcW w:type="dxa" w:w="2769"/>
          </w:tcPr>
          <w:p>
            <w:pPr>
              <w:pStyle w:val="null3"/>
            </w:pPr>
            <w:r>
              <w:rPr>
                <w:rFonts w:ascii="仿宋_GB2312" w:hAnsi="仿宋_GB2312" w:cs="仿宋_GB2312" w:eastAsia="仿宋_GB2312"/>
                <w:sz w:val="21"/>
              </w:rPr>
              <w:t>自定义随访问卷及题目（按检测类型、风险等级差异化配置）。</w:t>
            </w:r>
          </w:p>
        </w:tc>
      </w:tr>
      <w:tr>
        <w:tc>
          <w:tcPr>
            <w:tcW w:type="dxa" w:w="2769"/>
          </w:tcPr>
          <w:p>
            <w:pPr>
              <w:pStyle w:val="null3"/>
            </w:pPr>
            <w:r>
              <w:rPr>
                <w:rFonts w:ascii="仿宋_GB2312" w:hAnsi="仿宋_GB2312" w:cs="仿宋_GB2312" w:eastAsia="仿宋_GB2312"/>
              </w:rPr>
              <w:t>178</w:t>
            </w:r>
          </w:p>
        </w:tc>
        <w:tc>
          <w:tcPr>
            <w:tcW w:type="dxa" w:w="2769"/>
          </w:tcPr>
          <w:p/>
        </w:tc>
        <w:tc>
          <w:tcPr>
            <w:tcW w:type="dxa" w:w="2769"/>
          </w:tcPr>
          <w:p>
            <w:pPr>
              <w:pStyle w:val="null3"/>
            </w:pPr>
            <w:r>
              <w:rPr>
                <w:rFonts w:ascii="仿宋_GB2312" w:hAnsi="仿宋_GB2312" w:cs="仿宋_GB2312" w:eastAsia="仿宋_GB2312"/>
                <w:sz w:val="21"/>
              </w:rPr>
              <w:t>随访结果管理，同步更新至对应孕妇档案。</w:t>
            </w:r>
          </w:p>
        </w:tc>
      </w:tr>
      <w:tr>
        <w:tc>
          <w:tcPr>
            <w:tcW w:type="dxa" w:w="2769"/>
          </w:tcPr>
          <w:p>
            <w:pPr>
              <w:pStyle w:val="null3"/>
            </w:pPr>
            <w:r>
              <w:rPr>
                <w:rFonts w:ascii="仿宋_GB2312" w:hAnsi="仿宋_GB2312" w:cs="仿宋_GB2312" w:eastAsia="仿宋_GB2312"/>
              </w:rPr>
              <w:t>179</w:t>
            </w:r>
          </w:p>
        </w:tc>
        <w:tc>
          <w:tcPr>
            <w:tcW w:type="dxa" w:w="2769"/>
          </w:tcPr>
          <w:p/>
        </w:tc>
        <w:tc>
          <w:tcPr>
            <w:tcW w:type="dxa" w:w="2769"/>
          </w:tcPr>
          <w:p>
            <w:pPr>
              <w:pStyle w:val="null3"/>
            </w:pPr>
            <w:r>
              <w:rPr>
                <w:rFonts w:ascii="仿宋_GB2312" w:hAnsi="仿宋_GB2312" w:cs="仿宋_GB2312" w:eastAsia="仿宋_GB2312"/>
                <w:sz w:val="21"/>
              </w:rPr>
              <w:t>新增随访任务，本院及下级医院可进行随访登记、归档、详情查看及强制编辑操作。</w:t>
            </w:r>
          </w:p>
        </w:tc>
      </w:tr>
      <w:tr>
        <w:tc>
          <w:tcPr>
            <w:tcW w:type="dxa" w:w="2769"/>
          </w:tcPr>
          <w:p>
            <w:pPr>
              <w:pStyle w:val="null3"/>
            </w:pPr>
            <w:r>
              <w:rPr>
                <w:rFonts w:ascii="仿宋_GB2312" w:hAnsi="仿宋_GB2312" w:cs="仿宋_GB2312" w:eastAsia="仿宋_GB2312"/>
              </w:rPr>
              <w:t>180</w:t>
            </w:r>
          </w:p>
        </w:tc>
        <w:tc>
          <w:tcPr>
            <w:tcW w:type="dxa" w:w="2769"/>
          </w:tcP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、数据统计与数据报表</w:t>
            </w:r>
          </w:p>
        </w:tc>
      </w:tr>
      <w:tr>
        <w:tc>
          <w:tcPr>
            <w:tcW w:type="dxa" w:w="2769"/>
          </w:tcPr>
          <w:p>
            <w:pPr>
              <w:pStyle w:val="null3"/>
            </w:pPr>
            <w:r>
              <w:rPr>
                <w:rFonts w:ascii="仿宋_GB2312" w:hAnsi="仿宋_GB2312" w:cs="仿宋_GB2312" w:eastAsia="仿宋_GB2312"/>
              </w:rPr>
              <w:t>181</w:t>
            </w:r>
          </w:p>
        </w:tc>
        <w:tc>
          <w:tcPr>
            <w:tcW w:type="dxa" w:w="2769"/>
          </w:tcPr>
          <w:p/>
        </w:tc>
        <w:tc>
          <w:tcPr>
            <w:tcW w:type="dxa" w:w="2769"/>
          </w:tcPr>
          <w:p>
            <w:pPr>
              <w:pStyle w:val="null3"/>
            </w:pPr>
            <w:r>
              <w:rPr>
                <w:rFonts w:ascii="仿宋_GB2312" w:hAnsi="仿宋_GB2312" w:cs="仿宋_GB2312" w:eastAsia="仿宋_GB2312"/>
                <w:sz w:val="21"/>
              </w:rPr>
              <w:t>具备多维度统计与分析（档案统计、检测统计、质控统计等）。</w:t>
            </w:r>
          </w:p>
        </w:tc>
      </w:tr>
      <w:tr>
        <w:tc>
          <w:tcPr>
            <w:tcW w:type="dxa" w:w="2769"/>
          </w:tcPr>
          <w:p>
            <w:pPr>
              <w:pStyle w:val="null3"/>
            </w:pPr>
            <w:r>
              <w:rPr>
                <w:rFonts w:ascii="仿宋_GB2312" w:hAnsi="仿宋_GB2312" w:cs="仿宋_GB2312" w:eastAsia="仿宋_GB2312"/>
              </w:rPr>
              <w:t>182</w:t>
            </w:r>
          </w:p>
        </w:tc>
        <w:tc>
          <w:tcPr>
            <w:tcW w:type="dxa" w:w="2769"/>
          </w:tcPr>
          <w:p/>
        </w:tc>
        <w:tc>
          <w:tcPr>
            <w:tcW w:type="dxa" w:w="2769"/>
          </w:tcPr>
          <w:p>
            <w:pPr>
              <w:pStyle w:val="null3"/>
            </w:pPr>
            <w:r>
              <w:rPr>
                <w:rFonts w:ascii="仿宋_GB2312" w:hAnsi="仿宋_GB2312" w:cs="仿宋_GB2312" w:eastAsia="仿宋_GB2312"/>
                <w:sz w:val="21"/>
              </w:rPr>
              <w:t>具备孕妇档案、NIPT（无创产前基因检测）、NIPT-plus（无创产前基因检测升级版）、CNV（拷贝数变异）、核型、CMA（染色体微阵列分析）、FISH（荧光原位杂交技术）、血清学筛查数据的多维度查询与筛选。</w:t>
            </w:r>
          </w:p>
        </w:tc>
      </w:tr>
      <w:tr>
        <w:tc>
          <w:tcPr>
            <w:tcW w:type="dxa" w:w="2769"/>
          </w:tcPr>
          <w:p>
            <w:pPr>
              <w:pStyle w:val="null3"/>
            </w:pPr>
            <w:r>
              <w:rPr>
                <w:rFonts w:ascii="仿宋_GB2312" w:hAnsi="仿宋_GB2312" w:cs="仿宋_GB2312" w:eastAsia="仿宋_GB2312"/>
              </w:rPr>
              <w:t>183</w:t>
            </w:r>
          </w:p>
        </w:tc>
        <w:tc>
          <w:tcPr>
            <w:tcW w:type="dxa" w:w="2769"/>
          </w:tcPr>
          <w:p/>
        </w:tc>
        <w:tc>
          <w:tcPr>
            <w:tcW w:type="dxa" w:w="2769"/>
          </w:tcPr>
          <w:p>
            <w:pPr>
              <w:pStyle w:val="null3"/>
            </w:pPr>
            <w:r>
              <w:rPr>
                <w:rFonts w:ascii="仿宋_GB2312" w:hAnsi="仿宋_GB2312" w:cs="仿宋_GB2312" w:eastAsia="仿宋_GB2312"/>
                <w:sz w:val="21"/>
              </w:rPr>
              <w:t>7</w:t>
            </w:r>
            <w:r>
              <w:rPr>
                <w:rFonts w:ascii="仿宋_GB2312" w:hAnsi="仿宋_GB2312" w:cs="仿宋_GB2312" w:eastAsia="仿宋_GB2312"/>
                <w:sz w:val="21"/>
              </w:rPr>
              <w:t>、政策宣教管理</w:t>
            </w:r>
          </w:p>
        </w:tc>
      </w:tr>
      <w:tr>
        <w:tc>
          <w:tcPr>
            <w:tcW w:type="dxa" w:w="2769"/>
          </w:tcPr>
          <w:p>
            <w:pPr>
              <w:pStyle w:val="null3"/>
            </w:pPr>
            <w:r>
              <w:rPr>
                <w:rFonts w:ascii="仿宋_GB2312" w:hAnsi="仿宋_GB2312" w:cs="仿宋_GB2312" w:eastAsia="仿宋_GB2312"/>
              </w:rPr>
              <w:t>184</w:t>
            </w:r>
          </w:p>
        </w:tc>
        <w:tc>
          <w:tcPr>
            <w:tcW w:type="dxa" w:w="2769"/>
          </w:tcPr>
          <w:p/>
        </w:tc>
        <w:tc>
          <w:tcPr>
            <w:tcW w:type="dxa" w:w="2769"/>
          </w:tcPr>
          <w:p>
            <w:pPr>
              <w:pStyle w:val="null3"/>
            </w:pPr>
            <w:r>
              <w:rPr>
                <w:rFonts w:ascii="仿宋_GB2312" w:hAnsi="仿宋_GB2312" w:cs="仿宋_GB2312" w:eastAsia="仿宋_GB2312"/>
                <w:sz w:val="21"/>
              </w:rPr>
              <w:t>具备后台上传产前诊断流程、检测注意事项等宣教素材，并可搭配说明文本与图片。</w:t>
            </w:r>
          </w:p>
        </w:tc>
      </w:tr>
      <w:tr>
        <w:tc>
          <w:tcPr>
            <w:tcW w:type="dxa" w:w="2769"/>
          </w:tcPr>
          <w:p>
            <w:pPr>
              <w:pStyle w:val="null3"/>
            </w:pPr>
            <w:r>
              <w:rPr>
                <w:rFonts w:ascii="仿宋_GB2312" w:hAnsi="仿宋_GB2312" w:cs="仿宋_GB2312" w:eastAsia="仿宋_GB2312"/>
              </w:rPr>
              <w:t>185</w:t>
            </w:r>
          </w:p>
        </w:tc>
        <w:tc>
          <w:tcPr>
            <w:tcW w:type="dxa" w:w="2769"/>
          </w:tcPr>
          <w:p/>
        </w:tc>
        <w:tc>
          <w:tcPr>
            <w:tcW w:type="dxa" w:w="2769"/>
          </w:tcPr>
          <w:p>
            <w:pPr>
              <w:pStyle w:val="null3"/>
            </w:pPr>
            <w:r>
              <w:rPr>
                <w:rFonts w:ascii="仿宋_GB2312" w:hAnsi="仿宋_GB2312" w:cs="仿宋_GB2312" w:eastAsia="仿宋_GB2312"/>
                <w:sz w:val="21"/>
              </w:rPr>
              <w:t>宣教内容可新增、编辑、更新，确保前端呈现的精准性与时效性。</w:t>
            </w:r>
          </w:p>
        </w:tc>
      </w:tr>
      <w:tr>
        <w:tc>
          <w:tcPr>
            <w:tcW w:type="dxa" w:w="2769"/>
          </w:tcPr>
          <w:p>
            <w:pPr>
              <w:pStyle w:val="null3"/>
            </w:pPr>
            <w:r>
              <w:rPr>
                <w:rFonts w:ascii="仿宋_GB2312" w:hAnsi="仿宋_GB2312" w:cs="仿宋_GB2312" w:eastAsia="仿宋_GB2312"/>
              </w:rPr>
              <w:t>186</w:t>
            </w:r>
          </w:p>
        </w:tc>
        <w:tc>
          <w:tcPr>
            <w:tcW w:type="dxa" w:w="2769"/>
          </w:tcPr>
          <w:p/>
        </w:tc>
        <w:tc>
          <w:tcPr>
            <w:tcW w:type="dxa" w:w="2769"/>
          </w:tcPr>
          <w:p>
            <w:pPr>
              <w:pStyle w:val="null3"/>
            </w:pPr>
            <w:r>
              <w:rPr>
                <w:rFonts w:ascii="仿宋_GB2312" w:hAnsi="仿宋_GB2312" w:cs="仿宋_GB2312" w:eastAsia="仿宋_GB2312"/>
                <w:sz w:val="21"/>
              </w:rPr>
              <w:t>8</w:t>
            </w:r>
            <w:r>
              <w:rPr>
                <w:rFonts w:ascii="仿宋_GB2312" w:hAnsi="仿宋_GB2312" w:cs="仿宋_GB2312" w:eastAsia="仿宋_GB2312"/>
                <w:sz w:val="21"/>
              </w:rPr>
              <w:t>、系统管理</w:t>
            </w:r>
          </w:p>
        </w:tc>
      </w:tr>
      <w:tr>
        <w:tc>
          <w:tcPr>
            <w:tcW w:type="dxa" w:w="2769"/>
          </w:tcPr>
          <w:p>
            <w:pPr>
              <w:pStyle w:val="null3"/>
            </w:pPr>
            <w:r>
              <w:rPr>
                <w:rFonts w:ascii="仿宋_GB2312" w:hAnsi="仿宋_GB2312" w:cs="仿宋_GB2312" w:eastAsia="仿宋_GB2312"/>
              </w:rPr>
              <w:t>187</w:t>
            </w:r>
          </w:p>
        </w:tc>
        <w:tc>
          <w:tcPr>
            <w:tcW w:type="dxa" w:w="2769"/>
          </w:tcPr>
          <w:p/>
        </w:tc>
        <w:tc>
          <w:tcPr>
            <w:tcW w:type="dxa" w:w="2769"/>
          </w:tcPr>
          <w:p>
            <w:pPr>
              <w:pStyle w:val="null3"/>
            </w:pPr>
            <w:r>
              <w:rPr>
                <w:rFonts w:ascii="仿宋_GB2312" w:hAnsi="仿宋_GB2312" w:cs="仿宋_GB2312" w:eastAsia="仿宋_GB2312"/>
                <w:sz w:val="21"/>
              </w:rPr>
              <w:t>系统角色创建与维护，可指定分级角色配置的菜单及功能按钮。</w:t>
            </w:r>
          </w:p>
        </w:tc>
      </w:tr>
      <w:tr>
        <w:tc>
          <w:tcPr>
            <w:tcW w:type="dxa" w:w="2769"/>
          </w:tcPr>
          <w:p>
            <w:pPr>
              <w:pStyle w:val="null3"/>
            </w:pPr>
            <w:r>
              <w:rPr>
                <w:rFonts w:ascii="仿宋_GB2312" w:hAnsi="仿宋_GB2312" w:cs="仿宋_GB2312" w:eastAsia="仿宋_GB2312"/>
              </w:rPr>
              <w:t>188</w:t>
            </w:r>
          </w:p>
        </w:tc>
        <w:tc>
          <w:tcPr>
            <w:tcW w:type="dxa" w:w="2769"/>
          </w:tcPr>
          <w:p/>
        </w:tc>
        <w:tc>
          <w:tcPr>
            <w:tcW w:type="dxa" w:w="2769"/>
          </w:tcPr>
          <w:p>
            <w:pPr>
              <w:pStyle w:val="null3"/>
            </w:pPr>
            <w:r>
              <w:rPr>
                <w:rFonts w:ascii="仿宋_GB2312" w:hAnsi="仿宋_GB2312" w:cs="仿宋_GB2312" w:eastAsia="仿宋_GB2312"/>
                <w:sz w:val="21"/>
              </w:rPr>
              <w:t>具备对下级医院的添加、编辑、删除及查看操作。</w:t>
            </w:r>
          </w:p>
        </w:tc>
      </w:tr>
      <w:tr>
        <w:tc>
          <w:tcPr>
            <w:tcW w:type="dxa" w:w="2769"/>
          </w:tcPr>
          <w:p>
            <w:pPr>
              <w:pStyle w:val="null3"/>
            </w:pPr>
            <w:r>
              <w:rPr>
                <w:rFonts w:ascii="仿宋_GB2312" w:hAnsi="仿宋_GB2312" w:cs="仿宋_GB2312" w:eastAsia="仿宋_GB2312"/>
              </w:rPr>
              <w:t>189</w:t>
            </w:r>
          </w:p>
        </w:tc>
        <w:tc>
          <w:tcPr>
            <w:tcW w:type="dxa" w:w="2769"/>
          </w:tcPr>
          <w:p/>
        </w:tc>
        <w:tc>
          <w:tcPr>
            <w:tcW w:type="dxa" w:w="2769"/>
          </w:tcPr>
          <w:p>
            <w:pPr>
              <w:pStyle w:val="null3"/>
            </w:pPr>
            <w:r>
              <w:rPr>
                <w:rFonts w:ascii="仿宋_GB2312" w:hAnsi="仿宋_GB2312" w:cs="仿宋_GB2312" w:eastAsia="仿宋_GB2312"/>
                <w:sz w:val="21"/>
              </w:rPr>
              <w:t>（二）医联体下级医院管理</w:t>
            </w:r>
          </w:p>
        </w:tc>
      </w:tr>
      <w:tr>
        <w:tc>
          <w:tcPr>
            <w:tcW w:type="dxa" w:w="2769"/>
          </w:tcPr>
          <w:p>
            <w:pPr>
              <w:pStyle w:val="null3"/>
            </w:pPr>
            <w:r>
              <w:rPr>
                <w:rFonts w:ascii="仿宋_GB2312" w:hAnsi="仿宋_GB2312" w:cs="仿宋_GB2312" w:eastAsia="仿宋_GB2312"/>
              </w:rPr>
              <w:t>190</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、孕妇信息审核与建档</w:t>
            </w:r>
          </w:p>
        </w:tc>
      </w:tr>
      <w:tr>
        <w:tc>
          <w:tcPr>
            <w:tcW w:type="dxa" w:w="2769"/>
          </w:tcPr>
          <w:p>
            <w:pPr>
              <w:pStyle w:val="null3"/>
            </w:pPr>
            <w:r>
              <w:rPr>
                <w:rFonts w:ascii="仿宋_GB2312" w:hAnsi="仿宋_GB2312" w:cs="仿宋_GB2312" w:eastAsia="仿宋_GB2312"/>
              </w:rPr>
              <w:t>191</w:t>
            </w:r>
          </w:p>
        </w:tc>
        <w:tc>
          <w:tcPr>
            <w:tcW w:type="dxa" w:w="2769"/>
          </w:tcPr>
          <w:p/>
        </w:tc>
        <w:tc>
          <w:tcPr>
            <w:tcW w:type="dxa" w:w="2769"/>
          </w:tcPr>
          <w:p>
            <w:pPr>
              <w:pStyle w:val="null3"/>
            </w:pPr>
            <w:r>
              <w:rPr>
                <w:rFonts w:ascii="仿宋_GB2312" w:hAnsi="仿宋_GB2312" w:cs="仿宋_GB2312" w:eastAsia="仿宋_GB2312"/>
                <w:sz w:val="21"/>
              </w:rPr>
              <w:t>孕妇档案信息管理（孕周、家属信息、孕产史、妊娠情况等）。</w:t>
            </w:r>
          </w:p>
        </w:tc>
      </w:tr>
      <w:tr>
        <w:tc>
          <w:tcPr>
            <w:tcW w:type="dxa" w:w="2769"/>
          </w:tcPr>
          <w:p>
            <w:pPr>
              <w:pStyle w:val="null3"/>
            </w:pPr>
            <w:r>
              <w:rPr>
                <w:rFonts w:ascii="仿宋_GB2312" w:hAnsi="仿宋_GB2312" w:cs="仿宋_GB2312" w:eastAsia="仿宋_GB2312"/>
              </w:rPr>
              <w:t>192</w:t>
            </w:r>
          </w:p>
        </w:tc>
        <w:tc>
          <w:tcPr>
            <w:tcW w:type="dxa" w:w="2769"/>
          </w:tcPr>
          <w:p/>
        </w:tc>
        <w:tc>
          <w:tcPr>
            <w:tcW w:type="dxa" w:w="2769"/>
          </w:tcPr>
          <w:p>
            <w:pPr>
              <w:pStyle w:val="null3"/>
            </w:pPr>
            <w:r>
              <w:rPr>
                <w:rFonts w:ascii="仿宋_GB2312" w:hAnsi="仿宋_GB2312" w:cs="仿宋_GB2312" w:eastAsia="仿宋_GB2312"/>
                <w:sz w:val="21"/>
              </w:rPr>
              <w:t>审核孕妇提交的基础信息与临床信息（姓名、年龄、孕周、孕产史等）。</w:t>
            </w:r>
          </w:p>
        </w:tc>
      </w:tr>
      <w:tr>
        <w:tc>
          <w:tcPr>
            <w:tcW w:type="dxa" w:w="2769"/>
          </w:tcPr>
          <w:p>
            <w:pPr>
              <w:pStyle w:val="null3"/>
            </w:pPr>
            <w:r>
              <w:rPr>
                <w:rFonts w:ascii="仿宋_GB2312" w:hAnsi="仿宋_GB2312" w:cs="仿宋_GB2312" w:eastAsia="仿宋_GB2312"/>
              </w:rPr>
              <w:t>193</w:t>
            </w:r>
          </w:p>
        </w:tc>
        <w:tc>
          <w:tcPr>
            <w:tcW w:type="dxa" w:w="2769"/>
          </w:tcPr>
          <w:p/>
        </w:tc>
        <w:tc>
          <w:tcPr>
            <w:tcW w:type="dxa" w:w="2769"/>
          </w:tcPr>
          <w:p>
            <w:pPr>
              <w:pStyle w:val="null3"/>
            </w:pPr>
            <w:r>
              <w:rPr>
                <w:rFonts w:ascii="仿宋_GB2312" w:hAnsi="仿宋_GB2312" w:cs="仿宋_GB2312" w:eastAsia="仿宋_GB2312"/>
                <w:sz w:val="21"/>
              </w:rPr>
              <w:t>信息审核通过后自动生成孕妇基本信息和档案信息。</w:t>
            </w:r>
          </w:p>
        </w:tc>
      </w:tr>
      <w:tr>
        <w:tc>
          <w:tcPr>
            <w:tcW w:type="dxa" w:w="2769"/>
          </w:tcPr>
          <w:p>
            <w:pPr>
              <w:pStyle w:val="null3"/>
            </w:pPr>
            <w:r>
              <w:rPr>
                <w:rFonts w:ascii="仿宋_GB2312" w:hAnsi="仿宋_GB2312" w:cs="仿宋_GB2312" w:eastAsia="仿宋_GB2312"/>
              </w:rPr>
              <w:t>194</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、样本管理</w:t>
            </w:r>
          </w:p>
        </w:tc>
      </w:tr>
      <w:tr>
        <w:tc>
          <w:tcPr>
            <w:tcW w:type="dxa" w:w="2769"/>
          </w:tcPr>
          <w:p>
            <w:pPr>
              <w:pStyle w:val="null3"/>
            </w:pPr>
            <w:r>
              <w:rPr>
                <w:rFonts w:ascii="仿宋_GB2312" w:hAnsi="仿宋_GB2312" w:cs="仿宋_GB2312" w:eastAsia="仿宋_GB2312"/>
              </w:rPr>
              <w:t>195</w:t>
            </w:r>
          </w:p>
        </w:tc>
        <w:tc>
          <w:tcPr>
            <w:tcW w:type="dxa" w:w="2769"/>
          </w:tcPr>
          <w:p/>
        </w:tc>
        <w:tc>
          <w:tcPr>
            <w:tcW w:type="dxa" w:w="2769"/>
          </w:tcPr>
          <w:p>
            <w:pPr>
              <w:pStyle w:val="null3"/>
            </w:pPr>
            <w:r>
              <w:rPr>
                <w:rFonts w:ascii="仿宋_GB2312" w:hAnsi="仿宋_GB2312" w:cs="仿宋_GB2312" w:eastAsia="仿宋_GB2312"/>
                <w:sz w:val="21"/>
              </w:rPr>
              <w:t>对本院样本可进行新增、编辑、删除、提交、标记异常等操作，对异常样本进行重采、重新保存、通知、归档及详情查看操作。</w:t>
            </w:r>
          </w:p>
        </w:tc>
      </w:tr>
      <w:tr>
        <w:tc>
          <w:tcPr>
            <w:tcW w:type="dxa" w:w="2769"/>
          </w:tcPr>
          <w:p>
            <w:pPr>
              <w:pStyle w:val="null3"/>
            </w:pPr>
            <w:r>
              <w:rPr>
                <w:rFonts w:ascii="仿宋_GB2312" w:hAnsi="仿宋_GB2312" w:cs="仿宋_GB2312" w:eastAsia="仿宋_GB2312"/>
              </w:rPr>
              <w:t>196</w:t>
            </w:r>
          </w:p>
        </w:tc>
        <w:tc>
          <w:tcPr>
            <w:tcW w:type="dxa" w:w="2769"/>
          </w:tcPr>
          <w:p/>
        </w:tc>
        <w:tc>
          <w:tcPr>
            <w:tcW w:type="dxa" w:w="2769"/>
          </w:tcPr>
          <w:p>
            <w:pPr>
              <w:pStyle w:val="null3"/>
            </w:pPr>
            <w:r>
              <w:rPr>
                <w:rFonts w:ascii="仿宋_GB2312" w:hAnsi="仿宋_GB2312" w:cs="仿宋_GB2312" w:eastAsia="仿宋_GB2312"/>
                <w:sz w:val="21"/>
              </w:rPr>
              <w:t>物流管理，包括虚拟包裹的新增、编辑、删除、递送及详情查看，完成样本向核心医院的递送操作。</w:t>
            </w:r>
          </w:p>
        </w:tc>
      </w:tr>
      <w:tr>
        <w:tc>
          <w:tcPr>
            <w:tcW w:type="dxa" w:w="2769"/>
          </w:tcPr>
          <w:p>
            <w:pPr>
              <w:pStyle w:val="null3"/>
            </w:pPr>
            <w:r>
              <w:rPr>
                <w:rFonts w:ascii="仿宋_GB2312" w:hAnsi="仿宋_GB2312" w:cs="仿宋_GB2312" w:eastAsia="仿宋_GB2312"/>
              </w:rPr>
              <w:t>197</w:t>
            </w:r>
          </w:p>
        </w:tc>
        <w:tc>
          <w:tcPr>
            <w:tcW w:type="dxa" w:w="2769"/>
          </w:tcPr>
          <w:p/>
        </w:tc>
        <w:tc>
          <w:tcPr>
            <w:tcW w:type="dxa" w:w="2769"/>
          </w:tcPr>
          <w:p>
            <w:pPr>
              <w:pStyle w:val="null3"/>
            </w:pPr>
            <w:r>
              <w:rPr>
                <w:rFonts w:ascii="仿宋_GB2312" w:hAnsi="仿宋_GB2312" w:cs="仿宋_GB2312" w:eastAsia="仿宋_GB2312"/>
                <w:sz w:val="21"/>
              </w:rPr>
              <w:t>实时追踪样本节点进度、检验数据及检验报告，实现数据导出。</w:t>
            </w:r>
          </w:p>
        </w:tc>
      </w:tr>
      <w:tr>
        <w:tc>
          <w:tcPr>
            <w:tcW w:type="dxa" w:w="2769"/>
          </w:tcPr>
          <w:p>
            <w:pPr>
              <w:pStyle w:val="null3"/>
            </w:pPr>
            <w:r>
              <w:rPr>
                <w:rFonts w:ascii="仿宋_GB2312" w:hAnsi="仿宋_GB2312" w:cs="仿宋_GB2312" w:eastAsia="仿宋_GB2312"/>
              </w:rPr>
              <w:t>198</w:t>
            </w:r>
          </w:p>
        </w:tc>
        <w:tc>
          <w:tcPr>
            <w:tcW w:type="dxa" w:w="2769"/>
          </w:tcPr>
          <w:p/>
        </w:tc>
        <w:tc>
          <w:tcPr>
            <w:tcW w:type="dxa" w:w="2769"/>
          </w:tcPr>
          <w:p>
            <w:pPr>
              <w:pStyle w:val="null3"/>
            </w:pPr>
            <w:r>
              <w:rPr>
                <w:rFonts w:ascii="仿宋_GB2312" w:hAnsi="仿宋_GB2312" w:cs="仿宋_GB2312" w:eastAsia="仿宋_GB2312"/>
                <w:sz w:val="21"/>
              </w:rPr>
              <w:t>（三）孕妇信息录入管理</w:t>
            </w:r>
          </w:p>
        </w:tc>
      </w:tr>
      <w:tr>
        <w:tc>
          <w:tcPr>
            <w:tcW w:type="dxa" w:w="2769"/>
          </w:tcPr>
          <w:p>
            <w:pPr>
              <w:pStyle w:val="null3"/>
            </w:pPr>
            <w:r>
              <w:rPr>
                <w:rFonts w:ascii="仿宋_GB2312" w:hAnsi="仿宋_GB2312" w:cs="仿宋_GB2312" w:eastAsia="仿宋_GB2312"/>
              </w:rPr>
              <w:t>199</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、基础信息录入</w:t>
            </w:r>
          </w:p>
        </w:tc>
      </w:tr>
      <w:tr>
        <w:tc>
          <w:tcPr>
            <w:tcW w:type="dxa" w:w="2769"/>
          </w:tcPr>
          <w:p>
            <w:pPr>
              <w:pStyle w:val="null3"/>
            </w:pPr>
            <w:r>
              <w:rPr>
                <w:rFonts w:ascii="仿宋_GB2312" w:hAnsi="仿宋_GB2312" w:cs="仿宋_GB2312" w:eastAsia="仿宋_GB2312"/>
              </w:rPr>
              <w:t>200</w:t>
            </w:r>
          </w:p>
        </w:tc>
        <w:tc>
          <w:tcPr>
            <w:tcW w:type="dxa" w:w="2769"/>
          </w:tcPr>
          <w:p/>
        </w:tc>
        <w:tc>
          <w:tcPr>
            <w:tcW w:type="dxa" w:w="2769"/>
          </w:tcPr>
          <w:p>
            <w:pPr>
              <w:pStyle w:val="null3"/>
            </w:pPr>
            <w:r>
              <w:rPr>
                <w:rFonts w:ascii="仿宋_GB2312" w:hAnsi="仿宋_GB2312" w:cs="仿宋_GB2312" w:eastAsia="仿宋_GB2312"/>
                <w:sz w:val="21"/>
              </w:rPr>
              <w:t>孕妇通过移动端扫码即可录入姓名、年龄、手机号、证件号等关键信息并在线提交；院端管理人员可对提交信息进行审核。</w:t>
            </w:r>
          </w:p>
        </w:tc>
      </w:tr>
      <w:tr>
        <w:tc>
          <w:tcPr>
            <w:tcW w:type="dxa" w:w="2769"/>
          </w:tcPr>
          <w:p>
            <w:pPr>
              <w:pStyle w:val="null3"/>
            </w:pPr>
            <w:r>
              <w:rPr>
                <w:rFonts w:ascii="仿宋_GB2312" w:hAnsi="仿宋_GB2312" w:cs="仿宋_GB2312" w:eastAsia="仿宋_GB2312"/>
              </w:rPr>
              <w:t>201</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、报告查询与预览</w:t>
            </w:r>
          </w:p>
        </w:tc>
      </w:tr>
      <w:tr>
        <w:tc>
          <w:tcPr>
            <w:tcW w:type="dxa" w:w="2769"/>
          </w:tcPr>
          <w:p>
            <w:pPr>
              <w:pStyle w:val="null3"/>
            </w:pPr>
            <w:r>
              <w:rPr>
                <w:rFonts w:ascii="仿宋_GB2312" w:hAnsi="仿宋_GB2312" w:cs="仿宋_GB2312" w:eastAsia="仿宋_GB2312"/>
              </w:rPr>
              <w:t>202</w:t>
            </w:r>
          </w:p>
        </w:tc>
        <w:tc>
          <w:tcPr>
            <w:tcW w:type="dxa" w:w="2769"/>
          </w:tcPr>
          <w:p/>
        </w:tc>
        <w:tc>
          <w:tcPr>
            <w:tcW w:type="dxa" w:w="2769"/>
          </w:tcPr>
          <w:p>
            <w:pPr>
              <w:pStyle w:val="null3"/>
            </w:pPr>
            <w:r>
              <w:rPr>
                <w:rFonts w:ascii="仿宋_GB2312" w:hAnsi="仿宋_GB2312" w:cs="仿宋_GB2312" w:eastAsia="仿宋_GB2312"/>
                <w:sz w:val="21"/>
              </w:rPr>
              <w:t>具备通过手机扫码查询电子报告功能，扫码后需强制完成身份绑定（如输入孕妇姓名、身份证号或预留手机号等方式进行实名认证），确保查询者身份与孕妇档案精准匹配，防止信息泄露；身份验证通过后，系统应自动关联并展示由核心医院审核通过并正式发放的电子版检测报告（如NIPT、血清学筛查、核型分析等）。</w:t>
            </w:r>
          </w:p>
        </w:tc>
      </w:tr>
      <w:tr>
        <w:tc>
          <w:tcPr>
            <w:tcW w:type="dxa" w:w="2769"/>
          </w:tcPr>
          <w:p>
            <w:pPr>
              <w:pStyle w:val="null3"/>
            </w:pPr>
            <w:r>
              <w:rPr>
                <w:rFonts w:ascii="仿宋_GB2312" w:hAnsi="仿宋_GB2312" w:cs="仿宋_GB2312" w:eastAsia="仿宋_GB2312"/>
              </w:rPr>
              <w:t>203</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、政策宣教查看</w:t>
            </w:r>
          </w:p>
        </w:tc>
      </w:tr>
      <w:tr>
        <w:tc>
          <w:tcPr>
            <w:tcW w:type="dxa" w:w="2769"/>
          </w:tcPr>
          <w:p>
            <w:pPr>
              <w:pStyle w:val="null3"/>
            </w:pPr>
            <w:r>
              <w:rPr>
                <w:rFonts w:ascii="仿宋_GB2312" w:hAnsi="仿宋_GB2312" w:cs="仿宋_GB2312" w:eastAsia="仿宋_GB2312"/>
              </w:rPr>
              <w:t>204</w:t>
            </w:r>
          </w:p>
        </w:tc>
        <w:tc>
          <w:tcPr>
            <w:tcW w:type="dxa" w:w="2769"/>
          </w:tcPr>
          <w:p/>
        </w:tc>
        <w:tc>
          <w:tcPr>
            <w:tcW w:type="dxa" w:w="2769"/>
          </w:tcPr>
          <w:p>
            <w:pPr>
              <w:pStyle w:val="null3"/>
            </w:pPr>
            <w:r>
              <w:rPr>
                <w:rFonts w:ascii="仿宋_GB2312" w:hAnsi="仿宋_GB2312" w:cs="仿宋_GB2312" w:eastAsia="仿宋_GB2312"/>
                <w:sz w:val="21"/>
              </w:rPr>
              <w:t>孕妇可通过移动端访问政策宣传，查看产前诊断流程、检测注意事项等可视化宣教内容。</w:t>
            </w:r>
          </w:p>
        </w:tc>
      </w:tr>
      <w:tr>
        <w:tc>
          <w:tcPr>
            <w:tcW w:type="dxa" w:w="2769"/>
          </w:tcPr>
          <w:p>
            <w:pPr>
              <w:pStyle w:val="null3"/>
            </w:pPr>
            <w:r>
              <w:rPr>
                <w:rFonts w:ascii="仿宋_GB2312" w:hAnsi="仿宋_GB2312" w:cs="仿宋_GB2312" w:eastAsia="仿宋_GB2312"/>
              </w:rPr>
              <w:t>205</w:t>
            </w:r>
          </w:p>
        </w:tc>
        <w:tc>
          <w:tcPr>
            <w:tcW w:type="dxa" w:w="2769"/>
          </w:tcPr>
          <w:p/>
        </w:tc>
        <w:tc>
          <w:tcPr>
            <w:tcW w:type="dxa" w:w="2769"/>
          </w:tcPr>
          <w:p>
            <w:pPr>
              <w:pStyle w:val="null3"/>
            </w:pPr>
            <w:r>
              <w:rPr>
                <w:rFonts w:ascii="仿宋_GB2312" w:hAnsi="仿宋_GB2312" w:cs="仿宋_GB2312" w:eastAsia="仿宋_GB2312"/>
                <w:sz w:val="21"/>
              </w:rPr>
              <w:t>（四）系统对接</w:t>
            </w:r>
          </w:p>
        </w:tc>
      </w:tr>
      <w:tr>
        <w:tc>
          <w:tcPr>
            <w:tcW w:type="dxa" w:w="2769"/>
          </w:tcPr>
          <w:p>
            <w:pPr>
              <w:pStyle w:val="null3"/>
            </w:pPr>
            <w:r>
              <w:rPr>
                <w:rFonts w:ascii="仿宋_GB2312" w:hAnsi="仿宋_GB2312" w:cs="仿宋_GB2312" w:eastAsia="仿宋_GB2312"/>
              </w:rPr>
              <w:t>206</w:t>
            </w:r>
          </w:p>
        </w:tc>
        <w:tc>
          <w:tcPr>
            <w:tcW w:type="dxa" w:w="2769"/>
          </w:tcPr>
          <w:p/>
        </w:tc>
        <w:tc>
          <w:tcPr>
            <w:tcW w:type="dxa" w:w="2769"/>
          </w:tcPr>
          <w:p>
            <w:pPr>
              <w:pStyle w:val="null3"/>
            </w:pPr>
            <w:r>
              <w:rPr>
                <w:rFonts w:ascii="仿宋_GB2312" w:hAnsi="仿宋_GB2312" w:cs="仿宋_GB2312" w:eastAsia="仿宋_GB2312"/>
                <w:sz w:val="21"/>
              </w:rPr>
              <w:t>实现与院方HIS、EMR、LIS、PACS、CA、产前筛诊信息管理系统、集成平台等核心业务系统无缝对接，并能够实现样本信息、检测结果、质控信息，检测报告等数据获取，以支撑系统全链条管理与信息处理。</w:t>
            </w:r>
          </w:p>
        </w:tc>
      </w:tr>
      <w:tr>
        <w:tc>
          <w:tcPr>
            <w:tcW w:type="dxa" w:w="2769"/>
          </w:tcPr>
          <w:p>
            <w:pPr>
              <w:pStyle w:val="null3"/>
            </w:pPr>
            <w:r>
              <w:rPr>
                <w:rFonts w:ascii="仿宋_GB2312" w:hAnsi="仿宋_GB2312" w:cs="仿宋_GB2312" w:eastAsia="仿宋_GB2312"/>
              </w:rPr>
              <w:t>207</w:t>
            </w:r>
          </w:p>
        </w:tc>
        <w:tc>
          <w:tcPr>
            <w:tcW w:type="dxa" w:w="2769"/>
          </w:tcPr>
          <w:p/>
        </w:tc>
        <w:tc>
          <w:tcPr>
            <w:tcW w:type="dxa" w:w="2769"/>
          </w:tcPr>
          <w:p>
            <w:pPr>
              <w:pStyle w:val="null3"/>
            </w:pPr>
            <w:r>
              <w:rPr>
                <w:rFonts w:ascii="仿宋_GB2312" w:hAnsi="仿宋_GB2312" w:cs="仿宋_GB2312" w:eastAsia="仿宋_GB2312"/>
                <w:sz w:val="21"/>
              </w:rPr>
              <w:t>三：应用软硬一体机 1台</w:t>
            </w:r>
          </w:p>
        </w:tc>
      </w:tr>
      <w:tr>
        <w:tc>
          <w:tcPr>
            <w:tcW w:type="dxa" w:w="2769"/>
          </w:tcPr>
          <w:p>
            <w:pPr>
              <w:pStyle w:val="null3"/>
            </w:pPr>
            <w:r>
              <w:rPr>
                <w:rFonts w:ascii="仿宋_GB2312" w:hAnsi="仿宋_GB2312" w:cs="仿宋_GB2312" w:eastAsia="仿宋_GB2312"/>
              </w:rPr>
              <w:t>208</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配置≥2颗国产C86系列处理器，单颗主频≥2.4GHz，核数≥24核；</w:t>
            </w:r>
          </w:p>
        </w:tc>
      </w:tr>
      <w:tr>
        <w:tc>
          <w:tcPr>
            <w:tcW w:type="dxa" w:w="2769"/>
          </w:tcPr>
          <w:p>
            <w:pPr>
              <w:pStyle w:val="null3"/>
            </w:pPr>
            <w:r>
              <w:rPr>
                <w:rFonts w:ascii="仿宋_GB2312" w:hAnsi="仿宋_GB2312" w:cs="仿宋_GB2312" w:eastAsia="仿宋_GB2312"/>
              </w:rPr>
              <w:t>209</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配置≥8条32GB，DDR5内存;</w:t>
            </w:r>
          </w:p>
        </w:tc>
      </w:tr>
      <w:tr>
        <w:tc>
          <w:tcPr>
            <w:tcW w:type="dxa" w:w="2769"/>
          </w:tcPr>
          <w:p>
            <w:pPr>
              <w:pStyle w:val="null3"/>
            </w:pPr>
            <w:r>
              <w:rPr>
                <w:rFonts w:ascii="仿宋_GB2312" w:hAnsi="仿宋_GB2312" w:cs="仿宋_GB2312" w:eastAsia="仿宋_GB2312"/>
              </w:rPr>
              <w:t>210</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配置≥2块960G SSD硬盘，≥22×2.4TB SAS硬盘；</w:t>
            </w:r>
          </w:p>
        </w:tc>
      </w:tr>
      <w:tr>
        <w:tc>
          <w:tcPr>
            <w:tcW w:type="dxa" w:w="2769"/>
          </w:tcPr>
          <w:p>
            <w:pPr>
              <w:pStyle w:val="null3"/>
            </w:pPr>
            <w:r>
              <w:rPr>
                <w:rFonts w:ascii="仿宋_GB2312" w:hAnsi="仿宋_GB2312" w:cs="仿宋_GB2312" w:eastAsia="仿宋_GB2312"/>
              </w:rPr>
              <w:t>211</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配置独立RAID卡，12G SAS RAID卡，≥8个SAS端口，≥4GB缓存，PCIe接口；</w:t>
            </w:r>
          </w:p>
        </w:tc>
      </w:tr>
      <w:tr>
        <w:tc>
          <w:tcPr>
            <w:tcW w:type="dxa" w:w="2769"/>
          </w:tcPr>
          <w:p>
            <w:pPr>
              <w:pStyle w:val="null3"/>
            </w:pPr>
            <w:r>
              <w:rPr>
                <w:rFonts w:ascii="仿宋_GB2312" w:hAnsi="仿宋_GB2312" w:cs="仿宋_GB2312" w:eastAsia="仿宋_GB2312"/>
              </w:rPr>
              <w:t>212</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配置≥单块2端口万兆光纤网卡和光模块；</w:t>
            </w:r>
          </w:p>
        </w:tc>
      </w:tr>
      <w:tr>
        <w:tc>
          <w:tcPr>
            <w:tcW w:type="dxa" w:w="2769"/>
          </w:tcPr>
          <w:p>
            <w:pPr>
              <w:pStyle w:val="null3"/>
            </w:pPr>
            <w:r>
              <w:rPr>
                <w:rFonts w:ascii="仿宋_GB2312" w:hAnsi="仿宋_GB2312" w:cs="仿宋_GB2312" w:eastAsia="仿宋_GB2312"/>
              </w:rPr>
              <w:t>213</w:t>
            </w:r>
          </w:p>
        </w:tc>
        <w:tc>
          <w:tcPr>
            <w:tcW w:type="dxa" w:w="2769"/>
          </w:tcP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配置≥2块冗余热插拔电源，并提供配套的电源连接线</w:t>
            </w:r>
          </w:p>
        </w:tc>
      </w:tr>
      <w:tr>
        <w:tc>
          <w:tcPr>
            <w:tcW w:type="dxa" w:w="2769"/>
          </w:tcPr>
          <w:p>
            <w:pPr>
              <w:pStyle w:val="null3"/>
            </w:pPr>
            <w:r>
              <w:rPr>
                <w:rFonts w:ascii="仿宋_GB2312" w:hAnsi="仿宋_GB2312" w:cs="仿宋_GB2312" w:eastAsia="仿宋_GB2312"/>
              </w:rPr>
              <w:t>214</w:t>
            </w:r>
          </w:p>
        </w:tc>
        <w:tc>
          <w:tcPr>
            <w:tcW w:type="dxa" w:w="2769"/>
          </w:tcPr>
          <w:p/>
        </w:tc>
        <w:tc>
          <w:tcPr>
            <w:tcW w:type="dxa" w:w="2769"/>
          </w:tcPr>
          <w:p>
            <w:pPr>
              <w:pStyle w:val="null3"/>
            </w:pPr>
            <w:r>
              <w:rPr>
                <w:rFonts w:ascii="仿宋_GB2312" w:hAnsi="仿宋_GB2312" w:cs="仿宋_GB2312" w:eastAsia="仿宋_GB2312"/>
                <w:sz w:val="21"/>
              </w:rPr>
              <w:t>7.</w:t>
            </w:r>
            <w:r>
              <w:rPr>
                <w:rFonts w:ascii="仿宋_GB2312" w:hAnsi="仿宋_GB2312" w:cs="仿宋_GB2312" w:eastAsia="仿宋_GB2312"/>
                <w:sz w:val="21"/>
              </w:rPr>
              <w:t>由供应商提供符合本次建设要求的正版国产操作系统；</w:t>
            </w:r>
          </w:p>
        </w:tc>
      </w:tr>
      <w:tr>
        <w:tc>
          <w:tcPr>
            <w:tcW w:type="dxa" w:w="2769"/>
          </w:tcPr>
          <w:p>
            <w:pPr>
              <w:pStyle w:val="null3"/>
            </w:pPr>
            <w:r>
              <w:rPr>
                <w:rFonts w:ascii="仿宋_GB2312" w:hAnsi="仿宋_GB2312" w:cs="仿宋_GB2312" w:eastAsia="仿宋_GB2312"/>
              </w:rPr>
              <w:t>215</w:t>
            </w:r>
          </w:p>
        </w:tc>
        <w:tc>
          <w:tcPr>
            <w:tcW w:type="dxa" w:w="2769"/>
          </w:tcPr>
          <w:p/>
        </w:tc>
        <w:tc>
          <w:tcPr>
            <w:tcW w:type="dxa" w:w="2769"/>
          </w:tcPr>
          <w:p>
            <w:pPr>
              <w:pStyle w:val="null3"/>
            </w:pPr>
            <w:r>
              <w:rPr>
                <w:rFonts w:ascii="仿宋_GB2312" w:hAnsi="仿宋_GB2312" w:cs="仿宋_GB2312" w:eastAsia="仿宋_GB2312"/>
                <w:sz w:val="21"/>
              </w:rPr>
              <w:t>8.</w:t>
            </w:r>
            <w:r>
              <w:rPr>
                <w:rFonts w:ascii="仿宋_GB2312" w:hAnsi="仿宋_GB2312" w:cs="仿宋_GB2312" w:eastAsia="仿宋_GB2312"/>
                <w:sz w:val="21"/>
              </w:rPr>
              <w:t>由供应商提供符合标准的国产数据库，提供统一、安全、高性能的数据引擎，全面兼容主流国产化生态；</w:t>
            </w:r>
          </w:p>
        </w:tc>
      </w:tr>
      <w:tr>
        <w:tc>
          <w:tcPr>
            <w:tcW w:type="dxa" w:w="2769"/>
          </w:tcPr>
          <w:p>
            <w:pPr>
              <w:pStyle w:val="null3"/>
            </w:pPr>
            <w:r>
              <w:rPr>
                <w:rFonts w:ascii="仿宋_GB2312" w:hAnsi="仿宋_GB2312" w:cs="仿宋_GB2312" w:eastAsia="仿宋_GB2312"/>
              </w:rPr>
              <w:t>216</w:t>
            </w:r>
          </w:p>
        </w:tc>
        <w:tc>
          <w:tcPr>
            <w:tcW w:type="dxa" w:w="2769"/>
          </w:tcPr>
          <w:p/>
        </w:tc>
        <w:tc>
          <w:tcPr>
            <w:tcW w:type="dxa" w:w="2769"/>
          </w:tcPr>
          <w:p>
            <w:pPr>
              <w:pStyle w:val="null3"/>
            </w:pPr>
            <w:r>
              <w:rPr>
                <w:rFonts w:ascii="仿宋_GB2312" w:hAnsi="仿宋_GB2312" w:cs="仿宋_GB2312" w:eastAsia="仿宋_GB2312"/>
                <w:sz w:val="21"/>
              </w:rPr>
              <w:t>四：存储交换机 1台</w:t>
            </w:r>
          </w:p>
        </w:tc>
      </w:tr>
      <w:tr>
        <w:tc>
          <w:tcPr>
            <w:tcW w:type="dxa" w:w="2769"/>
          </w:tcPr>
          <w:p>
            <w:pPr>
              <w:pStyle w:val="null3"/>
            </w:pPr>
            <w:r>
              <w:rPr>
                <w:rFonts w:ascii="仿宋_GB2312" w:hAnsi="仿宋_GB2312" w:cs="仿宋_GB2312" w:eastAsia="仿宋_GB2312"/>
              </w:rPr>
              <w:t>217</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配置≥1台以太网交换机主机，端口规格为：24个SFP+万兆端口，2个QSFP+端口，并提供≥2个扩展槽；</w:t>
            </w:r>
          </w:p>
        </w:tc>
      </w:tr>
      <w:tr>
        <w:tc>
          <w:tcPr>
            <w:tcW w:type="dxa" w:w="2769"/>
          </w:tcPr>
          <w:p>
            <w:pPr>
              <w:pStyle w:val="null3"/>
            </w:pPr>
            <w:r>
              <w:rPr>
                <w:rFonts w:ascii="仿宋_GB2312" w:hAnsi="仿宋_GB2312" w:cs="仿宋_GB2312" w:eastAsia="仿宋_GB2312"/>
              </w:rPr>
              <w:t>218</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配置≥24个万兆SFP+光模块，LC接口；</w:t>
            </w:r>
          </w:p>
        </w:tc>
      </w:tr>
      <w:tr>
        <w:tc>
          <w:tcPr>
            <w:tcW w:type="dxa" w:w="2769"/>
          </w:tcPr>
          <w:p>
            <w:pPr>
              <w:pStyle w:val="null3"/>
            </w:pPr>
            <w:r>
              <w:rPr>
                <w:rFonts w:ascii="仿宋_GB2312" w:hAnsi="仿宋_GB2312" w:cs="仿宋_GB2312" w:eastAsia="仿宋_GB2312"/>
              </w:rPr>
              <w:t>219</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配置≥2个交流电源模块（电源模块面板侧出风），支持冗余；</w:t>
            </w:r>
          </w:p>
        </w:tc>
      </w:tr>
      <w:tr>
        <w:tc>
          <w:tcPr>
            <w:tcW w:type="dxa" w:w="2769"/>
          </w:tcPr>
          <w:p>
            <w:pPr>
              <w:pStyle w:val="null3"/>
            </w:pPr>
            <w:r>
              <w:rPr>
                <w:rFonts w:ascii="仿宋_GB2312" w:hAnsi="仿宋_GB2312" w:cs="仿宋_GB2312" w:eastAsia="仿宋_GB2312"/>
              </w:rPr>
              <w:t>220</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配置≥2个风扇模块（风扇模块面板侧出风）</w:t>
            </w:r>
          </w:p>
        </w:tc>
      </w:tr>
      <w:tr>
        <w:tc>
          <w:tcPr>
            <w:tcW w:type="dxa" w:w="2769"/>
          </w:tcPr>
          <w:p>
            <w:pPr>
              <w:pStyle w:val="null3"/>
            </w:pPr>
            <w:r>
              <w:rPr>
                <w:rFonts w:ascii="仿宋_GB2312" w:hAnsi="仿宋_GB2312" w:cs="仿宋_GB2312" w:eastAsia="仿宋_GB2312"/>
              </w:rPr>
              <w:t>221</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包转发率≥720 Mpps、交换容量≥2.56Tbps/25.6Tbps</w:t>
            </w:r>
          </w:p>
        </w:tc>
      </w:tr>
      <w:tr>
        <w:tc>
          <w:tcPr>
            <w:tcW w:type="dxa" w:w="2769"/>
          </w:tcPr>
          <w:p>
            <w:pPr>
              <w:pStyle w:val="null3"/>
            </w:pPr>
            <w:r>
              <w:rPr>
                <w:rFonts w:ascii="仿宋_GB2312" w:hAnsi="仿宋_GB2312" w:cs="仿宋_GB2312" w:eastAsia="仿宋_GB2312"/>
              </w:rPr>
              <w:t>222</w:t>
            </w:r>
          </w:p>
        </w:tc>
        <w:tc>
          <w:tcPr>
            <w:tcW w:type="dxa" w:w="2769"/>
          </w:tcPr>
          <w:p/>
        </w:tc>
        <w:tc>
          <w:tcPr>
            <w:tcW w:type="dxa" w:w="2769"/>
          </w:tcPr>
          <w:p>
            <w:pPr>
              <w:pStyle w:val="null3"/>
            </w:pPr>
            <w:r>
              <w:rPr>
                <w:rFonts w:ascii="仿宋_GB2312" w:hAnsi="仿宋_GB2312" w:cs="仿宋_GB2312" w:eastAsia="仿宋_GB2312"/>
                <w:sz w:val="21"/>
              </w:rPr>
              <w:t>四：网络交换机 1台</w:t>
            </w:r>
          </w:p>
        </w:tc>
      </w:tr>
      <w:tr>
        <w:tc>
          <w:tcPr>
            <w:tcW w:type="dxa" w:w="2769"/>
          </w:tcPr>
          <w:p>
            <w:pPr>
              <w:pStyle w:val="null3"/>
            </w:pPr>
            <w:r>
              <w:rPr>
                <w:rFonts w:ascii="仿宋_GB2312" w:hAnsi="仿宋_GB2312" w:cs="仿宋_GB2312" w:eastAsia="仿宋_GB2312"/>
              </w:rPr>
              <w:t>223</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配置≥1台以太网交换机主机，支持≥8个10/100/1000BASE-T电口，支持≥4个1000BASE-X SFP端口；</w:t>
            </w:r>
          </w:p>
        </w:tc>
      </w:tr>
      <w:tr>
        <w:tc>
          <w:tcPr>
            <w:tcW w:type="dxa" w:w="2769"/>
          </w:tcPr>
          <w:p>
            <w:pPr>
              <w:pStyle w:val="null3"/>
            </w:pPr>
            <w:r>
              <w:rPr>
                <w:rFonts w:ascii="仿宋_GB2312" w:hAnsi="仿宋_GB2312" w:cs="仿宋_GB2312" w:eastAsia="仿宋_GB2312"/>
              </w:rPr>
              <w:t>224</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配置≥4个千兆SFP光模块；</w:t>
            </w:r>
          </w:p>
        </w:tc>
      </w:tr>
      <w:tr>
        <w:tc>
          <w:tcPr>
            <w:tcW w:type="dxa" w:w="2769"/>
          </w:tcPr>
          <w:p>
            <w:pPr>
              <w:pStyle w:val="null3"/>
            </w:pPr>
            <w:r>
              <w:rPr>
                <w:rFonts w:ascii="仿宋_GB2312" w:hAnsi="仿宋_GB2312" w:cs="仿宋_GB2312" w:eastAsia="仿宋_GB2312"/>
              </w:rPr>
              <w:t>225</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设备支持AC交流电源供电</w:t>
            </w:r>
          </w:p>
        </w:tc>
      </w:tr>
      <w:tr>
        <w:tc>
          <w:tcPr>
            <w:tcW w:type="dxa" w:w="2769"/>
          </w:tcPr>
          <w:p>
            <w:pPr>
              <w:pStyle w:val="null3"/>
            </w:pPr>
            <w:r>
              <w:rPr>
                <w:rFonts w:ascii="仿宋_GB2312" w:hAnsi="仿宋_GB2312" w:cs="仿宋_GB2312" w:eastAsia="仿宋_GB2312"/>
              </w:rPr>
              <w:t>226</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包转发率≥102 Mpps、交换容量≥672 Gbps / 6.72 Tbps</w:t>
            </w:r>
          </w:p>
        </w:tc>
      </w:tr>
      <w:tr>
        <w:tc>
          <w:tcPr>
            <w:tcW w:type="dxa" w:w="2769"/>
          </w:tcPr>
          <w:p>
            <w:pPr>
              <w:pStyle w:val="null3"/>
            </w:pPr>
            <w:r>
              <w:rPr>
                <w:rFonts w:ascii="仿宋_GB2312" w:hAnsi="仿宋_GB2312" w:cs="仿宋_GB2312" w:eastAsia="仿宋_GB2312"/>
              </w:rPr>
              <w:t>227</w:t>
            </w:r>
          </w:p>
        </w:tc>
        <w:tc>
          <w:tcPr>
            <w:tcW w:type="dxa" w:w="2769"/>
          </w:tcPr>
          <w:p/>
        </w:tc>
        <w:tc>
          <w:tcPr>
            <w:tcW w:type="dxa" w:w="2769"/>
          </w:tcPr>
          <w:p>
            <w:pPr>
              <w:pStyle w:val="null3"/>
            </w:pPr>
            <w:r>
              <w:rPr>
                <w:rFonts w:ascii="仿宋_GB2312" w:hAnsi="仿宋_GB2312" w:cs="仿宋_GB2312" w:eastAsia="仿宋_GB2312"/>
                <w:sz w:val="21"/>
              </w:rPr>
              <w:t>五、接口及数据要求</w:t>
            </w:r>
          </w:p>
        </w:tc>
      </w:tr>
      <w:tr>
        <w:tc>
          <w:tcPr>
            <w:tcW w:type="dxa" w:w="2769"/>
          </w:tcPr>
          <w:p>
            <w:pPr>
              <w:pStyle w:val="null3"/>
            </w:pPr>
            <w:r>
              <w:rPr>
                <w:rFonts w:ascii="仿宋_GB2312" w:hAnsi="仿宋_GB2312" w:cs="仿宋_GB2312" w:eastAsia="仿宋_GB2312"/>
              </w:rPr>
              <w:t>228</w:t>
            </w:r>
          </w:p>
        </w:tc>
        <w:tc>
          <w:tcPr>
            <w:tcW w:type="dxa" w:w="2769"/>
          </w:tcPr>
          <w:p/>
        </w:tc>
        <w:tc>
          <w:tcPr>
            <w:tcW w:type="dxa" w:w="2769"/>
          </w:tcPr>
          <w:p>
            <w:pPr>
              <w:pStyle w:val="null3"/>
            </w:pPr>
            <w:r>
              <w:rPr>
                <w:rFonts w:ascii="仿宋_GB2312" w:hAnsi="仿宋_GB2312" w:cs="仿宋_GB2312" w:eastAsia="仿宋_GB2312"/>
                <w:sz w:val="21"/>
              </w:rPr>
              <w:t>供应商负责根据院方需求及院方信息化网络系统供应商完成系统双向对接。如产生第三方软件接口、硬件、人工及相关配件耗材等费用均包含在此项目合同总价款中，即过程中所产生的所有费用由供应商承担。</w:t>
            </w:r>
          </w:p>
        </w:tc>
      </w:tr>
      <w:tr>
        <w:tc>
          <w:tcPr>
            <w:tcW w:type="dxa" w:w="2769"/>
          </w:tcPr>
          <w:p>
            <w:pPr>
              <w:pStyle w:val="null3"/>
            </w:pPr>
            <w:r>
              <w:rPr>
                <w:rFonts w:ascii="仿宋_GB2312" w:hAnsi="仿宋_GB2312" w:cs="仿宋_GB2312" w:eastAsia="仿宋_GB2312"/>
              </w:rPr>
              <w:t>229</w:t>
            </w:r>
          </w:p>
        </w:tc>
        <w:tc>
          <w:tcPr>
            <w:tcW w:type="dxa" w:w="2769"/>
          </w:tcPr>
          <w:p/>
        </w:tc>
        <w:tc>
          <w:tcPr>
            <w:tcW w:type="dxa" w:w="2769"/>
          </w:tcPr>
          <w:p>
            <w:pPr>
              <w:pStyle w:val="null3"/>
            </w:pPr>
            <w:r>
              <w:rPr>
                <w:rFonts w:ascii="仿宋_GB2312" w:hAnsi="仿宋_GB2312" w:cs="仿宋_GB2312" w:eastAsia="仿宋_GB2312"/>
                <w:sz w:val="21"/>
              </w:rPr>
              <w:t>六、服务要求</w:t>
            </w:r>
          </w:p>
        </w:tc>
      </w:tr>
      <w:tr>
        <w:tc>
          <w:tcPr>
            <w:tcW w:type="dxa" w:w="2769"/>
          </w:tcPr>
          <w:p>
            <w:pPr>
              <w:pStyle w:val="null3"/>
            </w:pPr>
            <w:r>
              <w:rPr>
                <w:rFonts w:ascii="仿宋_GB2312" w:hAnsi="仿宋_GB2312" w:cs="仿宋_GB2312" w:eastAsia="仿宋_GB2312"/>
              </w:rPr>
              <w:t>230</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项目实施要求</w:t>
            </w:r>
          </w:p>
        </w:tc>
      </w:tr>
      <w:tr>
        <w:tc>
          <w:tcPr>
            <w:tcW w:type="dxa" w:w="2769"/>
          </w:tcPr>
          <w:p>
            <w:pPr>
              <w:pStyle w:val="null3"/>
            </w:pPr>
            <w:r>
              <w:rPr>
                <w:rFonts w:ascii="仿宋_GB2312" w:hAnsi="仿宋_GB2312" w:cs="仿宋_GB2312" w:eastAsia="仿宋_GB2312"/>
              </w:rPr>
              <w:t>231</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交付期：自合同签订之日起90个日历日内完成全部项目实施、确保软件能够正常使用并交付甲方，不得延期。</w:t>
            </w:r>
          </w:p>
        </w:tc>
      </w:tr>
      <w:tr>
        <w:tc>
          <w:tcPr>
            <w:tcW w:type="dxa" w:w="2769"/>
          </w:tcPr>
          <w:p>
            <w:pPr>
              <w:pStyle w:val="null3"/>
            </w:pPr>
            <w:r>
              <w:rPr>
                <w:rFonts w:ascii="仿宋_GB2312" w:hAnsi="仿宋_GB2312" w:cs="仿宋_GB2312" w:eastAsia="仿宋_GB2312"/>
              </w:rPr>
              <w:t>232</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项目服务地点：采购人指定地点。</w:t>
            </w:r>
          </w:p>
        </w:tc>
      </w:tr>
      <w:tr>
        <w:tc>
          <w:tcPr>
            <w:tcW w:type="dxa" w:w="2769"/>
          </w:tcPr>
          <w:p>
            <w:pPr>
              <w:pStyle w:val="null3"/>
            </w:pPr>
            <w:r>
              <w:rPr>
                <w:rFonts w:ascii="仿宋_GB2312" w:hAnsi="仿宋_GB2312" w:cs="仿宋_GB2312" w:eastAsia="仿宋_GB2312"/>
              </w:rPr>
              <w:t>233</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服务期限：自项目整体验收合格之日起，整体项目要求提供至少三年质保维保服务。</w:t>
            </w:r>
          </w:p>
        </w:tc>
      </w:tr>
      <w:tr>
        <w:tc>
          <w:tcPr>
            <w:tcW w:type="dxa" w:w="2769"/>
          </w:tcPr>
          <w:p>
            <w:pPr>
              <w:pStyle w:val="null3"/>
            </w:pPr>
            <w:r>
              <w:rPr>
                <w:rFonts w:ascii="仿宋_GB2312" w:hAnsi="仿宋_GB2312" w:cs="仿宋_GB2312" w:eastAsia="仿宋_GB2312"/>
              </w:rPr>
              <w:t>234</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培训要求：根据项目特点及医院的实际培训需求，为医院针对性制定一套科学、有效、可实施的培训方案，综合运用各种培训方式、方法，进行有效的培训组织和管理。为医院提供专项培训，确保相关系统管理人员、维护技术人员、操作使用人员对系统有较为全面的了解和认识，并能正常使用系统所提供的应用功能。确保管理人员及技术人员能独立进行管理、运维、简单故障处理等日常工作，从而保证系统能正常运行。</w:t>
            </w:r>
          </w:p>
        </w:tc>
      </w:tr>
      <w:tr>
        <w:tc>
          <w:tcPr>
            <w:tcW w:type="dxa" w:w="2769"/>
          </w:tcPr>
          <w:p>
            <w:pPr>
              <w:pStyle w:val="null3"/>
            </w:pPr>
            <w:r>
              <w:rPr>
                <w:rFonts w:ascii="仿宋_GB2312" w:hAnsi="仿宋_GB2312" w:cs="仿宋_GB2312" w:eastAsia="仿宋_GB2312"/>
              </w:rPr>
              <w:t>235</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验收要求：见本章商务要求“验收交付标准和方法”条款</w:t>
            </w:r>
          </w:p>
        </w:tc>
      </w:tr>
      <w:tr>
        <w:tc>
          <w:tcPr>
            <w:tcW w:type="dxa" w:w="2769"/>
          </w:tcPr>
          <w:p>
            <w:pPr>
              <w:pStyle w:val="null3"/>
            </w:pPr>
            <w:r>
              <w:rPr>
                <w:rFonts w:ascii="仿宋_GB2312" w:hAnsi="仿宋_GB2312" w:cs="仿宋_GB2312" w:eastAsia="仿宋_GB2312"/>
              </w:rPr>
              <w:t>236</w:t>
            </w:r>
          </w:p>
        </w:tc>
        <w:tc>
          <w:tcPr>
            <w:tcW w:type="dxa" w:w="2769"/>
          </w:tcP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信息安全要求：</w:t>
            </w:r>
          </w:p>
        </w:tc>
      </w:tr>
      <w:tr>
        <w:tc>
          <w:tcPr>
            <w:tcW w:type="dxa" w:w="2769"/>
          </w:tcPr>
          <w:p>
            <w:pPr>
              <w:pStyle w:val="null3"/>
            </w:pPr>
            <w:r>
              <w:rPr>
                <w:rFonts w:ascii="仿宋_GB2312" w:hAnsi="仿宋_GB2312" w:cs="仿宋_GB2312" w:eastAsia="仿宋_GB2312"/>
              </w:rPr>
              <w:t>237</w:t>
            </w:r>
          </w:p>
        </w:tc>
        <w:tc>
          <w:tcPr>
            <w:tcW w:type="dxa" w:w="2769"/>
          </w:tcPr>
          <w:p/>
        </w:tc>
        <w:tc>
          <w:tcPr>
            <w:tcW w:type="dxa" w:w="2769"/>
          </w:tcPr>
          <w:p>
            <w:pPr>
              <w:pStyle w:val="null3"/>
            </w:pPr>
            <w:r>
              <w:rPr>
                <w:rFonts w:ascii="仿宋_GB2312" w:hAnsi="仿宋_GB2312" w:cs="仿宋_GB2312" w:eastAsia="仿宋_GB2312"/>
                <w:sz w:val="21"/>
              </w:rPr>
              <w:t>符合信息化安全等保2.0的三级等保测评要求，无条件配合医院完成等保测评及整改。</w:t>
            </w:r>
          </w:p>
        </w:tc>
      </w:tr>
      <w:tr>
        <w:tc>
          <w:tcPr>
            <w:tcW w:type="dxa" w:w="2769"/>
          </w:tcPr>
          <w:p>
            <w:pPr>
              <w:pStyle w:val="null3"/>
            </w:pPr>
            <w:r>
              <w:rPr>
                <w:rFonts w:ascii="仿宋_GB2312" w:hAnsi="仿宋_GB2312" w:cs="仿宋_GB2312" w:eastAsia="仿宋_GB2312"/>
              </w:rPr>
              <w:t>238</w:t>
            </w:r>
          </w:p>
        </w:tc>
        <w:tc>
          <w:tcPr>
            <w:tcW w:type="dxa" w:w="2769"/>
          </w:tcPr>
          <w:p/>
        </w:tc>
        <w:tc>
          <w:tcPr>
            <w:tcW w:type="dxa" w:w="2769"/>
          </w:tcPr>
          <w:p>
            <w:pPr>
              <w:pStyle w:val="null3"/>
            </w:pPr>
            <w:r>
              <w:rPr>
                <w:rFonts w:ascii="仿宋_GB2312" w:hAnsi="仿宋_GB2312" w:cs="仿宋_GB2312" w:eastAsia="仿宋_GB2312"/>
                <w:sz w:val="21"/>
              </w:rPr>
              <w:t>系统登录的用户身份鉴别技术需要采用用户名/密码认证、CA认证、基于角色的访问控制和单点登录认证，防止非法访问和恶意攻击，确保数组身份操作者是合法拥有者。</w:t>
            </w:r>
          </w:p>
        </w:tc>
      </w:tr>
      <w:tr>
        <w:tc>
          <w:tcPr>
            <w:tcW w:type="dxa" w:w="2769"/>
          </w:tcPr>
          <w:p>
            <w:pPr>
              <w:pStyle w:val="null3"/>
            </w:pPr>
            <w:r>
              <w:rPr>
                <w:rFonts w:ascii="仿宋_GB2312" w:hAnsi="仿宋_GB2312" w:cs="仿宋_GB2312" w:eastAsia="仿宋_GB2312"/>
              </w:rPr>
              <w:t>239</w:t>
            </w:r>
          </w:p>
        </w:tc>
        <w:tc>
          <w:tcPr>
            <w:tcW w:type="dxa" w:w="2769"/>
          </w:tcPr>
          <w:p/>
        </w:tc>
        <w:tc>
          <w:tcPr>
            <w:tcW w:type="dxa" w:w="2769"/>
          </w:tcPr>
          <w:p>
            <w:pPr>
              <w:pStyle w:val="null3"/>
            </w:pPr>
            <w:r>
              <w:rPr>
                <w:rFonts w:ascii="仿宋_GB2312" w:hAnsi="仿宋_GB2312" w:cs="仿宋_GB2312" w:eastAsia="仿宋_GB2312"/>
                <w:sz w:val="21"/>
              </w:rPr>
              <w:t>系统需有密码强度检测，密码复杂度检测，密码有效期等安全策略，保障系统用户的密码安全。</w:t>
            </w:r>
          </w:p>
        </w:tc>
      </w:tr>
      <w:tr>
        <w:tc>
          <w:tcPr>
            <w:tcW w:type="dxa" w:w="2769"/>
          </w:tcPr>
          <w:p>
            <w:pPr>
              <w:pStyle w:val="null3"/>
            </w:pPr>
            <w:r>
              <w:rPr>
                <w:rFonts w:ascii="仿宋_GB2312" w:hAnsi="仿宋_GB2312" w:cs="仿宋_GB2312" w:eastAsia="仿宋_GB2312"/>
              </w:rPr>
              <w:t>240</w:t>
            </w:r>
          </w:p>
        </w:tc>
        <w:tc>
          <w:tcPr>
            <w:tcW w:type="dxa" w:w="2769"/>
          </w:tcPr>
          <w:p/>
        </w:tc>
        <w:tc>
          <w:tcPr>
            <w:tcW w:type="dxa" w:w="2769"/>
          </w:tcPr>
          <w:p>
            <w:pPr>
              <w:pStyle w:val="null3"/>
            </w:pPr>
            <w:r>
              <w:rPr>
                <w:rFonts w:ascii="仿宋_GB2312" w:hAnsi="仿宋_GB2312" w:cs="仿宋_GB2312" w:eastAsia="仿宋_GB2312"/>
                <w:sz w:val="21"/>
              </w:rPr>
              <w:t>系统要保证数据在传输、存储、处理等过程中不被未经授权的修改、删除或损坏，确保信息不暴露给未授权的实体或进程。需要采用数据加密和解密技术，如SSL/TLS协议，使用加密和身份验证机制来确保数据的安全和完整性。</w:t>
            </w:r>
          </w:p>
        </w:tc>
      </w:tr>
      <w:tr>
        <w:tc>
          <w:tcPr>
            <w:tcW w:type="dxa" w:w="2769"/>
          </w:tcPr>
          <w:p>
            <w:pPr>
              <w:pStyle w:val="null3"/>
            </w:pPr>
            <w:r>
              <w:rPr>
                <w:rFonts w:ascii="仿宋_GB2312" w:hAnsi="仿宋_GB2312" w:cs="仿宋_GB2312" w:eastAsia="仿宋_GB2312"/>
              </w:rPr>
              <w:t>241</w:t>
            </w:r>
          </w:p>
        </w:tc>
        <w:tc>
          <w:tcPr>
            <w:tcW w:type="dxa" w:w="2769"/>
          </w:tcPr>
          <w:p/>
        </w:tc>
        <w:tc>
          <w:tcPr>
            <w:tcW w:type="dxa" w:w="2769"/>
          </w:tcPr>
          <w:p>
            <w:pPr>
              <w:pStyle w:val="null3"/>
            </w:pPr>
            <w:r>
              <w:rPr>
                <w:rFonts w:ascii="仿宋_GB2312" w:hAnsi="仿宋_GB2312" w:cs="仿宋_GB2312" w:eastAsia="仿宋_GB2312"/>
                <w:sz w:val="21"/>
              </w:rPr>
              <w:t>(7)</w:t>
            </w:r>
            <w:r>
              <w:rPr>
                <w:rFonts w:ascii="仿宋_GB2312" w:hAnsi="仿宋_GB2312" w:cs="仿宋_GB2312" w:eastAsia="仿宋_GB2312"/>
                <w:sz w:val="21"/>
              </w:rPr>
              <w:t>实施服务要求：项目实施符合信息化项目管理要求，具有范围管理、进度管理、质量管理、风险管理等方面；供应商负责根据医院需求与医院及医院信息化网络系统供应商完成系统双向对接。如产生第三方软件接口、硬件、人工及相关配件耗材等费用均包含在此项目合同总价款中，即过程中所产生的所有费用由供应商承担。</w:t>
            </w:r>
          </w:p>
        </w:tc>
      </w:tr>
      <w:tr>
        <w:tc>
          <w:tcPr>
            <w:tcW w:type="dxa" w:w="2769"/>
          </w:tcPr>
          <w:p>
            <w:pPr>
              <w:pStyle w:val="null3"/>
            </w:pPr>
            <w:r>
              <w:rPr>
                <w:rFonts w:ascii="仿宋_GB2312" w:hAnsi="仿宋_GB2312" w:cs="仿宋_GB2312" w:eastAsia="仿宋_GB2312"/>
              </w:rPr>
              <w:t>242</w:t>
            </w:r>
          </w:p>
        </w:tc>
        <w:tc>
          <w:tcPr>
            <w:tcW w:type="dxa" w:w="2769"/>
          </w:tcPr>
          <w:p/>
        </w:tc>
        <w:tc>
          <w:tcPr>
            <w:tcW w:type="dxa" w:w="2769"/>
          </w:tcPr>
          <w:p>
            <w:pPr>
              <w:pStyle w:val="null3"/>
            </w:pPr>
            <w:r>
              <w:rPr>
                <w:rFonts w:ascii="仿宋_GB2312" w:hAnsi="仿宋_GB2312" w:cs="仿宋_GB2312" w:eastAsia="仿宋_GB2312"/>
                <w:sz w:val="21"/>
              </w:rPr>
              <w:t>(8)</w:t>
            </w:r>
            <w:r>
              <w:rPr>
                <w:rFonts w:ascii="仿宋_GB2312" w:hAnsi="仿宋_GB2312" w:cs="仿宋_GB2312" w:eastAsia="仿宋_GB2312"/>
                <w:sz w:val="21"/>
              </w:rPr>
              <w:t>运维服务要求：项目建成后，需提供完善的运营与维护服务体系。组建不少于3人的客户服务团队，负责日常热线问题的解答与解决、软硬件定期的巡检与更新以及突发事件的实现与处理。设立统一的客户服务专线，专业团队进行管理。针对设备维护报修、用户使用问题提供每周7*24小时的客户服务。针对故障发生情况，建立完善的报修和维修响应机制。应定期进行维护和升级，使产品安全、正常地运行。</w:t>
            </w:r>
          </w:p>
        </w:tc>
      </w:tr>
      <w:tr>
        <w:tc>
          <w:tcPr>
            <w:tcW w:type="dxa" w:w="2769"/>
          </w:tcPr>
          <w:p>
            <w:pPr>
              <w:pStyle w:val="null3"/>
            </w:pPr>
            <w:r>
              <w:rPr>
                <w:rFonts w:ascii="仿宋_GB2312" w:hAnsi="仿宋_GB2312" w:cs="仿宋_GB2312" w:eastAsia="仿宋_GB2312"/>
              </w:rPr>
              <w:t>243</w:t>
            </w:r>
          </w:p>
        </w:tc>
        <w:tc>
          <w:tcPr>
            <w:tcW w:type="dxa" w:w="2769"/>
          </w:tcPr>
          <w:p/>
        </w:tc>
        <w:tc>
          <w:tcPr>
            <w:tcW w:type="dxa" w:w="2769"/>
          </w:tcPr>
          <w:p>
            <w:pPr>
              <w:pStyle w:val="null3"/>
            </w:pPr>
            <w:r>
              <w:rPr>
                <w:rFonts w:ascii="仿宋_GB2312" w:hAnsi="仿宋_GB2312" w:cs="仿宋_GB2312" w:eastAsia="仿宋_GB2312"/>
                <w:sz w:val="21"/>
              </w:rPr>
              <w:t>(9)</w:t>
            </w:r>
            <w:r>
              <w:rPr>
                <w:rFonts w:ascii="仿宋_GB2312" w:hAnsi="仿宋_GB2312" w:cs="仿宋_GB2312" w:eastAsia="仿宋_GB2312"/>
                <w:sz w:val="21"/>
              </w:rPr>
              <w:t>数据备份和恢复：应建立相应的制度数据备份和恢复流程并部署相关的安全措施。技术工具方面，应建立数据备份与恢复的统一技术工具，保证相关工作的自动执行，并定期采取技术措施查验备份和归档数据的完整性和可用性；定期对系统所涉及服务器进行巡查监测，定期分析系统和数据库日志，升级中间件和系统监测到的漏洞补丁，进行数据库备份和系统应急事件处理。运行一段时间后，需要调整数据库性能，定期做好数据备份，及时做好数据整理，即使服务器有故障，也能很快恢复数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标的名称：前置机及存储设备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一：前置一体机 1台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配置≥1颗国产C86系列处理器，单颗主频≥2.5GHz，核数≥8核处理器；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配置≥1条16GB内存，DDR5内存；</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配置≥2块960G SSD硬盘；</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配置≥单块2端口千兆网卡</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配置≥2块冗余热插拔电源，并提供配套的电源连接线；</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提供符合本次建设要求的正版国产操作系统。</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二：存储软硬一体机 2台</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配置≥2颗国产C86系列处理器，单颗主频≥2.5GHz，核数≥16核处理器；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配置≥8条32GB，DDR5内存；</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系统盘：配置≥2块480G SSD硬盘；数据盘：≥2块3.84TB SSD硬盘，实现RAID6，可用存储空间≥460TB；</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配置独立RAID卡，12G SAS RAID卡，≥8个SAS端口，≥4GB缓存，PCIe接口；</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配置≥单块2端口万兆光纤网卡和光模块；</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配置≥2块冗余热插拔电源，并提供配套的电源连接线；</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由供应商提供符合本次建设要求的正版国产操作系统；</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rPr>
              <w:t>7.</w:t>
            </w:r>
            <w:r>
              <w:rPr>
                <w:rFonts w:ascii="仿宋_GB2312" w:hAnsi="仿宋_GB2312" w:cs="仿宋_GB2312" w:eastAsia="仿宋_GB2312"/>
                <w:sz w:val="21"/>
              </w:rPr>
              <w:t>由供应商提供符合信创标准的国产数据库，提供统一、安全、高性能的数据引擎，全面兼容主流国产化生态。</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1"/>
              </w:rPr>
              <w:t>三、服务要求</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交付期：自合同签订之日起60个日历日内完成全部项目实施、安装及调试工作，不得延期。</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项目服务地点：采购人指定地点。</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服务期限：自项目整体验收合格之日起，整体项目要求提供至少三年质保维保服务。</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培训要求：根据项目特点及医院的实际培训需求，为医院针对性制定一套科学、有效、可实施的培训方案，综合运用各种培训方式、方法，进行有效的培训组织和管理。为医院提供专项培训，确保相关系统管理人员、维护技术人员、操作使用人员对系统有较为全面的了解和认识，并能正常使用系统所提供的应用功能。确保管理人员及技术人员能独立进行管理、运维、简单故障处理等日常工作，从而保证系统能正常运行。</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验收要求：见本章商务要求“验收交付标准和方法”条款</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信息安全要求：</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1"/>
              </w:rPr>
              <w:t>符合信息化安全等保2.0的三级等保测评要求，无条件配合医院完成等保测评及整改。</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1"/>
              </w:rPr>
              <w:t>(7)</w:t>
            </w:r>
            <w:r>
              <w:rPr>
                <w:rFonts w:ascii="仿宋_GB2312" w:hAnsi="仿宋_GB2312" w:cs="仿宋_GB2312" w:eastAsia="仿宋_GB2312"/>
                <w:sz w:val="21"/>
              </w:rPr>
              <w:t>实施服务要求：供应商负责根据医院需求完成硬件设备集成。如产生第三方软件接口、硬件、人工及相关配件耗材等费用均包含在此项目合同总价款中，即过程中所产生的所有费用由供应商承担。</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rPr>
              <w:t>(8)</w:t>
            </w:r>
            <w:r>
              <w:rPr>
                <w:rFonts w:ascii="仿宋_GB2312" w:hAnsi="仿宋_GB2312" w:cs="仿宋_GB2312" w:eastAsia="仿宋_GB2312"/>
                <w:sz w:val="21"/>
              </w:rPr>
              <w:t>运维服务要求：负责日常热线问题的解答与解决、软硬件定期的巡检与更新以及突发事件的实现与处理。设立统一的客户服务专线，专业团队进行管理。针对设备维护报修、用户使用问题提供每周7*24小时的客户服务。针对故障发生情况，建立完善的报修和维修响应机制。应定期进行维护和升级，使产品安全、正常地运行。</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1"/>
              </w:rPr>
              <w:t>(9)</w:t>
            </w:r>
            <w:r>
              <w:rPr>
                <w:rFonts w:ascii="仿宋_GB2312" w:hAnsi="仿宋_GB2312" w:cs="仿宋_GB2312" w:eastAsia="仿宋_GB2312"/>
                <w:sz w:val="21"/>
              </w:rPr>
              <w:t>数据备份和恢复：应建立相应的制度数据备份和恢复流程并部署相关的安全措施。技术工具方面，应建立数据备份与恢复的统一技术工具，保证相关工作的自动执行，并定期采取技术措施查验备份和归档数据的完整性和可用性；定期对系统所涉及服务器进行巡查监测，定期分析系统和数据库日志，升级中间件和系统监测到的漏洞补丁，进行数据库备份和系统应急事件处理。运行一段时间后，需要调整数据库性能，定期做好数据备份，及时做好数据整理，即使服务器有故障，也能很快恢复数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自合同签订之日起90个日历日内完成全部项目实施、确保软件能够正常使用并交付甲方，不得延期。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自合同签订之日起60个日历日内完成全部项目实施、安装及调试工作，不得延期。</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合同签订后，支付合同总金额的40%款项作为预付款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所有项目按照甲方指定地点，实施、调试完成，平稳运行一个月后组织验收。整体验收合格后，自乙方前往甲方办理资金结算之日起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项目质保期结束后，自乙方前往甲方办理资金结算之日起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合同签订后，支付合同总金额的40%款项作为预付款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所有项目按照甲方指定地点，实施、调试完成，平稳运行一个月后组织验收。整体验收合格后，自乙方前往甲方办理资金结算之日起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项目质保期结束后，自乙方前往甲方办理资金结算之日起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1.所有项目按照甲方标书和乙方投标文件中的要求实施、调试完成，平稳运行一个月后，确认项目完成，乙方进行自检，自检合格后，准备验收文件，并书面通知甲方。 2.甲方确认乙方的自检内容后，组织乙方（必要时请有关专家）进行项目初步验收。符合本合同约定的，甲方应当验收。对于不符合合同规定的内容，甲方可以拒绝验收。 3.最终验收：项目整体实施结束，合同所有内容甲方初验合格后，提请西安市卫健委组织专家进行项目整体验收，卫健委验收合格后，填写政府采购项目履约验收单（一式五份）作为对项目的整体认可。 4.乙方向甲方提交项目实施过程中的所有资料，以便甲方日后管理和维护。 6.验收依据 ①招标文件、投标文件、澄清表（函）； ②本合同及附件文本； ③国家相应的标准、规范； ④其他资料；（如用户调查与需求分析报告、项目实施计划、项目实施过程文档、功能规格说明书、用户使用报告、系统维护手册、用户操作手册、培训资料、系统功能验证报告、正版信创操作系统授权书等）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1.所有项目按照甲方标书和乙方投标文件中的要求实施、调试完成，平稳运行一个月后，确认项目完成，乙方进行自检，自检合格后，准备验收文件，并书面通知甲方。 2.甲方确认乙方的自检内容后，组织乙方（必要时请有关专家）进行项目初步验收。符合本合同约定的，甲方应当验收。对于不符合合同规定的内容，甲方可以拒绝验收。 3.最终验收：项目整体实施结束，合同所有内容甲方初验合格后，提请西安市卫健委组织专家进行项目整体验收，卫健委验收合格后，填写政府采购项目履约验收单（一式五份）作为对项目的整体认可。 4.乙方向甲方提交项目实施过程中的所有资料，以便甲方日后管理和维护。 6.验收依据 ①招标文件、投标文件、澄清表（函）； ②本合同及附件文本； ③国家相应的标准、规范； ④其他资料；（支付清单、合格证、质保承诺等）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(1)自项目整体验收合格之日起，整体项目要求提供至少三年质保服务。包含例行操作与监控、响应支持与故障处理、需求更改、优化改善与性能调优、咨询评估与技术支持、更新升级及上门服务等。 (2)质保期内，提供每周7天/每天24小时不间断的电话支持服务，解答用户在使用、维护过程中遇到的问题，及时提出解决问题的建议和操作方法。正式运行之后，服务响应时间不超过2小时，对问题较大短期内暂不能解决的，为不影响甲方正常工作，乙方在2日内免费提供替代产品，确保正常运行，由此产生的费用由乙方承担。 (3)质保期内每季度巡检一次，提供巡检单。一式两份，甲方一份，乙方一份，并由双方签字确认。内容包括巡检时间、巡检内容、巡检结果。 (4)质保期内每次故障维修提供维修单。一式两份，甲方一份，乙方一份，并由双方签字确认。内容包括得知故障时间、到达现场时间、故障处理结束时间、故障内容、故障处理方式方法，故障处理结果，并由双方签字确认。 (5)凭借巡检单、维修单、培训确认单，更新记录作为付款依据。如果依据不全，甲方可以拒付剩余款项。 (6)质保期内如出现任何安全类问题，供应商及时协助解决。 (7)操作人员的技术培训时间不得少于一周，提供培训计划。 （九）知识产权归属和处理方式： 产前诊断智慧数据管理平台知识产权归双方所有，院方具有该软件的永久使用权。当发生知识产权归属或侵权等纠纷时可采用协商、调节、民事诉讼等途径解决。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(1)自项目整体验收合格之日起，整体项目要求提供至少三年质保服务。包含例行操作与监控、响应支持与故障处理、需求更改、优化改善与性能调优、咨询评估与技术支持、更新升级及上门服务等。 (2)质保期内，提供每周7天/每天24小时不间断的电话支持服务，解答用户在使用、维护过程中遇到的问题，及时提出解决问题的建议和操作方法。正式运行之后，服务响应时间不超过2小时，对问题较大短期内暂不能解决的，为不影响甲方正常工作，乙方在2日内免费提供替代产品，确保正常运行，由此产生的费用由乙方承担。 (3)质保期内每季度巡检一次，提供巡检单。一式两份，甲方一份，乙方一份，并由双方签字确认。内容包括巡检时间、巡检内容、巡检结果。 (4)质保期内每次故障维修提供维修单。一式两份，甲方一份，乙方一份，并由双方签字确认。内容包括得知故障时间、到达现场时间、故障处理结束时间、故障内容、故障处理方式方法，故障处理结果，并由双方签字确认。 (5)凭借巡检单、维修单、培训确认单，更新记录作为付款依据。如果依据不全，甲方可以拒付剩余款项。 (6)质保期内如出现任何安全类问题，供应商及时协助解决。 (7)操作人员的技术培训时间不得少于一周，提供培训计划。</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质量不能满足合同技术要求的，甲方会同政府采购机构有权解除本合同（合同自书面解除通知到达乙方之日起解除），乙方应赔偿解除合同给甲方造成的全部损失（包括但不限于重新采购产生的费用、合同未履行导致产品不能按规划交付使用及其它由此造成的甲方对第三方的违约损失），并按照合同总价的30%支付违约金。同时甲方有权按《招投标法》、《政府采购法》有关处罚条款报监管机构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(1)按《民法典》中的相关条款执行。 (2)未按合同要求提供，质量不能满足合同技术要求的，甲方会同政府采购机构有权解除本合同（合同自书面解除通知到达乙方之日起解除），乙方应赔偿解除合同给甲方造成的全部损失（包括但不限于重新采购产生的费用、合同未履行导致产品不能按规划交付使用及其它由此造成的甲方对第三方的违约损失），并按照合同总价的30%支付违约金。同时甲方有权按《招投标法》、《政府采购法》有关处罚条款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1、核心产品：一标段核心产品为：产前诊断智慧数据管理平台；二标段核心产品为：存储软硬一体机。 2、采购标的对应的中小企业划分及标准：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4、成交供应商领取成交通知书时，应无偿提供2套纸质版磋商响应文件（内容应与系统上传版保持一致）交至采购代理机构。 5、进入相关部门“黑名单”的供应商以及有行贿、串标等违法违规行为并经查实的供应商不能参与本院采购项目的磋商活动。对“黑名单”中供应商采取“一票否决”及“随时叫停”机制，在报名、资格审核、评审、公示、合同签订等各环节一旦发现并查实有行贿等违法违规行为的，立即取消其相关资格且终止合同签订。 6、供应商不得虚假响应，否则将取消其响应或成交资格，并按有关规定进处罚。 7、采购人和成交人应当在成交通知书发出之日起25日内，根据采购文件和成交人的响应文件及相关澄清文件订立书面合同。成交人无正当理由拒签合同，在签订合同时向采购人提出附加条件的，采购人有权取消其成交资格，给采购人造成损失的予以赔偿。 8、资金来源：财政专项资金100万元，财政性资金63.7万元。 9、付款方式说明：因电子化交易系统模版设置，本章3.4.4支付约定条款无法修改，若与合同条款中的付款方式描述不一致时，以合同条款中的付款方式为准。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4、资格证明资料.docx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4、资格证明资料.docx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3、法定代表人授权委托书.docx 2、法定代表人身份证明.docx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响应文件递交截止时间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日响应文件递交截止时间后的相关网站查询结果为准</w:t>
            </w:r>
          </w:p>
        </w:tc>
        <w:tc>
          <w:tcPr>
            <w:tcW w:type="dxa" w:w="1661"/>
          </w:tcPr>
          <w:p>
            <w:pPr>
              <w:pStyle w:val="null3"/>
            </w:pPr>
            <w:r>
              <w:rPr>
                <w:rFonts w:ascii="仿宋_GB2312" w:hAnsi="仿宋_GB2312" w:cs="仿宋_GB2312" w:eastAsia="仿宋_GB2312"/>
              </w:rPr>
              <w:t>4、资格证明资料.docx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3、法定代表人授权委托书.docx 2、法定代表人身份证明.docx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响应文件递交截止时间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日响应文件递交截止时间后的相关网站查询结果为准</w:t>
            </w:r>
          </w:p>
        </w:tc>
        <w:tc>
          <w:tcPr>
            <w:tcW w:type="dxa" w:w="1661"/>
          </w:tcPr>
          <w:p>
            <w:pPr>
              <w:pStyle w:val="null3"/>
            </w:pPr>
            <w:r>
              <w:rPr>
                <w:rFonts w:ascii="仿宋_GB2312" w:hAnsi="仿宋_GB2312" w:cs="仿宋_GB2312" w:eastAsia="仿宋_GB2312"/>
              </w:rPr>
              <w:t>4、资格证明资料.docx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 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1、磋商响应第一次报价表及报价明细表.docx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1、磋商响应第一次报价表及报价明细表.docx 5、商务响应.docx 中小企业声明函 3、法定代表人授权委托书.docx 报价表 4、资格证明资料.docx 7、承诺书.docx 2、法定代表人身份证明.docx 响应文件封面 残疾人福利性单位声明函 6、技术响应.docx 标的清单 响应函 监狱企业的证明文件 8、响应政府采购政策的证明资料.docx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报价满足磋商文件报价要求，无缺漏项，供应商的项目总报价不得超过该项目的最高限价</w:t>
            </w:r>
          </w:p>
        </w:tc>
        <w:tc>
          <w:tcPr>
            <w:tcW w:type="dxa" w:w="1661"/>
          </w:tcPr>
          <w:p>
            <w:pPr>
              <w:pStyle w:val="null3"/>
            </w:pPr>
            <w:r>
              <w:rPr>
                <w:rFonts w:ascii="仿宋_GB2312" w:hAnsi="仿宋_GB2312" w:cs="仿宋_GB2312" w:eastAsia="仿宋_GB2312"/>
              </w:rPr>
              <w:t>1、磋商响应第一次报价表及报价明细表.docx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满足磋商响应文件格式“七、承诺书”的要求</w:t>
            </w:r>
          </w:p>
        </w:tc>
        <w:tc>
          <w:tcPr>
            <w:tcW w:type="dxa" w:w="1661"/>
          </w:tcPr>
          <w:p>
            <w:pPr>
              <w:pStyle w:val="null3"/>
            </w:pPr>
            <w:r>
              <w:rPr>
                <w:rFonts w:ascii="仿宋_GB2312" w:hAnsi="仿宋_GB2312" w:cs="仿宋_GB2312" w:eastAsia="仿宋_GB2312"/>
              </w:rPr>
              <w:t>7、承诺书.docx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其他无效处理情形</w:t>
            </w:r>
          </w:p>
        </w:tc>
        <w:tc>
          <w:tcPr>
            <w:tcW w:type="dxa" w:w="3322"/>
          </w:tcPr>
          <w:p>
            <w:pPr>
              <w:pStyle w:val="null3"/>
            </w:pPr>
            <w:r>
              <w:rPr>
                <w:rFonts w:ascii="仿宋_GB2312" w:hAnsi="仿宋_GB2312" w:cs="仿宋_GB2312" w:eastAsia="仿宋_GB2312"/>
              </w:rPr>
              <w:t>未出现采购文件规定的其他无效处理情形</w:t>
            </w:r>
          </w:p>
        </w:tc>
        <w:tc>
          <w:tcPr>
            <w:tcW w:type="dxa" w:w="1661"/>
          </w:tcPr>
          <w:p>
            <w:pPr>
              <w:pStyle w:val="null3"/>
            </w:pPr>
            <w:r>
              <w:rPr>
                <w:rFonts w:ascii="仿宋_GB2312" w:hAnsi="仿宋_GB2312" w:cs="仿宋_GB2312" w:eastAsia="仿宋_GB2312"/>
              </w:rPr>
              <w:t>1、磋商响应第一次报价表及报价明细表.docx 5、商务响应.docx 中小企业声明函 3、法定代表人授权委托书.docx 报价表 4、资格证明资料.docx 7、承诺书.docx 2、法定代表人身份证明.docx 响应文件封面 残疾人福利性单位声明函 6、技术响应.docx 标的清单 响应函 监狱企业的证明文件 8、响应政府采购政策的证明资料.docx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一）不同供应商的响应文件由同一单位或者个人编制；（二）不同供应商委托同一单位或者个人办理磋商事宜；（三）不同供应商的响应文件载明的项目管理成员或者联系人员为同一人；（四）不同供应商的响应文件异常一致或者磋商报价呈规律性差异；（五）不同供应商的响应文件相互混装。</w:t>
            </w:r>
          </w:p>
        </w:tc>
        <w:tc>
          <w:tcPr>
            <w:tcW w:type="dxa" w:w="1661"/>
          </w:tcPr>
          <w:p>
            <w:pPr>
              <w:pStyle w:val="null3"/>
            </w:pPr>
            <w:r>
              <w:rPr>
                <w:rFonts w:ascii="仿宋_GB2312" w:hAnsi="仿宋_GB2312" w:cs="仿宋_GB2312" w:eastAsia="仿宋_GB2312"/>
              </w:rPr>
              <w:t>1、磋商响应第一次报价表及报价明细表.docx 5、商务响应.docx 中小企业声明函 3、法定代表人授权委托书.docx 报价表 4、资格证明资料.docx 7、承诺书.docx 2、法定代表人身份证明.docx 响应文件封面 残疾人福利性单位声明函 6、技术响应.docx 标的清单 响应函 监狱企业的证明文件 8、响应政府采购政策的证明资料.docx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 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1、磋商响应第一次报价表及报价明细表.docx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1、磋商响应第一次报价表及报价明细表.docx 5、商务响应.docx 中小企业声明函 3、法定代表人授权委托书.docx 供应商应提交的相关资格证明材料 报价表 4、资格证明资料.docx 7、承诺书.docx 2、法定代表人身份证明.docx 响应文件封面 残疾人福利性单位声明函 6、技术响应.docx 标的清单 响应函 监狱企业的证明文件 8、响应政府采购政策的证明资料.docx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报价满足磋商文件报价要求，无缺漏项，供应商的项目总报价不得超过该项目的最高限价</w:t>
            </w:r>
          </w:p>
        </w:tc>
        <w:tc>
          <w:tcPr>
            <w:tcW w:type="dxa" w:w="1661"/>
          </w:tcPr>
          <w:p>
            <w:pPr>
              <w:pStyle w:val="null3"/>
            </w:pPr>
            <w:r>
              <w:rPr>
                <w:rFonts w:ascii="仿宋_GB2312" w:hAnsi="仿宋_GB2312" w:cs="仿宋_GB2312" w:eastAsia="仿宋_GB2312"/>
              </w:rPr>
              <w:t>1、磋商响应第一次报价表及报价明细表.docx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满足磋商响应文件格式“七、承诺书”的要求</w:t>
            </w:r>
          </w:p>
        </w:tc>
        <w:tc>
          <w:tcPr>
            <w:tcW w:type="dxa" w:w="1661"/>
          </w:tcPr>
          <w:p>
            <w:pPr>
              <w:pStyle w:val="null3"/>
            </w:pPr>
            <w:r>
              <w:rPr>
                <w:rFonts w:ascii="仿宋_GB2312" w:hAnsi="仿宋_GB2312" w:cs="仿宋_GB2312" w:eastAsia="仿宋_GB2312"/>
              </w:rPr>
              <w:t>7、承诺书.docx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其他无效处理情形</w:t>
            </w:r>
          </w:p>
        </w:tc>
        <w:tc>
          <w:tcPr>
            <w:tcW w:type="dxa" w:w="3322"/>
          </w:tcPr>
          <w:p>
            <w:pPr>
              <w:pStyle w:val="null3"/>
            </w:pPr>
            <w:r>
              <w:rPr>
                <w:rFonts w:ascii="仿宋_GB2312" w:hAnsi="仿宋_GB2312" w:cs="仿宋_GB2312" w:eastAsia="仿宋_GB2312"/>
              </w:rPr>
              <w:t>未出现采购文件规定的其他无效处理情形</w:t>
            </w:r>
          </w:p>
        </w:tc>
        <w:tc>
          <w:tcPr>
            <w:tcW w:type="dxa" w:w="1661"/>
          </w:tcPr>
          <w:p>
            <w:pPr>
              <w:pStyle w:val="null3"/>
            </w:pPr>
            <w:r>
              <w:rPr>
                <w:rFonts w:ascii="仿宋_GB2312" w:hAnsi="仿宋_GB2312" w:cs="仿宋_GB2312" w:eastAsia="仿宋_GB2312"/>
              </w:rPr>
              <w:t>1、磋商响应第一次报价表及报价明细表.docx 5、商务响应.docx 中小企业声明函 3、法定代表人授权委托书.docx 供应商应提交的相关资格证明材料 报价表 4、资格证明资料.docx 7、承诺书.docx 2、法定代表人身份证明.docx 响应文件封面 残疾人福利性单位声明函 6、技术响应.docx 标的清单 响应函 监狱企业的证明文件 8、响应政府采购政策的证明资料.docx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一）不同供应商的响应文件由同一单位或者个人编制；（二）不同供应商委托同一单位或者个人办理磋商事宜；（三）不同供应商的响应文件载明的项目管理成员或者联系人员为同一人；（四）不同供应商的响应文件异常一致或者磋商报价呈规律性差异；（五）不同供应商的响应文件相互混装。</w:t>
            </w:r>
          </w:p>
        </w:tc>
        <w:tc>
          <w:tcPr>
            <w:tcW w:type="dxa" w:w="1661"/>
          </w:tcPr>
          <w:p>
            <w:pPr>
              <w:pStyle w:val="null3"/>
            </w:pPr>
            <w:r>
              <w:rPr>
                <w:rFonts w:ascii="仿宋_GB2312" w:hAnsi="仿宋_GB2312" w:cs="仿宋_GB2312" w:eastAsia="仿宋_GB2312"/>
              </w:rPr>
              <w:t>1、磋商响应第一次报价表及报价明细表.docx 5、商务响应.docx 中小企业声明函 3、法定代表人授权委托书.docx 供应商应提交的相关资格证明材料 报价表 4、资格证明资料.docx 7、承诺书.docx 2、法定代表人身份证明.docx 响应文件封面 残疾人福利性单位声明函 6、技术响应.docx 标的清单 响应函 监狱企业的证明文件 8、响应政府采购政策的证明资料.docx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评审得分相同的，按照最后报价由低到高的顺序推荐。评审得分且最后报价相同的，依次按照系统实施方案、技术指标、质量保证措施、售后服务及方案、项目实施团队的优劣顺序推荐。</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评审得分相同的，按照最后报价由低到高的顺序推荐。评审得分且最后报价相同的，依次按照产品功能、实施方案、技术指标、质量保证措施、售后服务及方案、项目实施团队的优劣顺序推荐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全部满足采购需求得20分，每负偏离一项扣0.5分，扣完为止。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系统实施方案</w:t>
            </w:r>
          </w:p>
        </w:tc>
        <w:tc>
          <w:tcPr>
            <w:tcW w:type="dxa" w:w="2492"/>
          </w:tcPr>
          <w:p>
            <w:pPr>
              <w:pStyle w:val="null3"/>
            </w:pPr>
            <w:r>
              <w:rPr>
                <w:rFonts w:ascii="仿宋_GB2312" w:hAnsi="仿宋_GB2312" w:cs="仿宋_GB2312" w:eastAsia="仿宋_GB2312"/>
              </w:rPr>
              <w:t>一、评审内容 供应商针对本项目提供具体可行的系统实施方案。内容包含：①系统总体设计方案，软硬件组合配置情况；②业务现状分析；③系统设计原则及系统设计思想；④系统安全性、稳定性保障；⑤应急处理方案。二、评审标准 1.完整性：方案必须全面，对评审内容中的各项要求有详细描述；2.可实施性：切合本项目实际情况，提出步骤清晰、合理的方案；3.针对性：方案能够紧扣项目实际情况，内容科学合理。 三、赋分标准 ①系统总体设计方案，软硬件组合配置情况：每完全满足一个评审标准得1分，满分3分；②业务现状分析：每完全满足一个评审标准得1分，满分3分；③系统设计原则及系统设计思想：每完全满足一个评审标准得1分，满分3分；④系统安全性、稳定性保障：每完全满足一个评审标准得1分，满分3分；⑤应急处理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供应商针对本项目提供质量保证承诺方案。内容包含：①项目进度保障措施；②产品功能质量保障措施。 二、评审标准 1.完整性：方案必须全面，对评审内容中的各项要求有详细描述；2.针对性：方案能够紧扣项目实际情况，内容科学合理。三、赋分标准 ①项目进度保障措施：每完全满足一个评审标准得1分，满分2分；②产品功能质量保障措施：每完全满足一个评审标准得1分，满分2分。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产品来源渠道合法证明文件</w:t>
            </w:r>
          </w:p>
        </w:tc>
        <w:tc>
          <w:tcPr>
            <w:tcW w:type="dxa" w:w="2492"/>
          </w:tcPr>
          <w:p>
            <w:pPr>
              <w:pStyle w:val="null3"/>
            </w:pPr>
            <w:r>
              <w:rPr>
                <w:rFonts w:ascii="仿宋_GB2312" w:hAnsi="仿宋_GB2312" w:cs="仿宋_GB2312" w:eastAsia="仿宋_GB2312"/>
              </w:rPr>
              <w:t>供应商需提供本项目中的主要产品（产前诊断智慧云平台（SaaS服务）、产前诊断智慧数据管理平台、应用软硬一体机、存储交换机、网络交换机）来源渠道合法的证明文件，证明文件不限于销售协议或代理协议或原厂授权等，提供全部产品的合法来源渠道证明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一、评审内容：根据本项目拟投入的人员进行评审，内容包括：①人员数量、结构；②人员专业、工作经验；③人员管理制度。 二、评审标准：1.完整性：方案必须全面，对评审内容中的各项要求有详细描述；2.可实施性：切合本项目实际情况，提出步骤清晰、合理的方案；3.针对性：方案能够紧扣项目实际情况，内容科学合理。（注：拟投入本项目团队人员须为供应商单位在职人员并提供相关证明材料） 三、赋分标准：①人员数量、结构：每完全满足一个评审标准得1分，满分3分； ②人员专业、工作经验：每完全满足一个评审标准得1分，满分3分； ③人员管理制度：每完全满足一个评审标准得1分，满分3分。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售后服务及方案</w:t>
            </w:r>
          </w:p>
        </w:tc>
        <w:tc>
          <w:tcPr>
            <w:tcW w:type="dxa" w:w="2492"/>
          </w:tcPr>
          <w:p>
            <w:pPr>
              <w:pStyle w:val="null3"/>
            </w:pPr>
            <w:r>
              <w:rPr>
                <w:rFonts w:ascii="仿宋_GB2312" w:hAnsi="仿宋_GB2312" w:cs="仿宋_GB2312" w:eastAsia="仿宋_GB2312"/>
              </w:rPr>
              <w:t>一、评审内容 供应商针对本项目提供完整的售后服务方案。内容包含：①售后服务保障体系,包括但不限于售后服务内容、服务流程、服务方式等内容；②提供各类故障解决响应时间。 二、评审标准 1.完整性：方案必须全面，对评审内容中的各项要求有详细描述；2.可实施性：切合本项目实际情况，提出步骤清晰、合理的方案；3.针对性：方案能够紧扣项目实际情况，内容科学合理。 三、赋分标准 ①售后服务保障体系：每完全满足一个评审标准得1分，满分3分；②提供各类故障解决响应时间：每完全满足一个评审标准得1分，满分3分。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根据供应商提供的培训方案和培训计划进行综合评审。 培训方案完整、全面，符合项目需求得4分；培训方案较为完整、全面，基本符合项目需求得2分；培训方案不够全面，不能完全符合项目需求得1分；未提供的得0分。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付款方式、交货期、交付地点、质保期的响应全部满足要求得3分，否则不得分。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6、技术响应.docx</w:t>
            </w:r>
          </w:p>
          <w:p>
            <w:pPr>
              <w:pStyle w:val="null3"/>
            </w:pPr>
            <w:r>
              <w:rPr>
                <w:rFonts w:ascii="仿宋_GB2312" w:hAnsi="仿宋_GB2312" w:cs="仿宋_GB2312" w:eastAsia="仿宋_GB2312"/>
              </w:rPr>
              <w:t>5、商务响应.docx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提供供应商自2023年4月1日至响应文件递交截止时间前（以合同签订时间为准）类似项目业绩，需提供完整且清晰有效的合同复印件，每提供一份得2分，最多得6分。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1、磋商响应第一次报价表及报价明细表.docx</w:t>
            </w:r>
          </w:p>
          <w:p>
            <w:pPr>
              <w:pStyle w:val="null3"/>
            </w:pPr>
            <w:r>
              <w:rPr>
                <w:rFonts w:ascii="仿宋_GB2312" w:hAnsi="仿宋_GB2312" w:cs="仿宋_GB2312" w:eastAsia="仿宋_GB2312"/>
              </w:rPr>
              <w:t>8、响应政府采购政策的证明资料.docx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8、响应政府采购政策的证明资料.docx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全部满足采购需求得14分，每负偏离一项扣1分，扣完为止。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6、技术响应.docx</w:t>
            </w:r>
          </w:p>
          <w:p>
            <w:pPr>
              <w:pStyle w:val="null3"/>
            </w:pPr>
            <w:r>
              <w:rPr>
                <w:rFonts w:ascii="仿宋_GB2312" w:hAnsi="仿宋_GB2312" w:cs="仿宋_GB2312" w:eastAsia="仿宋_GB2312"/>
              </w:rPr>
              <w:t>5、商务响应.docx</w:t>
            </w:r>
          </w:p>
        </w:tc>
      </w:tr>
      <w:tr>
        <w:tc>
          <w:tcPr>
            <w:tcW w:type="dxa" w:w="831"/>
            <w:vMerge/>
          </w:tcPr>
          <w:p/>
        </w:tc>
        <w:tc>
          <w:tcPr>
            <w:tcW w:type="dxa" w:w="1661"/>
          </w:tcPr>
          <w:p>
            <w:pPr>
              <w:pStyle w:val="null3"/>
            </w:pPr>
            <w:r>
              <w:rPr>
                <w:rFonts w:ascii="仿宋_GB2312" w:hAnsi="仿宋_GB2312" w:cs="仿宋_GB2312" w:eastAsia="仿宋_GB2312"/>
              </w:rPr>
              <w:t>产品功能</w:t>
            </w:r>
          </w:p>
        </w:tc>
        <w:tc>
          <w:tcPr>
            <w:tcW w:type="dxa" w:w="2492"/>
          </w:tcPr>
          <w:p>
            <w:pPr>
              <w:pStyle w:val="null3"/>
            </w:pPr>
            <w:r>
              <w:rPr>
                <w:rFonts w:ascii="仿宋_GB2312" w:hAnsi="仿宋_GB2312" w:cs="仿宋_GB2312" w:eastAsia="仿宋_GB2312"/>
              </w:rPr>
              <w:t>一、评审内容产品功能。内容包含：①产品功能配置及选型、产品成熟度、性能稳定性。 二、评审标准 1.完整性：产品配置齐全、选型合理、规格描述详细；2.可实施性：产品成熟度较高、技术工艺先进，性能稳定； 三、赋分标准 ①系产品功能配置及选型、产品成熟度、性能稳定性：每完全满足一个评审标准得2分，若每项评分标准相对一般得1分；满分4分；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供应商针对本项目提供质量保证承诺方案。内容包含：①项目进度保障措施；②产品功能质量保障措施。 二、评审标准 1、完整性：内容必须全面，对评审内容中的各项要求有详细描述； 2、可实施性：切合本项目实际情况，提出清晰、合理的内容； 3、针对性：内容能够紧扣项目实际情况，内容科学合理。三、赋分标准 ①项目进度保障措施：每完全满足一个评审标准得1分，满分3分；②产品功能质量保障措施：每完全满足一个评审标准得1分，满分3分。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6、技术响应.docx</w:t>
            </w:r>
          </w:p>
          <w:p>
            <w:pPr>
              <w:pStyle w:val="null3"/>
            </w:pPr>
            <w:r>
              <w:rPr>
                <w:rFonts w:ascii="仿宋_GB2312" w:hAnsi="仿宋_GB2312" w:cs="仿宋_GB2312" w:eastAsia="仿宋_GB2312"/>
              </w:rPr>
              <w:t>5、商务响应.docx</w:t>
            </w:r>
          </w:p>
        </w:tc>
      </w:tr>
      <w:tr>
        <w:tc>
          <w:tcPr>
            <w:tcW w:type="dxa" w:w="831"/>
            <w:vMerge/>
          </w:tcPr>
          <w:p/>
        </w:tc>
        <w:tc>
          <w:tcPr>
            <w:tcW w:type="dxa" w:w="1661"/>
          </w:tcPr>
          <w:p>
            <w:pPr>
              <w:pStyle w:val="null3"/>
            </w:pPr>
            <w:r>
              <w:rPr>
                <w:rFonts w:ascii="仿宋_GB2312" w:hAnsi="仿宋_GB2312" w:cs="仿宋_GB2312" w:eastAsia="仿宋_GB2312"/>
              </w:rPr>
              <w:t>产品来源渠道合法证明文件</w:t>
            </w:r>
          </w:p>
        </w:tc>
        <w:tc>
          <w:tcPr>
            <w:tcW w:type="dxa" w:w="2492"/>
          </w:tcPr>
          <w:p>
            <w:pPr>
              <w:pStyle w:val="null3"/>
            </w:pPr>
            <w:r>
              <w:rPr>
                <w:rFonts w:ascii="仿宋_GB2312" w:hAnsi="仿宋_GB2312" w:cs="仿宋_GB2312" w:eastAsia="仿宋_GB2312"/>
              </w:rPr>
              <w:t>供应商需提供本项目中的主要产品（前置一体机、存储软硬一体机）来源渠道合法的证明文件，证明文件不限于销售协议或代理协议或原厂授权等，提供全部产品的合法来源渠道证明得3分，否则不得分。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项目组织机构人员安排及供货、配送、安装、调试方案；②产品测试、验收措施；③培训方案；④提供设备使用期间可能会发生的故障及故障发生后的响应时间及补救方案。 二、评审标准： 1、完整性：内容必须全面，对评审内容中的各项要求有详细描述； 2、可实施性：切合本项目实际情况，提出清晰、合理的内容； 3、针对性：内容能够紧扣项目实际情况，内容科学合理。 三、赋分标准（满分12分） ①项目组织机构人员安排及供货、配送、安装、调试方案：每完全满足一项评审标准，每项得1分，满分3分； ②产品测试、验收措施：每完全满足一项评审标准，每项得1分，满分3分； ③培训方案：每完全满足一项评审标准，每项得1分，满分3分； ④提供设备使用期间可能会发生的故障及故障发生后的响应时间及补救方案：每完全满足一项评审标准，每项得1分，满分3分；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一、评审内容：根据本项目拟投入的人员进行评审，内容包括：①人员数量、结构；②人员专业、工作经验；③人员管理制度。 二、评审标准：1.完整性：方案必须全面，对评审内容中的各项要求有详细描述；2.可实施性：切合本项目实际情况，提出步骤清晰、合理的方案；3.针对性：方案能够紧扣项目实际情况，内容科学合理。（注：拟投入本项目团队人员须为供应商单位在职人员并提供相关证明材料） 三、赋分标准：①人员数量、结构：每完全满足一个评审标准得1分，满分3分； ②人员专业、工作经验：每完全满足一个评审标准得1分，满分3分； ③人员管理制度：每完全满足一个评审标准得1分，满分3分。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售后服务及方案</w:t>
            </w:r>
          </w:p>
        </w:tc>
        <w:tc>
          <w:tcPr>
            <w:tcW w:type="dxa" w:w="2492"/>
          </w:tcPr>
          <w:p>
            <w:pPr>
              <w:pStyle w:val="null3"/>
            </w:pPr>
            <w:r>
              <w:rPr>
                <w:rFonts w:ascii="仿宋_GB2312" w:hAnsi="仿宋_GB2312" w:cs="仿宋_GB2312" w:eastAsia="仿宋_GB2312"/>
              </w:rPr>
              <w:t>一、评审内容： 针对本项目提出售后服务内容包含：①售后服务措施；②售后服务机构及制造商服务网点分布、工程师名单、联系电话；③备品备件供应服务④售后服务承诺。 二、评审标准： 1、完整性：内容必须全面，对评审内容中的各项要求有详细描述； 2、可实施性：切合本项目实际情况，提出清晰、合理的内容； 3、针对性：内容能够紧扣项目实际情况，内容科学合理。 三、赋分标准（满分12分） ①售后服务措施：每完全满足一项评审标准，每项得1分，满分3分； ②售后服务机构及售后服务人员配备：每完全满足一项评审标准，每项得1分，满分3分； ③备品备件供应服务：每完全满足一项评审标准，每项得1分，满分3分； ④售后服务承诺：每完全满足一项评审标准，每项得1分，满分3分；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付款方式、交货期、交付地点、质保期的响应全部满足要求得4分，否则不得分。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提供供应商自2023年4月1日至响应文件递交截止时间前（以合同签订时间为准）类似项目业绩，需提供完整且清晰有效的合同复印件，每提供一份得2分，最多得6分。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5、商务响应.docx</w:t>
            </w:r>
          </w:p>
          <w:p>
            <w:pPr>
              <w:pStyle w:val="null3"/>
            </w:pPr>
            <w:r>
              <w:rPr>
                <w:rFonts w:ascii="仿宋_GB2312" w:hAnsi="仿宋_GB2312" w:cs="仿宋_GB2312" w:eastAsia="仿宋_GB2312"/>
              </w:rPr>
              <w:t>6、技术响应.docx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1、磋商响应第一次报价表及报价明细表.docx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8、响应政府采购政策的证明资料.docx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8、响应政府采购政策的证明资料.docx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详见附件：1、磋商响应第一次报价表及报价明细表.docx</w:t>
      </w:r>
    </w:p>
    <w:p>
      <w:pPr>
        <w:pStyle w:val="null3"/>
        <w:ind w:firstLine="960"/>
      </w:pPr>
      <w:r>
        <w:rPr>
          <w:rFonts w:ascii="仿宋_GB2312" w:hAnsi="仿宋_GB2312" w:cs="仿宋_GB2312" w:eastAsia="仿宋_GB2312"/>
        </w:rPr>
        <w:t>详见附件：2、法定代表人身份证明.docx</w:t>
      </w:r>
    </w:p>
    <w:p>
      <w:pPr>
        <w:pStyle w:val="null3"/>
        <w:ind w:firstLine="960"/>
      </w:pPr>
      <w:r>
        <w:rPr>
          <w:rFonts w:ascii="仿宋_GB2312" w:hAnsi="仿宋_GB2312" w:cs="仿宋_GB2312" w:eastAsia="仿宋_GB2312"/>
        </w:rPr>
        <w:t>详见附件：3、法定代表人授权委托书.docx</w:t>
      </w:r>
    </w:p>
    <w:p>
      <w:pPr>
        <w:pStyle w:val="null3"/>
        <w:ind w:firstLine="960"/>
      </w:pPr>
      <w:r>
        <w:rPr>
          <w:rFonts w:ascii="仿宋_GB2312" w:hAnsi="仿宋_GB2312" w:cs="仿宋_GB2312" w:eastAsia="仿宋_GB2312"/>
        </w:rPr>
        <w:t>详见附件：4、资格证明资料.docx</w:t>
      </w:r>
    </w:p>
    <w:p>
      <w:pPr>
        <w:pStyle w:val="null3"/>
        <w:ind w:firstLine="960"/>
      </w:pPr>
      <w:r>
        <w:rPr>
          <w:rFonts w:ascii="仿宋_GB2312" w:hAnsi="仿宋_GB2312" w:cs="仿宋_GB2312" w:eastAsia="仿宋_GB2312"/>
        </w:rPr>
        <w:t>详见附件：5、商务响应.docx</w:t>
      </w:r>
    </w:p>
    <w:p>
      <w:pPr>
        <w:pStyle w:val="null3"/>
        <w:ind w:firstLine="960"/>
      </w:pPr>
      <w:r>
        <w:rPr>
          <w:rFonts w:ascii="仿宋_GB2312" w:hAnsi="仿宋_GB2312" w:cs="仿宋_GB2312" w:eastAsia="仿宋_GB2312"/>
        </w:rPr>
        <w:t>详见附件：6、技术响应.docx</w:t>
      </w:r>
    </w:p>
    <w:p>
      <w:pPr>
        <w:pStyle w:val="null3"/>
        <w:ind w:firstLine="960"/>
      </w:pPr>
      <w:r>
        <w:rPr>
          <w:rFonts w:ascii="仿宋_GB2312" w:hAnsi="仿宋_GB2312" w:cs="仿宋_GB2312" w:eastAsia="仿宋_GB2312"/>
        </w:rPr>
        <w:t>详见附件：7、承诺书.docx</w:t>
      </w:r>
    </w:p>
    <w:p>
      <w:pPr>
        <w:pStyle w:val="null3"/>
        <w:ind w:firstLine="960"/>
      </w:pPr>
      <w:r>
        <w:rPr>
          <w:rFonts w:ascii="仿宋_GB2312" w:hAnsi="仿宋_GB2312" w:cs="仿宋_GB2312" w:eastAsia="仿宋_GB2312"/>
        </w:rPr>
        <w:t>详见附件：8、响应政府采购政策的证明资料.docx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详见附件：1、磋商响应第一次报价表及报价明细表.docx</w:t>
      </w:r>
    </w:p>
    <w:p>
      <w:pPr>
        <w:pStyle w:val="null3"/>
        <w:ind w:firstLine="960"/>
      </w:pPr>
      <w:r>
        <w:rPr>
          <w:rFonts w:ascii="仿宋_GB2312" w:hAnsi="仿宋_GB2312" w:cs="仿宋_GB2312" w:eastAsia="仿宋_GB2312"/>
        </w:rPr>
        <w:t>详见附件：2、法定代表人身份证明.docx</w:t>
      </w:r>
    </w:p>
    <w:p>
      <w:pPr>
        <w:pStyle w:val="null3"/>
        <w:ind w:firstLine="960"/>
      </w:pPr>
      <w:r>
        <w:rPr>
          <w:rFonts w:ascii="仿宋_GB2312" w:hAnsi="仿宋_GB2312" w:cs="仿宋_GB2312" w:eastAsia="仿宋_GB2312"/>
        </w:rPr>
        <w:t>详见附件：3、法定代表人授权委托书.docx</w:t>
      </w:r>
    </w:p>
    <w:p>
      <w:pPr>
        <w:pStyle w:val="null3"/>
        <w:ind w:firstLine="960"/>
      </w:pPr>
      <w:r>
        <w:rPr>
          <w:rFonts w:ascii="仿宋_GB2312" w:hAnsi="仿宋_GB2312" w:cs="仿宋_GB2312" w:eastAsia="仿宋_GB2312"/>
        </w:rPr>
        <w:t>详见附件：4、资格证明资料.docx</w:t>
      </w:r>
    </w:p>
    <w:p>
      <w:pPr>
        <w:pStyle w:val="null3"/>
        <w:ind w:firstLine="960"/>
      </w:pPr>
      <w:r>
        <w:rPr>
          <w:rFonts w:ascii="仿宋_GB2312" w:hAnsi="仿宋_GB2312" w:cs="仿宋_GB2312" w:eastAsia="仿宋_GB2312"/>
        </w:rPr>
        <w:t>详见附件：5、商务响应.docx</w:t>
      </w:r>
    </w:p>
    <w:p>
      <w:pPr>
        <w:pStyle w:val="null3"/>
        <w:ind w:firstLine="960"/>
      </w:pPr>
      <w:r>
        <w:rPr>
          <w:rFonts w:ascii="仿宋_GB2312" w:hAnsi="仿宋_GB2312" w:cs="仿宋_GB2312" w:eastAsia="仿宋_GB2312"/>
        </w:rPr>
        <w:t>详见附件：6、技术响应.docx</w:t>
      </w:r>
    </w:p>
    <w:p>
      <w:pPr>
        <w:pStyle w:val="null3"/>
        <w:ind w:firstLine="960"/>
      </w:pPr>
      <w:r>
        <w:rPr>
          <w:rFonts w:ascii="仿宋_GB2312" w:hAnsi="仿宋_GB2312" w:cs="仿宋_GB2312" w:eastAsia="仿宋_GB2312"/>
        </w:rPr>
        <w:t>详见附件：7、承诺书.docx</w:t>
      </w:r>
    </w:p>
    <w:p>
      <w:pPr>
        <w:pStyle w:val="null3"/>
        <w:ind w:firstLine="960"/>
      </w:pPr>
      <w:r>
        <w:rPr>
          <w:rFonts w:ascii="仿宋_GB2312" w:hAnsi="仿宋_GB2312" w:cs="仿宋_GB2312" w:eastAsia="仿宋_GB2312"/>
        </w:rPr>
        <w:t>详见附件：8、响应政府采购政策的证明资料.docx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详见附件：附件：第八章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