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92E89">
      <w:pPr>
        <w:pStyle w:val="11"/>
        <w:numPr>
          <w:ilvl w:val="0"/>
          <w:numId w:val="1"/>
        </w:numPr>
        <w:jc w:val="center"/>
        <w:outlineLvl w:val="1"/>
        <w:rPr>
          <w:rFonts w:hint="eastAsia" w:ascii="宋体" w:hAnsi="宋体" w:eastAsia="宋体" w:cs="宋体"/>
          <w:b/>
          <w:bCs/>
          <w:color w:val="auto"/>
          <w:spacing w:val="0"/>
          <w:position w:val="0"/>
          <w:sz w:val="31"/>
          <w:szCs w:val="31"/>
          <w:highlight w:val="none"/>
        </w:rPr>
      </w:pPr>
      <w:r>
        <w:rPr>
          <w:rFonts w:hint="eastAsia" w:ascii="宋体" w:hAnsi="宋体" w:eastAsia="宋体" w:cs="宋体"/>
          <w:b/>
          <w:bCs/>
          <w:color w:val="auto"/>
          <w:spacing w:val="0"/>
          <w:position w:val="0"/>
          <w:sz w:val="31"/>
          <w:szCs w:val="31"/>
          <w:highlight w:val="none"/>
          <w:lang w:val="en-US" w:eastAsia="zh-CN"/>
        </w:rPr>
        <w:t xml:space="preserve"> </w:t>
      </w:r>
      <w:r>
        <w:rPr>
          <w:rFonts w:hint="eastAsia" w:ascii="宋体" w:hAnsi="宋体" w:eastAsia="宋体" w:cs="宋体"/>
          <w:b/>
          <w:bCs/>
          <w:color w:val="auto"/>
          <w:spacing w:val="0"/>
          <w:position w:val="0"/>
          <w:sz w:val="31"/>
          <w:szCs w:val="31"/>
          <w:highlight w:val="none"/>
        </w:rPr>
        <w:t>拟签订采购合同文本</w:t>
      </w:r>
    </w:p>
    <w:p w14:paraId="1D9059F4">
      <w:pPr>
        <w:pStyle w:val="4"/>
        <w:shd w:val="clear" w:color="auto" w:fill="auto"/>
        <w:jc w:val="center"/>
        <w:rPr>
          <w:rFonts w:hint="eastAsia" w:hAnsi="宋体" w:cs="宋体"/>
          <w:b/>
          <w:bCs/>
          <w:color w:val="auto"/>
          <w:sz w:val="56"/>
          <w:szCs w:val="56"/>
          <w:highlight w:val="none"/>
          <w:lang w:eastAsia="zh-CN"/>
        </w:rPr>
      </w:pPr>
    </w:p>
    <w:p w14:paraId="775C8D53">
      <w:pPr>
        <w:pStyle w:val="4"/>
        <w:shd w:val="clear" w:color="auto" w:fill="auto"/>
        <w:jc w:val="center"/>
        <w:rPr>
          <w:rFonts w:hint="eastAsia" w:ascii="宋体" w:hAnsi="宋体" w:eastAsia="宋体" w:cs="宋体"/>
          <w:b/>
          <w:color w:val="auto"/>
          <w:sz w:val="28"/>
          <w:szCs w:val="28"/>
          <w:highlight w:val="none"/>
        </w:rPr>
      </w:pPr>
      <w:bookmarkStart w:id="0" w:name="_GoBack"/>
      <w:bookmarkEnd w:id="0"/>
      <w:r>
        <w:rPr>
          <w:rFonts w:hint="eastAsia" w:hAnsi="宋体" w:cs="宋体"/>
          <w:b/>
          <w:bCs/>
          <w:color w:val="auto"/>
          <w:sz w:val="56"/>
          <w:szCs w:val="56"/>
          <w:highlight w:val="none"/>
          <w:lang w:eastAsia="zh-CN"/>
        </w:rPr>
        <w:t>交警大队一、二中队餐饮服务项目</w:t>
      </w:r>
    </w:p>
    <w:p w14:paraId="2260682E">
      <w:pPr>
        <w:rPr>
          <w:rFonts w:hint="eastAsia" w:ascii="宋体" w:hAnsi="宋体" w:eastAsia="宋体" w:cs="宋体"/>
          <w:color w:val="auto"/>
          <w:highlight w:val="none"/>
        </w:rPr>
      </w:pPr>
    </w:p>
    <w:p w14:paraId="6407A76D">
      <w:pPr>
        <w:rPr>
          <w:rFonts w:hint="eastAsia" w:ascii="宋体" w:hAnsi="宋体" w:eastAsia="宋体" w:cs="宋体"/>
          <w:color w:val="auto"/>
          <w:sz w:val="22"/>
          <w:szCs w:val="22"/>
          <w:highlight w:val="none"/>
        </w:rPr>
      </w:pPr>
    </w:p>
    <w:p w14:paraId="4D6954EC">
      <w:pPr>
        <w:jc w:val="center"/>
        <w:rPr>
          <w:rFonts w:hint="eastAsia" w:ascii="宋体" w:hAnsi="宋体" w:eastAsia="宋体" w:cs="宋体"/>
          <w:b/>
          <w:color w:val="auto"/>
          <w:sz w:val="36"/>
          <w:szCs w:val="36"/>
          <w:highlight w:val="none"/>
        </w:rPr>
      </w:pPr>
    </w:p>
    <w:p w14:paraId="6CC034A6">
      <w:pPr>
        <w:jc w:val="center"/>
        <w:rPr>
          <w:rFonts w:hint="eastAsia" w:ascii="宋体" w:hAnsi="宋体" w:eastAsia="宋体" w:cs="宋体"/>
          <w:b/>
          <w:color w:val="auto"/>
          <w:sz w:val="56"/>
          <w:szCs w:val="56"/>
          <w:highlight w:val="none"/>
        </w:rPr>
      </w:pPr>
      <w:r>
        <w:rPr>
          <w:rFonts w:hint="eastAsia" w:ascii="宋体" w:hAnsi="宋体" w:eastAsia="宋体" w:cs="宋体"/>
          <w:b/>
          <w:color w:val="auto"/>
          <w:sz w:val="56"/>
          <w:szCs w:val="56"/>
          <w:highlight w:val="none"/>
        </w:rPr>
        <w:t xml:space="preserve">合 同 </w:t>
      </w:r>
    </w:p>
    <w:p w14:paraId="6BD8EFC7">
      <w:pPr>
        <w:pStyle w:val="2"/>
        <w:rPr>
          <w:rFonts w:hint="eastAsia" w:ascii="宋体" w:hAnsi="宋体" w:eastAsia="宋体" w:cs="宋体"/>
          <w:color w:val="auto"/>
          <w:highlight w:val="none"/>
        </w:rPr>
      </w:pPr>
      <w:r>
        <w:rPr>
          <w:rFonts w:hint="eastAsia" w:ascii="宋体" w:hAnsi="宋体" w:eastAsia="宋体" w:cs="宋体"/>
          <w:b/>
          <w:color w:val="auto"/>
          <w:kern w:val="0"/>
          <w:sz w:val="24"/>
          <w:szCs w:val="24"/>
          <w:highlight w:val="none"/>
        </w:rPr>
        <w:t>（本格式条款供双方签订合同参考，采购人可根据项目的实际情况增加条款和内容）</w:t>
      </w:r>
    </w:p>
    <w:p w14:paraId="560E9A48">
      <w:pPr>
        <w:jc w:val="center"/>
        <w:rPr>
          <w:rFonts w:hint="eastAsia" w:ascii="宋体" w:hAnsi="宋体" w:eastAsia="宋体" w:cs="宋体"/>
          <w:b/>
          <w:color w:val="auto"/>
          <w:sz w:val="48"/>
          <w:szCs w:val="48"/>
          <w:highlight w:val="none"/>
        </w:rPr>
      </w:pPr>
    </w:p>
    <w:p w14:paraId="32468836">
      <w:pPr>
        <w:pageBreakBefore w:val="0"/>
        <w:shd w:val="clear" w:color="auto" w:fill="auto"/>
        <w:kinsoku/>
        <w:wordWrap/>
        <w:topLinePunct w:val="0"/>
        <w:autoSpaceDE/>
        <w:autoSpaceDN/>
        <w:bidi w:val="0"/>
        <w:spacing w:line="240" w:lineRule="auto"/>
        <w:ind w:left="1469" w:hanging="1469" w:hangingChars="400"/>
        <w:jc w:val="center"/>
        <w:rPr>
          <w:rFonts w:hint="eastAsia" w:ascii="宋体" w:hAnsi="宋体" w:eastAsia="宋体" w:cs="宋体"/>
          <w:b/>
          <w:spacing w:val="23"/>
          <w:sz w:val="32"/>
          <w:szCs w:val="32"/>
          <w:highlight w:val="none"/>
        </w:rPr>
      </w:pPr>
      <w:r>
        <w:rPr>
          <w:rFonts w:hint="eastAsia" w:ascii="宋体" w:hAnsi="宋体" w:eastAsia="宋体" w:cs="宋体"/>
          <w:b/>
          <w:spacing w:val="23"/>
          <w:sz w:val="32"/>
          <w:szCs w:val="32"/>
          <w:highlight w:val="none"/>
          <w:lang w:val="en-US" w:eastAsia="zh-CN"/>
        </w:rPr>
        <w:t>本合同为第</w:t>
      </w:r>
      <w:r>
        <w:rPr>
          <w:rFonts w:hint="eastAsia" w:ascii="宋体" w:hAnsi="宋体" w:eastAsia="宋体" w:cs="宋体"/>
          <w:b/>
          <w:spacing w:val="23"/>
          <w:sz w:val="32"/>
          <w:szCs w:val="32"/>
          <w:highlight w:val="none"/>
          <w:u w:val="single"/>
          <w:lang w:val="en-US" w:eastAsia="zh-CN"/>
        </w:rPr>
        <w:t xml:space="preserve">    </w:t>
      </w:r>
      <w:r>
        <w:rPr>
          <w:rFonts w:hint="eastAsia" w:ascii="宋体" w:hAnsi="宋体" w:eastAsia="宋体" w:cs="宋体"/>
          <w:b/>
          <w:spacing w:val="23"/>
          <w:sz w:val="32"/>
          <w:szCs w:val="32"/>
          <w:highlight w:val="none"/>
          <w:lang w:val="en-US" w:eastAsia="zh-CN"/>
        </w:rPr>
        <w:t>阶段合同</w:t>
      </w:r>
    </w:p>
    <w:p w14:paraId="676CACC0">
      <w:pPr>
        <w:rPr>
          <w:rFonts w:hint="eastAsia" w:ascii="宋体" w:hAnsi="宋体" w:eastAsia="宋体" w:cs="宋体"/>
          <w:b/>
          <w:color w:val="auto"/>
          <w:highlight w:val="none"/>
        </w:rPr>
      </w:pPr>
    </w:p>
    <w:p w14:paraId="718C1AA7">
      <w:pPr>
        <w:rPr>
          <w:rFonts w:hint="eastAsia" w:ascii="宋体" w:hAnsi="宋体" w:eastAsia="宋体" w:cs="宋体"/>
          <w:b/>
          <w:color w:val="auto"/>
          <w:highlight w:val="none"/>
        </w:rPr>
      </w:pPr>
    </w:p>
    <w:p w14:paraId="52305FE1">
      <w:pPr>
        <w:rPr>
          <w:rFonts w:hint="eastAsia" w:ascii="宋体" w:hAnsi="宋体" w:eastAsia="宋体" w:cs="宋体"/>
          <w:b/>
          <w:color w:val="auto"/>
          <w:highlight w:val="none"/>
        </w:rPr>
      </w:pPr>
    </w:p>
    <w:p w14:paraId="35D09B8F">
      <w:pPr>
        <w:rPr>
          <w:rFonts w:hint="eastAsia" w:ascii="宋体" w:hAnsi="宋体" w:eastAsia="宋体" w:cs="宋体"/>
          <w:b/>
          <w:color w:val="auto"/>
          <w:highlight w:val="none"/>
        </w:rPr>
      </w:pPr>
    </w:p>
    <w:p w14:paraId="3C66594D">
      <w:pPr>
        <w:rPr>
          <w:rFonts w:hint="eastAsia" w:ascii="宋体" w:hAnsi="宋体" w:eastAsia="宋体" w:cs="宋体"/>
          <w:b/>
          <w:color w:val="auto"/>
          <w:highlight w:val="none"/>
        </w:rPr>
      </w:pPr>
    </w:p>
    <w:p w14:paraId="060C0A7C">
      <w:pPr>
        <w:pStyle w:val="2"/>
        <w:ind w:left="0" w:leftChars="0" w:firstLine="0" w:firstLineChars="0"/>
        <w:rPr>
          <w:rFonts w:hint="eastAsia" w:ascii="宋体" w:hAnsi="宋体" w:eastAsia="宋体" w:cs="宋体"/>
          <w:b/>
          <w:color w:val="auto"/>
          <w:sz w:val="48"/>
          <w:szCs w:val="48"/>
          <w:highlight w:val="none"/>
        </w:rPr>
      </w:pPr>
    </w:p>
    <w:p w14:paraId="69F14602">
      <w:pPr>
        <w:rPr>
          <w:rFonts w:hint="eastAsia" w:ascii="宋体" w:hAnsi="宋体" w:eastAsia="宋体" w:cs="宋体"/>
          <w:b/>
          <w:color w:val="auto"/>
          <w:sz w:val="48"/>
          <w:szCs w:val="48"/>
          <w:highlight w:val="none"/>
        </w:rPr>
      </w:pPr>
    </w:p>
    <w:p w14:paraId="6316BD13">
      <w:pPr>
        <w:rPr>
          <w:rFonts w:hint="eastAsia" w:ascii="宋体" w:hAnsi="宋体" w:eastAsia="宋体" w:cs="宋体"/>
          <w:color w:val="auto"/>
          <w:highlight w:val="none"/>
        </w:rPr>
      </w:pPr>
    </w:p>
    <w:p w14:paraId="5616CB5B">
      <w:pPr>
        <w:spacing w:line="360" w:lineRule="auto"/>
        <w:ind w:left="1298" w:leftChars="590" w:firstLine="984" w:firstLineChars="268"/>
        <w:jc w:val="both"/>
        <w:rPr>
          <w:rFonts w:hint="default" w:ascii="宋体" w:hAnsi="宋体" w:eastAsia="宋体" w:cs="宋体"/>
          <w:b/>
          <w:color w:val="auto"/>
          <w:spacing w:val="23"/>
          <w:sz w:val="32"/>
          <w:szCs w:val="32"/>
          <w:highlight w:val="none"/>
          <w:u w:val="single"/>
          <w:lang w:val="en-US" w:eastAsia="zh-CN"/>
        </w:rPr>
      </w:pPr>
      <w:r>
        <w:rPr>
          <w:rFonts w:hint="eastAsia" w:ascii="宋体" w:hAnsi="宋体" w:eastAsia="宋体" w:cs="宋体"/>
          <w:b/>
          <w:color w:val="auto"/>
          <w:spacing w:val="23"/>
          <w:sz w:val="32"/>
          <w:szCs w:val="32"/>
          <w:highlight w:val="none"/>
        </w:rPr>
        <w:t>甲方：</w:t>
      </w:r>
      <w:r>
        <w:rPr>
          <w:rFonts w:hint="eastAsia" w:ascii="宋体" w:hAnsi="宋体" w:eastAsia="宋体" w:cs="宋体"/>
          <w:b/>
          <w:color w:val="auto"/>
          <w:spacing w:val="23"/>
          <w:sz w:val="32"/>
          <w:szCs w:val="32"/>
          <w:highlight w:val="none"/>
          <w:u w:val="single"/>
          <w:lang w:val="en-US" w:eastAsia="zh-CN"/>
        </w:rPr>
        <w:t xml:space="preserve">                 </w:t>
      </w:r>
    </w:p>
    <w:p w14:paraId="4E934F69">
      <w:pPr>
        <w:spacing w:line="360" w:lineRule="auto"/>
        <w:ind w:left="1300" w:leftChars="591" w:firstLine="1102" w:firstLineChars="300"/>
        <w:jc w:val="both"/>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b/>
          <w:color w:val="auto"/>
          <w:spacing w:val="23"/>
          <w:sz w:val="32"/>
          <w:szCs w:val="32"/>
          <w:highlight w:val="none"/>
          <w:u w:val="single"/>
          <w:lang w:val="en-US" w:eastAsia="zh-CN"/>
        </w:rPr>
        <w:t xml:space="preserve">                 </w:t>
      </w:r>
    </w:p>
    <w:p w14:paraId="0370B83E">
      <w:pPr>
        <w:spacing w:line="500" w:lineRule="atLeast"/>
        <w:jc w:val="center"/>
        <w:rPr>
          <w:rFonts w:hint="eastAsia" w:ascii="宋体" w:hAnsi="宋体" w:eastAsia="宋体" w:cs="宋体"/>
          <w:color w:val="auto"/>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日</w:t>
      </w:r>
    </w:p>
    <w:p w14:paraId="7BB4C5DD">
      <w:pPr>
        <w:widowControl/>
        <w:spacing w:line="520" w:lineRule="exact"/>
        <w:jc w:val="left"/>
        <w:rPr>
          <w:rFonts w:hint="eastAsia" w:ascii="宋体" w:hAnsi="宋体" w:eastAsia="宋体" w:cs="宋体"/>
          <w:bCs/>
          <w:color w:val="auto"/>
          <w:sz w:val="28"/>
          <w:szCs w:val="28"/>
          <w:highlight w:val="none"/>
        </w:rPr>
      </w:pPr>
    </w:p>
    <w:p w14:paraId="568107AE">
      <w:pPr>
        <w:widowControl/>
        <w:spacing w:line="520" w:lineRule="exact"/>
        <w:jc w:val="left"/>
        <w:rPr>
          <w:rFonts w:hint="eastAsia" w:ascii="宋体" w:hAnsi="宋体" w:eastAsia="宋体" w:cs="宋体"/>
          <w:bCs/>
          <w:color w:val="auto"/>
          <w:sz w:val="28"/>
          <w:szCs w:val="28"/>
          <w:highlight w:val="none"/>
        </w:rPr>
      </w:pPr>
    </w:p>
    <w:p w14:paraId="5080B9F6">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sz w:val="21"/>
          <w:szCs w:val="21"/>
          <w:highlight w:val="none"/>
        </w:rPr>
        <w:sectPr>
          <w:footerReference r:id="rId7" w:type="first"/>
          <w:headerReference r:id="rId5" w:type="default"/>
          <w:footerReference r:id="rId6" w:type="default"/>
          <w:pgSz w:w="11906" w:h="16838"/>
          <w:pgMar w:top="1440" w:right="1080" w:bottom="1440" w:left="1080" w:header="1134" w:footer="992" w:gutter="0"/>
          <w:pgNumType w:fmt="decimal"/>
          <w:cols w:space="720" w:num="1"/>
          <w:titlePg/>
          <w:docGrid w:type="lines" w:linePitch="333" w:charSpace="0"/>
        </w:sectPr>
      </w:pPr>
    </w:p>
    <w:p w14:paraId="2136ED9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甲方：</w:t>
      </w:r>
      <w:r>
        <w:rPr>
          <w:rFonts w:hint="eastAsia" w:cs="宋体"/>
          <w:color w:val="auto"/>
          <w:sz w:val="30"/>
          <w:szCs w:val="30"/>
          <w:highlight w:val="none"/>
          <w:u w:val="single"/>
          <w:lang w:val="en-US" w:eastAsia="zh-CN"/>
        </w:rPr>
        <w:t xml:space="preserve">                                    </w:t>
      </w:r>
    </w:p>
    <w:p w14:paraId="4E7782B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乙</w:t>
      </w:r>
      <w:r>
        <w:rPr>
          <w:rFonts w:hint="eastAsia" w:ascii="宋体" w:hAnsi="宋体" w:eastAsia="宋体" w:cs="宋体"/>
          <w:sz w:val="21"/>
          <w:szCs w:val="21"/>
          <w:highlight w:val="none"/>
        </w:rPr>
        <w:t>方：</w:t>
      </w:r>
      <w:r>
        <w:rPr>
          <w:rFonts w:hint="eastAsia" w:cs="宋体"/>
          <w:color w:val="auto"/>
          <w:sz w:val="30"/>
          <w:szCs w:val="30"/>
          <w:highlight w:val="none"/>
          <w:u w:val="single"/>
          <w:lang w:val="en-US" w:eastAsia="zh-CN"/>
        </w:rPr>
        <w:t xml:space="preserve">                                    </w:t>
      </w:r>
    </w:p>
    <w:p w14:paraId="1110E179">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依照《中华人民共和国政府采购法》及实施条例、《中华人民共和国民法典》等法律、行政法规，遵循平等、自愿、公平和诚实信用的原</w:t>
      </w:r>
      <w:r>
        <w:rPr>
          <w:rFonts w:hint="eastAsia" w:ascii="宋体" w:hAnsi="宋体" w:eastAsia="宋体" w:cs="宋体"/>
          <w:color w:val="auto"/>
          <w:kern w:val="0"/>
          <w:sz w:val="21"/>
          <w:szCs w:val="21"/>
          <w:highlight w:val="none"/>
        </w:rPr>
        <w:t>则，双方就</w:t>
      </w:r>
      <w:r>
        <w:rPr>
          <w:rFonts w:hint="eastAsia" w:ascii="宋体" w:hAnsi="宋体" w:eastAsia="宋体" w:cs="宋体"/>
          <w:b/>
          <w:bCs/>
          <w:color w:val="auto"/>
          <w:kern w:val="0"/>
          <w:sz w:val="21"/>
          <w:szCs w:val="21"/>
          <w:highlight w:val="none"/>
        </w:rPr>
        <w:t>交警大队一、二中队餐饮服务项目</w:t>
      </w:r>
      <w:r>
        <w:rPr>
          <w:rFonts w:hint="eastAsia" w:ascii="宋体" w:hAnsi="宋体" w:eastAsia="宋体" w:cs="宋体"/>
          <w:color w:val="auto"/>
          <w:kern w:val="0"/>
          <w:sz w:val="21"/>
          <w:szCs w:val="21"/>
          <w:highlight w:val="none"/>
        </w:rPr>
        <w:t>范围与相关服务事项协商一致，订立本合同。</w:t>
      </w:r>
    </w:p>
    <w:p w14:paraId="5E24023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rPr>
        <w:t xml:space="preserve">第一条  </w:t>
      </w:r>
      <w:r>
        <w:rPr>
          <w:rFonts w:hint="eastAsia" w:ascii="宋体" w:hAnsi="宋体" w:eastAsia="宋体" w:cs="宋体"/>
          <w:b/>
          <w:bCs/>
          <w:kern w:val="0"/>
          <w:sz w:val="21"/>
          <w:szCs w:val="21"/>
          <w:highlight w:val="none"/>
          <w:lang w:val="en-US" w:eastAsia="zh-CN"/>
        </w:rPr>
        <w:t>项目概况</w:t>
      </w:r>
    </w:p>
    <w:p w14:paraId="5F9663B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1、项目名称：</w:t>
      </w:r>
      <w:r>
        <w:rPr>
          <w:rFonts w:hint="eastAsia" w:ascii="宋体" w:hAnsi="宋体" w:eastAsia="宋体" w:cs="宋体"/>
          <w:kern w:val="0"/>
          <w:sz w:val="21"/>
          <w:szCs w:val="21"/>
          <w:highlight w:val="none"/>
          <w:u w:val="single"/>
          <w:lang w:val="en-US" w:eastAsia="zh-CN"/>
        </w:rPr>
        <w:t xml:space="preserve">  交警大队一、二中队餐饮服务项目         </w:t>
      </w:r>
    </w:p>
    <w:p w14:paraId="530581E0">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2、项目编号：</w:t>
      </w:r>
      <w:r>
        <w:rPr>
          <w:rFonts w:hint="eastAsia" w:ascii="宋体" w:hAnsi="宋体" w:eastAsia="宋体" w:cs="宋体"/>
          <w:kern w:val="0"/>
          <w:sz w:val="21"/>
          <w:szCs w:val="21"/>
          <w:highlight w:val="none"/>
          <w:u w:val="single"/>
          <w:lang w:val="en-US" w:eastAsia="zh-CN"/>
        </w:rPr>
        <w:t xml:space="preserve">                                         </w:t>
      </w:r>
    </w:p>
    <w:p w14:paraId="22744D10">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lang w:val="en-US" w:eastAsia="zh-CN"/>
        </w:rPr>
        <w:t>3、项目地点：</w:t>
      </w:r>
      <w:r>
        <w:rPr>
          <w:rFonts w:hint="eastAsia" w:ascii="宋体" w:hAnsi="宋体" w:eastAsia="宋体" w:cs="宋体"/>
          <w:kern w:val="0"/>
          <w:sz w:val="21"/>
          <w:szCs w:val="21"/>
          <w:highlight w:val="none"/>
          <w:u w:val="single"/>
          <w:lang w:val="en-US" w:eastAsia="zh-CN"/>
        </w:rPr>
        <w:t xml:space="preserve"> 执勤一中队坐落位置：西安市浐灞国际港灞业大境小区沿长荣北路商业用房1-2层。</w:t>
      </w:r>
    </w:p>
    <w:p w14:paraId="61E3C29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u w:val="single"/>
          <w:lang w:val="en-US" w:eastAsia="zh-CN"/>
        </w:rPr>
        <w:t xml:space="preserve">执勤二中队坐落位置：西安市浐灞国际港总部产业园颐合庭小区沿欧亚六路商业用房1-3层。 </w:t>
      </w:r>
    </w:p>
    <w:p w14:paraId="752BE75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u w:val="none"/>
          <w:lang w:val="en-US" w:eastAsia="zh-CN"/>
        </w:rPr>
        <w:t>4、服务期：</w:t>
      </w:r>
      <w:r>
        <w:rPr>
          <w:rFonts w:hint="eastAsia" w:ascii="宋体" w:hAnsi="宋体" w:eastAsia="宋体" w:cs="宋体"/>
          <w:b w:val="0"/>
          <w:bCs w:val="0"/>
          <w:kern w:val="0"/>
          <w:sz w:val="21"/>
          <w:szCs w:val="21"/>
          <w:highlight w:val="none"/>
          <w:lang w:val="en-US" w:eastAsia="zh-CN"/>
        </w:rPr>
        <w:t>本项目总服务期共3年，合同分为3个阶段签订。其中每一阶段合同服务期为一年。</w:t>
      </w:r>
    </w:p>
    <w:p w14:paraId="79A041D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u w:val="none"/>
          <w:lang w:val="en-US" w:eastAsia="zh-CN"/>
        </w:rPr>
      </w:pPr>
      <w:r>
        <w:rPr>
          <w:rFonts w:hint="eastAsia" w:ascii="宋体" w:hAnsi="宋体" w:eastAsia="宋体" w:cs="宋体"/>
          <w:b w:val="0"/>
          <w:bCs w:val="0"/>
          <w:kern w:val="0"/>
          <w:sz w:val="21"/>
          <w:szCs w:val="21"/>
          <w:highlight w:val="none"/>
          <w:lang w:val="en-US" w:eastAsia="zh-CN"/>
        </w:rPr>
        <w:t>本次为第</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阶段（第</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年）合同，自（</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年</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月</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日起至</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年</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月</w:t>
      </w:r>
      <w:r>
        <w:rPr>
          <w:rFonts w:hint="eastAsia" w:ascii="宋体" w:hAnsi="宋体" w:eastAsia="宋体" w:cs="宋体"/>
          <w:b w:val="0"/>
          <w:bCs w:val="0"/>
          <w:kern w:val="0"/>
          <w:sz w:val="21"/>
          <w:szCs w:val="21"/>
          <w:highlight w:val="none"/>
          <w:u w:val="single"/>
          <w:lang w:val="en-US" w:eastAsia="zh-CN"/>
        </w:rPr>
        <w:t xml:space="preserve">     </w:t>
      </w:r>
      <w:r>
        <w:rPr>
          <w:rFonts w:hint="eastAsia" w:ascii="宋体" w:hAnsi="宋体" w:eastAsia="宋体" w:cs="宋体"/>
          <w:b w:val="0"/>
          <w:bCs w:val="0"/>
          <w:kern w:val="0"/>
          <w:sz w:val="21"/>
          <w:szCs w:val="21"/>
          <w:highlight w:val="none"/>
          <w:lang w:val="en-US" w:eastAsia="zh-CN"/>
        </w:rPr>
        <w:t>日止）</w:t>
      </w:r>
      <w:r>
        <w:rPr>
          <w:rFonts w:hint="eastAsia" w:ascii="宋体" w:hAnsi="宋体" w:eastAsia="宋体" w:cs="宋体"/>
          <w:kern w:val="0"/>
          <w:sz w:val="21"/>
          <w:szCs w:val="21"/>
          <w:highlight w:val="none"/>
          <w:u w:val="none"/>
          <w:lang w:val="en-US" w:eastAsia="zh-CN"/>
        </w:rPr>
        <w:t>。</w:t>
      </w:r>
    </w:p>
    <w:p w14:paraId="43810FB7">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Cs/>
          <w:sz w:val="21"/>
          <w:szCs w:val="21"/>
          <w:highlight w:val="none"/>
        </w:rPr>
      </w:pPr>
      <w:r>
        <w:rPr>
          <w:rFonts w:hint="eastAsia" w:ascii="宋体" w:hAnsi="宋体" w:eastAsia="宋体" w:cs="宋体"/>
          <w:kern w:val="0"/>
          <w:sz w:val="21"/>
          <w:szCs w:val="21"/>
          <w:highlight w:val="none"/>
          <w:u w:val="none"/>
          <w:lang w:val="en-US" w:eastAsia="zh-CN"/>
        </w:rPr>
        <w:t>上一阶段合同期满后，双方均无异议，协商后续签下一阶段合同，续签时合同其他内容不予改变。若乙方上一阶段的服务不能满足甲方要求，甲方可拒绝同乙方续签</w:t>
      </w:r>
      <w:r>
        <w:rPr>
          <w:rFonts w:hint="eastAsia" w:cs="宋体"/>
          <w:kern w:val="0"/>
          <w:sz w:val="21"/>
          <w:szCs w:val="21"/>
          <w:highlight w:val="none"/>
          <w:u w:val="none"/>
          <w:lang w:val="en-US" w:eastAsia="zh-CN"/>
        </w:rPr>
        <w:t>，且不视为甲方违约，甲方无需承担任何责任。</w:t>
      </w:r>
    </w:p>
    <w:p w14:paraId="3754E5E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第二条  合同金额</w:t>
      </w:r>
    </w:p>
    <w:p w14:paraId="279D0CC3">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1、合同形式：固定单价合同</w:t>
      </w:r>
    </w:p>
    <w:p w14:paraId="70FD01D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color w:val="auto"/>
          <w:sz w:val="21"/>
          <w:szCs w:val="21"/>
          <w:highlight w:val="none"/>
        </w:rPr>
        <w:t>餐费标准是供应商为完成本项目要求的全部服务内容最终价格的体现</w:t>
      </w:r>
      <w:r>
        <w:rPr>
          <w:rFonts w:hint="eastAsia" w:hAnsi="宋体" w:cs="宋体"/>
          <w:b w:val="0"/>
          <w:bCs w:val="0"/>
          <w:color w:val="auto"/>
          <w:sz w:val="21"/>
          <w:szCs w:val="21"/>
          <w:highlight w:val="none"/>
          <w:lang w:eastAsia="zh-CN"/>
        </w:rPr>
        <w:t>，</w:t>
      </w:r>
      <w:r>
        <w:rPr>
          <w:rFonts w:hint="eastAsia" w:hAnsi="宋体" w:cs="宋体"/>
          <w:kern w:val="2"/>
          <w:sz w:val="21"/>
          <w:szCs w:val="21"/>
          <w:highlight w:val="none"/>
          <w:lang w:val="en-US" w:eastAsia="zh-CN" w:bidi="ar-SA"/>
        </w:rPr>
        <w:t>包括但不限于服务费</w:t>
      </w:r>
      <w:r>
        <w:rPr>
          <w:rFonts w:hint="eastAsia" w:ascii="宋体" w:hAnsi="宋体" w:eastAsia="宋体" w:cs="宋体"/>
          <w:kern w:val="2"/>
          <w:sz w:val="21"/>
          <w:szCs w:val="21"/>
          <w:highlight w:val="none"/>
          <w:lang w:val="en-US" w:eastAsia="zh-CN" w:bidi="ar-SA"/>
        </w:rPr>
        <w:t>、食材采购费、</w:t>
      </w:r>
      <w:r>
        <w:rPr>
          <w:rFonts w:hint="eastAsia" w:hAnsi="宋体" w:cs="宋体"/>
          <w:kern w:val="2"/>
          <w:sz w:val="21"/>
          <w:szCs w:val="21"/>
          <w:highlight w:val="none"/>
          <w:lang w:val="en-US" w:eastAsia="zh-CN" w:bidi="ar-SA"/>
        </w:rPr>
        <w:t>水电费（仅为餐厅后厨使用部分）</w:t>
      </w:r>
      <w:r>
        <w:rPr>
          <w:rFonts w:hint="eastAsia" w:ascii="宋体" w:hAnsi="宋体" w:eastAsia="宋体" w:cs="宋体"/>
          <w:kern w:val="2"/>
          <w:sz w:val="21"/>
          <w:szCs w:val="21"/>
          <w:highlight w:val="none"/>
          <w:lang w:val="en-US" w:eastAsia="zh-CN" w:bidi="ar-SA"/>
        </w:rPr>
        <w:t>、管理费、工作服费、人员工资（含社保、奖金）、采购代理服务费、保险、利润、税金、风险等完成本项目所需的全部费用。</w:t>
      </w:r>
    </w:p>
    <w:p w14:paraId="0904D7B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2、本项目暂定总价：人民币</w:t>
      </w:r>
      <w:r>
        <w:rPr>
          <w:rFonts w:hint="eastAsia" w:hAnsi="宋体" w:cs="宋体"/>
          <w:b w:val="0"/>
          <w:bCs w:val="0"/>
          <w:kern w:val="0"/>
          <w:sz w:val="21"/>
          <w:szCs w:val="21"/>
          <w:highlight w:val="none"/>
          <w:u w:val="none"/>
          <w:lang w:val="en-US" w:eastAsia="zh-CN" w:bidi="ar-SA"/>
        </w:rPr>
        <w:t>肆佰捌拾陆万柒仟贰佰元整</w:t>
      </w:r>
      <w:r>
        <w:rPr>
          <w:rFonts w:hint="eastAsia" w:ascii="宋体" w:hAnsi="宋体" w:eastAsia="宋体" w:cs="宋体"/>
          <w:b w:val="0"/>
          <w:bCs w:val="0"/>
          <w:kern w:val="0"/>
          <w:sz w:val="21"/>
          <w:szCs w:val="21"/>
          <w:highlight w:val="none"/>
          <w:u w:val="none"/>
          <w:lang w:val="en-US" w:eastAsia="zh-CN" w:bidi="ar-SA"/>
        </w:rPr>
        <w:t>（¥4867200.00元）</w:t>
      </w:r>
    </w:p>
    <w:p w14:paraId="2898AF2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其中：</w:t>
      </w:r>
    </w:p>
    <w:p w14:paraId="66B5601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第一阶段（第一年）暂定合同价：人民币</w:t>
      </w:r>
      <w:r>
        <w:rPr>
          <w:rFonts w:hint="eastAsia" w:hAnsi="宋体" w:cs="宋体"/>
          <w:b w:val="0"/>
          <w:bCs w:val="0"/>
          <w:kern w:val="0"/>
          <w:sz w:val="21"/>
          <w:szCs w:val="21"/>
          <w:highlight w:val="none"/>
          <w:u w:val="none"/>
          <w:lang w:val="en-US" w:eastAsia="zh-CN" w:bidi="ar-SA"/>
        </w:rPr>
        <w:t>壹佰陆拾贰万贰仟肆佰元整</w:t>
      </w:r>
      <w:r>
        <w:rPr>
          <w:rFonts w:hint="eastAsia" w:ascii="宋体" w:hAnsi="宋体" w:eastAsia="宋体" w:cs="宋体"/>
          <w:b w:val="0"/>
          <w:bCs w:val="0"/>
          <w:kern w:val="0"/>
          <w:sz w:val="21"/>
          <w:szCs w:val="21"/>
          <w:highlight w:val="none"/>
          <w:u w:val="none"/>
          <w:lang w:val="en-US" w:eastAsia="zh-CN" w:bidi="ar-SA"/>
        </w:rPr>
        <w:t>（¥1622400.00元），合同单价：用餐人员:35元/天/人；</w:t>
      </w:r>
    </w:p>
    <w:p w14:paraId="4913EE50">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第二阶段（第二年）暂定合同价：人民币</w:t>
      </w:r>
      <w:r>
        <w:rPr>
          <w:rFonts w:hint="eastAsia" w:hAnsi="宋体" w:cs="宋体"/>
          <w:b w:val="0"/>
          <w:bCs w:val="0"/>
          <w:kern w:val="0"/>
          <w:sz w:val="21"/>
          <w:szCs w:val="21"/>
          <w:highlight w:val="none"/>
          <w:u w:val="none"/>
          <w:lang w:val="en-US" w:eastAsia="zh-CN" w:bidi="ar-SA"/>
        </w:rPr>
        <w:t>壹佰陆拾贰万贰仟肆佰元整</w:t>
      </w:r>
      <w:r>
        <w:rPr>
          <w:rFonts w:hint="eastAsia" w:ascii="宋体" w:hAnsi="宋体" w:eastAsia="宋体" w:cs="宋体"/>
          <w:b w:val="0"/>
          <w:bCs w:val="0"/>
          <w:kern w:val="0"/>
          <w:sz w:val="21"/>
          <w:szCs w:val="21"/>
          <w:highlight w:val="none"/>
          <w:u w:val="none"/>
          <w:lang w:val="en-US" w:eastAsia="zh-CN" w:bidi="ar-SA"/>
        </w:rPr>
        <w:t>（¥1622400.00元），合同单价：用餐人员:35元/天/人；</w:t>
      </w:r>
    </w:p>
    <w:p w14:paraId="04414BF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第三阶段（第三年）暂定合同价：人民币</w:t>
      </w:r>
      <w:r>
        <w:rPr>
          <w:rFonts w:hint="eastAsia" w:hAnsi="宋体" w:cs="宋体"/>
          <w:b w:val="0"/>
          <w:bCs w:val="0"/>
          <w:kern w:val="0"/>
          <w:sz w:val="21"/>
          <w:szCs w:val="21"/>
          <w:highlight w:val="none"/>
          <w:u w:val="none"/>
          <w:lang w:val="en-US" w:eastAsia="zh-CN" w:bidi="ar-SA"/>
        </w:rPr>
        <w:t>壹佰陆拾贰万贰仟肆佰元整</w:t>
      </w:r>
      <w:r>
        <w:rPr>
          <w:rFonts w:hint="eastAsia" w:ascii="宋体" w:hAnsi="宋体" w:eastAsia="宋体" w:cs="宋体"/>
          <w:b w:val="0"/>
          <w:bCs w:val="0"/>
          <w:kern w:val="0"/>
          <w:sz w:val="21"/>
          <w:szCs w:val="21"/>
          <w:highlight w:val="none"/>
          <w:u w:val="none"/>
          <w:lang w:val="en-US" w:eastAsia="zh-CN" w:bidi="ar-SA"/>
        </w:rPr>
        <w:t>（¥1622400.00元），合同单价：用餐人员:35元/天/人；</w:t>
      </w:r>
    </w:p>
    <w:p w14:paraId="07DB6D9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val="0"/>
          <w:bCs w:val="0"/>
          <w:kern w:val="0"/>
          <w:sz w:val="21"/>
          <w:szCs w:val="21"/>
          <w:highlight w:val="none"/>
          <w:u w:val="none"/>
          <w:lang w:val="en-US" w:eastAsia="zh-CN" w:bidi="ar-SA"/>
        </w:rPr>
      </w:pPr>
      <w:r>
        <w:rPr>
          <w:rFonts w:hint="eastAsia" w:ascii="宋体" w:hAnsi="宋体" w:eastAsia="宋体" w:cs="宋体"/>
          <w:b w:val="0"/>
          <w:bCs w:val="0"/>
          <w:kern w:val="0"/>
          <w:sz w:val="21"/>
          <w:szCs w:val="21"/>
          <w:highlight w:val="none"/>
          <w:u w:val="none"/>
          <w:lang w:val="en-US" w:eastAsia="zh-CN" w:bidi="ar-SA"/>
        </w:rPr>
        <w:t>注：餐费标准：固定40元/天/人。其中：用餐人员由</w:t>
      </w:r>
      <w:r>
        <w:rPr>
          <w:rFonts w:hint="eastAsia" w:hAnsi="宋体" w:cs="宋体"/>
          <w:b w:val="0"/>
          <w:bCs w:val="0"/>
          <w:kern w:val="0"/>
          <w:sz w:val="21"/>
          <w:szCs w:val="21"/>
          <w:highlight w:val="none"/>
          <w:u w:val="none"/>
          <w:lang w:val="en-US" w:eastAsia="zh-CN" w:bidi="ar-SA"/>
        </w:rPr>
        <w:t>采购人</w:t>
      </w:r>
      <w:r>
        <w:rPr>
          <w:rFonts w:hint="eastAsia" w:ascii="宋体" w:hAnsi="宋体" w:eastAsia="宋体" w:cs="宋体"/>
          <w:b w:val="0"/>
          <w:bCs w:val="0"/>
          <w:kern w:val="0"/>
          <w:sz w:val="21"/>
          <w:szCs w:val="21"/>
          <w:highlight w:val="none"/>
          <w:u w:val="none"/>
          <w:lang w:val="en-US" w:eastAsia="zh-CN" w:bidi="ar-SA"/>
        </w:rPr>
        <w:t>支付35元/天/人，</w:t>
      </w:r>
      <w:r>
        <w:rPr>
          <w:rFonts w:hint="eastAsia" w:hAnsi="宋体" w:cs="宋体"/>
          <w:b w:val="0"/>
          <w:bCs w:val="0"/>
          <w:kern w:val="0"/>
          <w:sz w:val="21"/>
          <w:szCs w:val="21"/>
          <w:highlight w:val="none"/>
          <w:u w:val="none"/>
          <w:lang w:val="en-US" w:eastAsia="zh-CN" w:bidi="ar-SA"/>
        </w:rPr>
        <w:t>用餐人员</w:t>
      </w:r>
      <w:r>
        <w:rPr>
          <w:rFonts w:hint="eastAsia" w:ascii="宋体" w:hAnsi="宋体" w:eastAsia="宋体" w:cs="宋体"/>
          <w:b w:val="0"/>
          <w:bCs w:val="0"/>
          <w:kern w:val="0"/>
          <w:sz w:val="21"/>
          <w:szCs w:val="21"/>
          <w:highlight w:val="none"/>
          <w:u w:val="none"/>
          <w:lang w:val="en-US" w:eastAsia="zh-CN" w:bidi="ar-SA"/>
        </w:rPr>
        <w:t>自行支付5元/天/人。</w:t>
      </w:r>
      <w:r>
        <w:rPr>
          <w:rFonts w:hint="eastAsia" w:ascii="宋体" w:hAnsi="宋体" w:eastAsia="宋体" w:cs="宋体"/>
          <w:b/>
          <w:bCs/>
          <w:kern w:val="0"/>
          <w:sz w:val="21"/>
          <w:szCs w:val="21"/>
          <w:highlight w:val="none"/>
          <w:u w:val="none"/>
          <w:lang w:val="en-US" w:eastAsia="zh-CN" w:bidi="ar-SA"/>
        </w:rPr>
        <w:t>本合同价款仅为单位支付部分，不含员工自行支付部分。最终按照实际用餐人数、餐次及餐费标准据实结算。</w:t>
      </w:r>
    </w:p>
    <w:p w14:paraId="751E137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kern w:val="0"/>
          <w:sz w:val="21"/>
          <w:szCs w:val="21"/>
          <w:highlight w:val="none"/>
        </w:rPr>
        <w:t>第三条  付款方式及依据</w:t>
      </w:r>
    </w:p>
    <w:p w14:paraId="533465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1、合同签订后每季度根据实际用餐人数、餐次及餐费标准据实结算并支付对应的结算价款。</w:t>
      </w:r>
    </w:p>
    <w:p w14:paraId="0FF9940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2、付款依据：乙方提供符合国家财税规定的等额发票。如因乙方缘故（如开具增值税发票延误等）导致甲方无法按时付款，甲方不承担违约责任。</w:t>
      </w:r>
    </w:p>
    <w:p w14:paraId="548BC5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注：付款依据为合同、招标文件、投标文件、发票</w:t>
      </w:r>
      <w:r>
        <w:rPr>
          <w:rFonts w:hint="eastAsia" w:cs="宋体"/>
          <w:b w:val="0"/>
          <w:bCs w:val="0"/>
          <w:color w:val="auto"/>
          <w:sz w:val="21"/>
          <w:szCs w:val="21"/>
          <w:highlight w:val="none"/>
          <w:lang w:val="en-US" w:eastAsia="zh-CN"/>
        </w:rPr>
        <w:t>、结算资料。</w:t>
      </w:r>
    </w:p>
    <w:p w14:paraId="3629F2EC">
      <w:pPr>
        <w:pStyle w:val="12"/>
        <w:keepNext w:val="0"/>
        <w:keepLines w:val="0"/>
        <w:pageBreakBefore w:val="0"/>
        <w:widowControl w:val="0"/>
        <w:shd w:val="clear" w:color="auto" w:fill="auto"/>
        <w:tabs>
          <w:tab w:val="left" w:pos="7553"/>
        </w:tabs>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rPr>
        <w:t>第四条</w:t>
      </w:r>
      <w:r>
        <w:rPr>
          <w:rFonts w:hint="eastAsia" w:ascii="宋体" w:hAnsi="宋体" w:eastAsia="宋体" w:cs="宋体"/>
          <w:b/>
          <w:bCs/>
          <w:sz w:val="21"/>
          <w:szCs w:val="21"/>
          <w:highlight w:val="none"/>
          <w:lang w:val="en-US" w:eastAsia="zh-CN"/>
        </w:rPr>
        <w:t xml:space="preserve"> </w:t>
      </w:r>
      <w:r>
        <w:rPr>
          <w:rFonts w:hint="eastAsia" w:ascii="宋体" w:hAnsi="宋体" w:eastAsia="宋体" w:cs="宋体"/>
          <w:b/>
          <w:bCs/>
          <w:sz w:val="21"/>
          <w:szCs w:val="21"/>
          <w:highlight w:val="none"/>
        </w:rPr>
        <w:t xml:space="preserve"> </w:t>
      </w:r>
      <w:r>
        <w:rPr>
          <w:rFonts w:hint="eastAsia" w:ascii="宋体" w:hAnsi="宋体" w:eastAsia="宋体" w:cs="宋体"/>
          <w:b/>
          <w:bCs/>
          <w:sz w:val="21"/>
          <w:szCs w:val="21"/>
          <w:highlight w:val="none"/>
          <w:lang w:val="en-US" w:eastAsia="zh-CN"/>
        </w:rPr>
        <w:t>服务内容和技术要求</w:t>
      </w:r>
    </w:p>
    <w:p w14:paraId="4A75F70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default" w:hAnsi="宋体" w:cs="宋体"/>
          <w:sz w:val="21"/>
          <w:szCs w:val="21"/>
          <w:highlight w:val="none"/>
          <w:lang w:val="en-US" w:eastAsia="zh-CN"/>
        </w:rPr>
      </w:pPr>
      <w:r>
        <w:rPr>
          <w:rFonts w:hint="eastAsia" w:hAnsi="宋体" w:cs="宋体"/>
          <w:sz w:val="21"/>
          <w:szCs w:val="21"/>
          <w:highlight w:val="none"/>
          <w:lang w:val="en-US" w:eastAsia="zh-CN"/>
        </w:rPr>
        <w:t>（一）服务要求</w:t>
      </w:r>
    </w:p>
    <w:p w14:paraId="13CCF207">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hAnsi="宋体" w:cs="宋体"/>
          <w:sz w:val="21"/>
          <w:szCs w:val="21"/>
          <w:highlight w:val="none"/>
          <w:lang w:val="en-US" w:eastAsia="zh-CN"/>
        </w:rPr>
        <w:t>至少</w:t>
      </w:r>
      <w:r>
        <w:rPr>
          <w:rFonts w:hint="eastAsia" w:ascii="宋体" w:hAnsi="宋体" w:eastAsia="宋体" w:cs="宋体"/>
          <w:sz w:val="21"/>
          <w:szCs w:val="21"/>
          <w:highlight w:val="none"/>
          <w:lang w:val="en-US" w:eastAsia="zh-CN"/>
        </w:rPr>
        <w:t>满足130</w:t>
      </w:r>
      <w:r>
        <w:rPr>
          <w:rFonts w:hint="eastAsia" w:ascii="宋体" w:hAnsi="宋体" w:eastAsia="宋体" w:cs="宋体"/>
          <w:sz w:val="21"/>
          <w:szCs w:val="21"/>
          <w:highlight w:val="none"/>
          <w:lang w:val="en-US" w:eastAsia="en-US"/>
        </w:rPr>
        <w:t>人一日三餐同时用餐</w:t>
      </w:r>
      <w:r>
        <w:rPr>
          <w:rFonts w:hint="eastAsia" w:ascii="宋体" w:hAnsi="宋体" w:eastAsia="宋体" w:cs="宋体"/>
          <w:sz w:val="21"/>
          <w:szCs w:val="21"/>
          <w:highlight w:val="none"/>
          <w:lang w:val="en-US" w:eastAsia="zh-CN"/>
        </w:rPr>
        <w:t>；</w:t>
      </w:r>
    </w:p>
    <w:p w14:paraId="22EE2B6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2.供应商负责做好食堂后厨及餐厅清洁卫生；</w:t>
      </w:r>
    </w:p>
    <w:p w14:paraId="2C5ACE7C">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3.用时合理；</w:t>
      </w:r>
    </w:p>
    <w:p w14:paraId="79895807">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4.所有菜品应根据季节变化更新原料搭配，注重菜品更新；</w:t>
      </w:r>
    </w:p>
    <w:p w14:paraId="7467EC0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5.食品安全保证；</w:t>
      </w:r>
    </w:p>
    <w:p w14:paraId="4B64A885">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6.为就餐地点合理配备各类服务人员及人数；</w:t>
      </w:r>
    </w:p>
    <w:p w14:paraId="675AD3D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7.供应商负责餐饮质量、现场安全生产管理等相关工作；</w:t>
      </w:r>
    </w:p>
    <w:p w14:paraId="3621F41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8.食品样品留样：供应商每日食品须留样，食品样品的提取和保存应满足采购人或政府监管部门的要求，供应商应随时配合政府有关部门的管理；</w:t>
      </w:r>
    </w:p>
    <w:p w14:paraId="61BDA30D">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9.餐厅食品安全管理工作，对食材入库检查、食材加工烹调、厨房餐具用具等重点环节进行重点把控；</w:t>
      </w:r>
    </w:p>
    <w:p w14:paraId="33C4F0D1">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10.餐厅食品卫生管理工作，对食品配餐间、食品加工间以及工作人员的卫生等情况进行管理；</w:t>
      </w:r>
    </w:p>
    <w:p w14:paraId="4110437D">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11.餐厅各区域内的安全设施是否正常，制定消防演练、预案演练等工作，确保餐厅人员和财产安全；</w:t>
      </w:r>
    </w:p>
    <w:p w14:paraId="14FC621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12.安全、消防知识学习，定期进行安全、消防检查，及时处理安全漏洞与隐患，遇险情立即采取应急措施，并及时报告相关领导。</w:t>
      </w:r>
    </w:p>
    <w:p w14:paraId="3186B89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（二）供餐标准</w:t>
      </w:r>
    </w:p>
    <w:p w14:paraId="1F767D6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1.供应商按照每天人均40元（包含早餐、午餐、晚餐）标准合理配餐。</w:t>
      </w:r>
    </w:p>
    <w:p w14:paraId="2B155729">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餐费标准：40元/天/人，分为单位支付部分和个人支付部分。</w:t>
      </w:r>
    </w:p>
    <w:p w14:paraId="1401B66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单位支付部分：35元/天/人，个人支付部分：5元/天/人。</w:t>
      </w:r>
    </w:p>
    <w:p w14:paraId="13BE5B8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配餐标准要求（不限于）：</w:t>
      </w:r>
    </w:p>
    <w:p w14:paraId="19C4E77C">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早餐：3个菜（一凉两热），主食馒头、包子、花卷、油条（饼）、葱花饼、油酥饼、麻团、南瓜饼等，小吃胡辣汤、馄饨、米线、甑糕、肉夹馍、豆腐脑等不能重样，小菜4种，稀饭2种，豆浆、酸奶、鸡蛋必备；</w:t>
      </w:r>
    </w:p>
    <w:p w14:paraId="2EBCD1D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（2）中餐：4菜2汤（菜：两荤两素，汤：一荤一素），主食米饭、面条等，小吃不少于两种，水果2样；</w:t>
      </w:r>
    </w:p>
    <w:p w14:paraId="562FDAF1">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（3）晚餐：3个菜（一凉两热），面条、稀饭、饺子、炒饼等不能重样。</w:t>
      </w:r>
    </w:p>
    <w:p w14:paraId="60B32E8D">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供应商按照上述餐费标准及要求制定菜谱，做到营养搭配、均衡膳食。</w:t>
      </w:r>
    </w:p>
    <w:p w14:paraId="10BE3B9F">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2.供餐时间：早饭：07：30-09：00</w:t>
      </w:r>
    </w:p>
    <w:p w14:paraId="243747F8">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午饭：11：30-13：30</w:t>
      </w:r>
    </w:p>
    <w:p w14:paraId="35A349A7">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晚饭：17：30-19：30</w:t>
      </w:r>
    </w:p>
    <w:p w14:paraId="516F65A3">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注：采购人周末及节假日均有少量人员值班，供应商需正常供餐。</w:t>
      </w:r>
    </w:p>
    <w:p w14:paraId="2103F553">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（三）相关食品标准</w:t>
      </w:r>
    </w:p>
    <w:p w14:paraId="6A0C930E">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大米应符合粮食卫生国家现行有效标准规定GB/T 1354-2018</w:t>
      </w:r>
      <w:r>
        <w:rPr>
          <w:rFonts w:hint="eastAsia" w:ascii="宋体" w:hAnsi="宋体" w:eastAsia="宋体" w:cs="宋体"/>
          <w:color w:val="auto"/>
          <w:sz w:val="21"/>
          <w:szCs w:val="21"/>
          <w:highlight w:val="none"/>
          <w:lang w:eastAsia="zh-CN"/>
        </w:rPr>
        <w:t>标准</w:t>
      </w:r>
      <w:r>
        <w:rPr>
          <w:rFonts w:hint="eastAsia" w:ascii="宋体" w:hAnsi="宋体" w:eastAsia="宋体" w:cs="宋体"/>
          <w:color w:val="auto"/>
          <w:sz w:val="21"/>
          <w:szCs w:val="21"/>
          <w:highlight w:val="none"/>
        </w:rPr>
        <w:t>。在保质期内，具有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SC</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标志</w:t>
      </w:r>
      <w:r>
        <w:rPr>
          <w:rStyle w:val="10"/>
          <w:rFonts w:hint="eastAsia" w:ascii="宋体" w:hAnsi="宋体" w:eastAsia="宋体" w:cs="宋体"/>
          <w:color w:val="auto"/>
          <w:sz w:val="21"/>
          <w:szCs w:val="21"/>
          <w:highlight w:val="none"/>
          <w:lang w:eastAsia="zh-CN"/>
        </w:rPr>
        <w:t>。</w:t>
      </w:r>
    </w:p>
    <w:p w14:paraId="769FA8D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食用油应符合粮食卫生国家现行有效标准规定GB/T 1536-2021标准，在保质期内，具有“SC”标志。</w:t>
      </w:r>
    </w:p>
    <w:p w14:paraId="73362E22">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面粉（一级以上（含一级）小麦粉）应符合粮食卫生国家现行有效标准规定GB/T 1355-2021标准，在保质期内，具有“SC”标志。</w:t>
      </w:r>
    </w:p>
    <w:p w14:paraId="0C87EFA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副食品、调味品（食盐、味精、酱油、醋等）</w:t>
      </w:r>
      <w:r>
        <w:rPr>
          <w:rFonts w:hint="eastAsia" w:cs="宋体"/>
          <w:color w:val="auto"/>
          <w:sz w:val="21"/>
          <w:szCs w:val="21"/>
          <w:highlight w:val="none"/>
          <w:lang w:val="en-US" w:eastAsia="zh-CN"/>
        </w:rPr>
        <w:t>满足</w:t>
      </w:r>
      <w:r>
        <w:rPr>
          <w:rFonts w:hint="eastAsia" w:ascii="宋体" w:hAnsi="宋体" w:eastAsia="宋体" w:cs="宋体"/>
          <w:color w:val="auto"/>
          <w:sz w:val="21"/>
          <w:szCs w:val="21"/>
          <w:highlight w:val="none"/>
        </w:rPr>
        <w:t>最新国家标准，在保质期内，具有“SC”标志。</w:t>
      </w:r>
    </w:p>
    <w:p w14:paraId="1245015C">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鸡蛋和饮用奶必须符合GB 2748-2003《鲜蛋卫生标准》、GB/T 39438-2020《包装鸡蛋》、GB/T 6914-1986《生鲜牛乳收购标准》规定的原奶生产，在保质期内，有“SC”标志；</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豆制品及其他半成品</w:t>
      </w:r>
      <w:r>
        <w:rPr>
          <w:rFonts w:hint="eastAsia" w:cs="宋体"/>
          <w:color w:val="auto"/>
          <w:sz w:val="21"/>
          <w:szCs w:val="21"/>
          <w:highlight w:val="none"/>
          <w:lang w:val="en-US" w:eastAsia="zh-CN"/>
        </w:rPr>
        <w:t>满足</w:t>
      </w:r>
      <w:r>
        <w:rPr>
          <w:rFonts w:hint="eastAsia" w:ascii="宋体" w:hAnsi="宋体" w:eastAsia="宋体" w:cs="宋体"/>
          <w:color w:val="auto"/>
          <w:sz w:val="21"/>
          <w:szCs w:val="21"/>
          <w:highlight w:val="none"/>
        </w:rPr>
        <w:t>最新国家标准，预包装类食品原料应具有“SC”标志。</w:t>
      </w:r>
    </w:p>
    <w:p w14:paraId="0E52D18B">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cs="宋体"/>
          <w:color w:val="auto"/>
          <w:sz w:val="21"/>
          <w:szCs w:val="21"/>
          <w:highlight w:val="none"/>
          <w:lang w:val="en-US" w:eastAsia="zh-CN"/>
        </w:rPr>
        <w:t>所使用的</w:t>
      </w:r>
      <w:r>
        <w:rPr>
          <w:rFonts w:hint="eastAsia" w:ascii="宋体" w:hAnsi="宋体" w:eastAsia="宋体" w:cs="宋体"/>
          <w:color w:val="auto"/>
          <w:sz w:val="21"/>
          <w:szCs w:val="21"/>
          <w:highlight w:val="none"/>
        </w:rPr>
        <w:t>鲜肉类必须在定点屠宰场（或宰杀店）宰杀加工，并经动物卫生检疫机构检疫合格，加盖检疫合格印章和屠宰场印章，并附有《动物产品检疫合格证明》。</w:t>
      </w:r>
    </w:p>
    <w:p w14:paraId="4FE19DA5">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7.蔬菜：</w:t>
      </w:r>
    </w:p>
    <w:p w14:paraId="2E8DF25E">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（1）叶菜类：新鲜、色泽鲜亮、无腐烂、无干叶、捆把内部无杂乱夹塞，菜品粗细均匀，脆嫩不老，不抽苔。茎部不老化，个体均匀，未发芽、变色。</w:t>
      </w:r>
    </w:p>
    <w:p w14:paraId="28A4E3AF">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（2）根茎类：茎部不老化，个体均匀，未发芽、变色。</w:t>
      </w:r>
    </w:p>
    <w:p w14:paraId="59C18334">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（3）花果类：个体均匀，无腐烂、无变色，允许果型有轻微缺点，但不得变形、过熟。</w:t>
      </w:r>
    </w:p>
    <w:p w14:paraId="157BA30A">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（4）菇菌类：外形饱满，不发霉、变黑。</w:t>
      </w:r>
    </w:p>
    <w:p w14:paraId="28B91E55">
      <w:pPr>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righ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（5）果蔬必须符合食品中农药最大残留限量最新标准并具有农药残留检验记录。</w:t>
      </w:r>
    </w:p>
    <w:p w14:paraId="10EF5C4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第五条  甲方的权利及义务</w:t>
      </w:r>
    </w:p>
    <w:p w14:paraId="65BB7A49">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1、甲方对乙方的工作进行监督、检查和指导，有权向乙方要求调换服务不合格人员。</w:t>
      </w:r>
    </w:p>
    <w:p w14:paraId="76C96AD9">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2、甲方有权对乙方配备的服务人员进行审核，乙方如更换人员，应征得甲方同意后更换。</w:t>
      </w:r>
    </w:p>
    <w:p w14:paraId="7F44C9D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3、甲方应按合同约定及时向乙方支付服务费用。</w:t>
      </w:r>
    </w:p>
    <w:p w14:paraId="2A9AD28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4、甲方应根据管理规定相关要求和条例对乙方进行实时考核，考核内容包含但不限于人员服务情况、培训情况、管理制度、岗位制度、应急处理情况等。</w:t>
      </w:r>
    </w:p>
    <w:p w14:paraId="4DDF164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val="en-US" w:eastAsia="zh-CN"/>
        </w:rPr>
        <w:t>5、若因甲方办公地点搬迁导致就餐人数减少等情况，甲方有权解除合同。</w:t>
      </w:r>
    </w:p>
    <w:p w14:paraId="1F102CD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 xml:space="preserve">第六条  </w:t>
      </w:r>
      <w:r>
        <w:rPr>
          <w:rFonts w:hint="eastAsia" w:ascii="宋体" w:hAnsi="宋体" w:eastAsia="宋体" w:cs="宋体"/>
          <w:b/>
          <w:bCs/>
          <w:sz w:val="21"/>
          <w:szCs w:val="21"/>
          <w:highlight w:val="none"/>
          <w:lang w:val="en-US" w:eastAsia="zh-CN"/>
        </w:rPr>
        <w:t>乙</w:t>
      </w:r>
      <w:r>
        <w:rPr>
          <w:rFonts w:hint="eastAsia" w:ascii="宋体" w:hAnsi="宋体" w:eastAsia="宋体" w:cs="宋体"/>
          <w:b/>
          <w:bCs/>
          <w:sz w:val="21"/>
          <w:szCs w:val="21"/>
          <w:highlight w:val="none"/>
        </w:rPr>
        <w:t>方的权利及义务</w:t>
      </w:r>
    </w:p>
    <w:p w14:paraId="530B330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1、乙方有权要求甲方按合同约定及时支付合同款。乙方应及时向甲方提供台账供甲方审核确认。</w:t>
      </w:r>
    </w:p>
    <w:p w14:paraId="6A6CBDB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2、乙方负责甲方员工两个餐厅用餐的加工制作，卫生清洁服务，负责打卡收费，负责餐厅食品卫生、</w:t>
      </w:r>
      <w:r>
        <w:rPr>
          <w:rFonts w:hint="eastAsia" w:hAnsi="宋体" w:cs="宋体"/>
          <w:kern w:val="0"/>
          <w:sz w:val="21"/>
          <w:szCs w:val="21"/>
          <w:highlight w:val="none"/>
          <w:lang w:val="en-US" w:eastAsia="zh-CN"/>
        </w:rPr>
        <w:t>设备安全使用及日常维护</w:t>
      </w:r>
      <w:r>
        <w:rPr>
          <w:rFonts w:hint="eastAsia" w:ascii="宋体" w:hAnsi="宋体" w:eastAsia="宋体" w:cs="宋体"/>
          <w:kern w:val="0"/>
          <w:sz w:val="21"/>
          <w:szCs w:val="21"/>
          <w:highlight w:val="none"/>
          <w:lang w:val="en-US" w:eastAsia="zh-CN"/>
        </w:rPr>
        <w:t>等工作，负责完成和餐饮有关的其它工作任务。</w:t>
      </w:r>
    </w:p>
    <w:p w14:paraId="0A2F588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乙方必须遵守国家和地方有关安全、环境和食品卫生的标准。严格执行机关厨房的相关安全管理制度、安全操作规程，并认真执行。同时对所属人员进行经常性的职业道德、食品安全卫生、安全规章等安全知识培训。采取有效措施做好各类事故预防工作。</w:t>
      </w:r>
    </w:p>
    <w:p w14:paraId="0BF3EAA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乙方提供的主、副食等食用品及调料制品必须保证其产品质量，严禁使用腐烂、变质、过期的产品。特别肉类制品必须留存合格的卫生检疫证明，对由于乙方提供不符合食品卫生标准的劣质食品，或任何变质和受污染的食品，造成甲方人员食物中毒的，乙方承担全部责任，所产生的费用均由乙方承担。</w:t>
      </w:r>
    </w:p>
    <w:p w14:paraId="340E00E6">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乙方服务人员必须定期体检，持有效的健康证上岗操作。对因乙方未组织所属人员体检，携带传染性疾病上岗操作，导致甲方人员发生传染病事件，乙方负责承担全部责任。乙方工作中应厉行节约，杜绝餐饮浪费。</w:t>
      </w:r>
    </w:p>
    <w:p w14:paraId="142EA3A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6、乙方应认真落实防蚊、蝇、鼠害等安全措施，做好防疫工作，避免疾病，传染病的传播。</w:t>
      </w:r>
    </w:p>
    <w:p w14:paraId="24DC9DC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 xml:space="preserve">7、供应商每日食品须留样，食品样品的提取和保存应满足甲方或政府监管部门的要求，供应商应随时配合政府有关部门的管理。 </w:t>
      </w:r>
    </w:p>
    <w:p w14:paraId="18373593">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8、乙方需指派一名项目负责人，项目负责人负责与甲方的联系沟通。</w:t>
      </w:r>
    </w:p>
    <w:p w14:paraId="697FD61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lang w:val="en-US" w:eastAsia="zh-CN"/>
        </w:rPr>
        <w:t>乙方项目负责人：</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 xml:space="preserve">  身份证号：</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lang w:val="en-US" w:eastAsia="zh-CN"/>
        </w:rPr>
        <w:t>联系电话：</w:t>
      </w:r>
      <w:r>
        <w:rPr>
          <w:rFonts w:hint="eastAsia" w:ascii="宋体" w:hAnsi="宋体" w:eastAsia="宋体" w:cs="宋体"/>
          <w:kern w:val="0"/>
          <w:sz w:val="21"/>
          <w:szCs w:val="21"/>
          <w:highlight w:val="none"/>
          <w:u w:val="single"/>
          <w:lang w:val="en-US" w:eastAsia="zh-CN"/>
        </w:rPr>
        <w:t xml:space="preserve">            </w:t>
      </w:r>
    </w:p>
    <w:p w14:paraId="542F25A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 xml:space="preserve">9、乙方按照管理制度对人员进行管理，若出现人员不遵守管理制度，乙方应按制度处罚并及时更换人员。 </w:t>
      </w:r>
    </w:p>
    <w:p w14:paraId="60DB9A9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10、乙方</w:t>
      </w:r>
      <w:r>
        <w:rPr>
          <w:rFonts w:hint="eastAsia" w:hAnsi="宋体" w:cs="宋体"/>
          <w:kern w:val="0"/>
          <w:sz w:val="21"/>
          <w:szCs w:val="21"/>
          <w:highlight w:val="none"/>
          <w:lang w:val="en-US" w:eastAsia="zh-CN"/>
        </w:rPr>
        <w:t>保障</w:t>
      </w:r>
      <w:r>
        <w:rPr>
          <w:rFonts w:hint="eastAsia" w:ascii="宋体" w:hAnsi="宋体" w:eastAsia="宋体" w:cs="宋体"/>
          <w:kern w:val="0"/>
          <w:sz w:val="21"/>
          <w:szCs w:val="21"/>
          <w:highlight w:val="none"/>
          <w:lang w:val="en-US" w:eastAsia="zh-CN"/>
        </w:rPr>
        <w:t xml:space="preserve">员工薪资福利、缴纳社保和商业保险等。乙方未及时向员工支付相关费用产生的责任由乙方自行负责，甲方均不承担责任。 </w:t>
      </w:r>
    </w:p>
    <w:p w14:paraId="6D5D18D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 xml:space="preserve">11、乙方负责处理相关人员的劳动争议事宜。 </w:t>
      </w:r>
    </w:p>
    <w:p w14:paraId="4EC3D7C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12、因乙方操作不规范产生的不良影响，由乙方自行负责。</w:t>
      </w:r>
    </w:p>
    <w:p w14:paraId="320E3F4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13、乙方应承担工作现场的责任和风险以及期间</w:t>
      </w:r>
      <w:r>
        <w:rPr>
          <w:rFonts w:hint="eastAsia" w:hAnsi="宋体" w:cs="宋体"/>
          <w:kern w:val="0"/>
          <w:sz w:val="21"/>
          <w:szCs w:val="21"/>
          <w:highlight w:val="none"/>
          <w:lang w:val="en-US" w:eastAsia="zh-CN"/>
        </w:rPr>
        <w:t>因乙方自身原因</w:t>
      </w:r>
      <w:r>
        <w:rPr>
          <w:rFonts w:hint="eastAsia" w:ascii="宋体" w:hAnsi="宋体" w:eastAsia="宋体" w:cs="宋体"/>
          <w:kern w:val="0"/>
          <w:sz w:val="21"/>
          <w:szCs w:val="21"/>
          <w:highlight w:val="none"/>
          <w:lang w:val="en-US" w:eastAsia="zh-CN"/>
        </w:rPr>
        <w:t>发生的一切费用，乙方若因</w:t>
      </w:r>
      <w:r>
        <w:rPr>
          <w:rFonts w:hint="eastAsia" w:hAnsi="宋体" w:cs="宋体"/>
          <w:kern w:val="0"/>
          <w:sz w:val="21"/>
          <w:szCs w:val="21"/>
          <w:highlight w:val="none"/>
          <w:lang w:val="en-US" w:eastAsia="zh-CN"/>
        </w:rPr>
        <w:t>其自身造成的</w:t>
      </w:r>
      <w:r>
        <w:rPr>
          <w:rFonts w:hint="eastAsia" w:ascii="宋体" w:hAnsi="宋体" w:eastAsia="宋体" w:cs="宋体"/>
          <w:kern w:val="0"/>
          <w:sz w:val="21"/>
          <w:szCs w:val="21"/>
          <w:highlight w:val="none"/>
          <w:lang w:val="en-US" w:eastAsia="zh-CN"/>
        </w:rPr>
        <w:t>工作现场</w:t>
      </w:r>
      <w:r>
        <w:rPr>
          <w:rFonts w:hint="eastAsia" w:hAnsi="宋体" w:cs="宋体"/>
          <w:kern w:val="0"/>
          <w:sz w:val="21"/>
          <w:szCs w:val="21"/>
          <w:highlight w:val="none"/>
          <w:lang w:val="en-US" w:eastAsia="zh-CN"/>
        </w:rPr>
        <w:t>管理问题</w:t>
      </w:r>
      <w:r>
        <w:rPr>
          <w:rFonts w:hint="eastAsia" w:ascii="宋体" w:hAnsi="宋体" w:eastAsia="宋体" w:cs="宋体"/>
          <w:kern w:val="0"/>
          <w:sz w:val="21"/>
          <w:szCs w:val="21"/>
          <w:highlight w:val="none"/>
          <w:lang w:val="en-US" w:eastAsia="zh-CN"/>
        </w:rPr>
        <w:t xml:space="preserve">而发生的人身伤亡、财产或其他损失，甲方均不承担责任。 </w:t>
      </w:r>
    </w:p>
    <w:p w14:paraId="6F5749E6">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14、接受甲方的管理、监督、检查和考核，对甲方发出的整改通知，应及时按甲方的要求进行整改。</w:t>
      </w:r>
    </w:p>
    <w:p w14:paraId="2F01E77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 xml:space="preserve">第七条 </w:t>
      </w:r>
      <w:r>
        <w:rPr>
          <w:rFonts w:hint="eastAsia" w:ascii="宋体" w:hAnsi="宋体" w:eastAsia="宋体" w:cs="宋体"/>
          <w:b/>
          <w:bCs/>
          <w:sz w:val="21"/>
          <w:szCs w:val="21"/>
          <w:highlight w:val="none"/>
        </w:rPr>
        <w:t>违约责任</w:t>
      </w:r>
    </w:p>
    <w:p w14:paraId="24F43CA8">
      <w:pPr>
        <w:pStyle w:val="13"/>
        <w:keepNext w:val="0"/>
        <w:keepLines w:val="0"/>
        <w:pageBreakBefore w:val="0"/>
        <w:widowControl w:val="0"/>
        <w:tabs>
          <w:tab w:val="left" w:pos="1134"/>
          <w:tab w:val="left" w:pos="1418"/>
        </w:tabs>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1、按《中华人民共和国民法典》中的相关条款执行。</w:t>
      </w:r>
    </w:p>
    <w:p w14:paraId="02BCF145">
      <w:pPr>
        <w:pStyle w:val="13"/>
        <w:keepNext w:val="0"/>
        <w:keepLines w:val="0"/>
        <w:pageBreakBefore w:val="0"/>
        <w:widowControl w:val="0"/>
        <w:tabs>
          <w:tab w:val="left" w:pos="1134"/>
          <w:tab w:val="left" w:pos="1418"/>
        </w:tabs>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、餐费标准仅用于甲方用餐人员一日三餐支出，不得用于其他途径消费，若甲方核实发现乙方提供的用餐台账存在违规操作，则乙方须承担相应的违约责任。</w:t>
      </w:r>
    </w:p>
    <w:p w14:paraId="348F70C0">
      <w:pPr>
        <w:pStyle w:val="13"/>
        <w:keepNext w:val="0"/>
        <w:keepLines w:val="0"/>
        <w:pageBreakBefore w:val="0"/>
        <w:widowControl w:val="0"/>
        <w:tabs>
          <w:tab w:val="left" w:pos="1134"/>
          <w:tab w:val="left" w:pos="1418"/>
        </w:tabs>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甲方每月对乙方进行一次考核，乙方未满足服务要求的，下达整改通知书进行整改，乙方提出可行的整改方案并告知全体员工，乙方超过5天不整改的应按一年合同暂定价款的3‰向甲方支付违约金（从结算款中直接扣除）。</w:t>
      </w:r>
    </w:p>
    <w:p w14:paraId="4A8DC521">
      <w:pPr>
        <w:pStyle w:val="13"/>
        <w:keepNext w:val="0"/>
        <w:keepLines w:val="0"/>
        <w:pageBreakBefore w:val="0"/>
        <w:widowControl w:val="0"/>
        <w:tabs>
          <w:tab w:val="left" w:pos="1134"/>
          <w:tab w:val="left" w:pos="1418"/>
        </w:tabs>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出现连续两个月考核不达标或下达两次整改通知书后仍无改进或因管理不到位出现严重食品安全事故（例如：食物中毒事故、食品断供事故等类似重大事故）或发生消防安全事故等其他重大违约行为，甲方有权终止合同，乙方应承担事故相应责任并按一年合同暂定总价30%的金额向甲方承担违约责任，并将用餐台账和其他相关的资料一并移交甲方，乙方不得以任何理由拒绝或拖延提交有关资料，或提供不真实、不准确、不完整的资料。</w:t>
      </w:r>
    </w:p>
    <w:p w14:paraId="6CC3F7C3">
      <w:pPr>
        <w:pStyle w:val="12"/>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w:t>
      </w:r>
      <w:r>
        <w:rPr>
          <w:rFonts w:hint="eastAsia" w:ascii="宋体" w:hAnsi="宋体" w:eastAsia="宋体" w:cs="宋体"/>
          <w:b/>
          <w:bCs/>
          <w:sz w:val="21"/>
          <w:szCs w:val="21"/>
          <w:highlight w:val="none"/>
          <w:lang w:val="en-US" w:eastAsia="zh-CN"/>
        </w:rPr>
        <w:t>八</w:t>
      </w:r>
      <w:r>
        <w:rPr>
          <w:rFonts w:hint="eastAsia" w:ascii="宋体" w:hAnsi="宋体" w:eastAsia="宋体" w:cs="宋体"/>
          <w:b/>
          <w:bCs/>
          <w:sz w:val="21"/>
          <w:szCs w:val="21"/>
          <w:highlight w:val="none"/>
        </w:rPr>
        <w:t>条  合同终止</w:t>
      </w:r>
    </w:p>
    <w:p w14:paraId="6934BD96">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1、合同期间任何一方不得随意终止合同，如双方协商一致，可提前终止合同。</w:t>
      </w:r>
    </w:p>
    <w:p w14:paraId="336080E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2、本合同规定的履行期限届满，合同自动终止。</w:t>
      </w:r>
    </w:p>
    <w:p w14:paraId="3B31AD0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3、因双方机构撤并、职能调整等原因，确需终止合同的，双方可协商终止合同。</w:t>
      </w:r>
    </w:p>
    <w:p w14:paraId="42D083D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4、乙方应自觉遵守甲方工作纪律、规章制度，服从甲方管理。因乙方原因给甲方造成严重后果，甲方可以单方面解除合同。</w:t>
      </w:r>
    </w:p>
    <w:p w14:paraId="7E88DDD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lang w:val="en-US" w:eastAsia="zh-CN"/>
        </w:rPr>
        <w:t>5、除不可抗力因素外，乙方均应严格按照甲方需求提供餐饮服务，非甲方书面同意，不得单方面停止供餐，否则甲方有权单方面解除合同，并要求乙方承担合同暂定总价</w:t>
      </w:r>
      <w:r>
        <w:rPr>
          <w:rFonts w:hint="eastAsia" w:hAnsi="宋体" w:cs="宋体"/>
          <w:kern w:val="0"/>
          <w:sz w:val="21"/>
          <w:szCs w:val="21"/>
          <w:highlight w:val="none"/>
          <w:lang w:val="en-US" w:eastAsia="zh-CN"/>
        </w:rPr>
        <w:t>20</w:t>
      </w:r>
      <w:r>
        <w:rPr>
          <w:rFonts w:hint="eastAsia" w:ascii="宋体" w:hAnsi="宋体" w:eastAsia="宋体" w:cs="宋体"/>
          <w:kern w:val="0"/>
          <w:sz w:val="21"/>
          <w:szCs w:val="21"/>
          <w:highlight w:val="none"/>
          <w:lang w:val="en-US" w:eastAsia="zh-CN"/>
        </w:rPr>
        <w:t>%的违约金。</w:t>
      </w:r>
    </w:p>
    <w:p w14:paraId="2ECB49D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rPr>
        <w:t>第</w:t>
      </w:r>
      <w:r>
        <w:rPr>
          <w:rFonts w:hint="eastAsia" w:ascii="宋体" w:hAnsi="宋体" w:eastAsia="宋体" w:cs="宋体"/>
          <w:b/>
          <w:bCs/>
          <w:kern w:val="0"/>
          <w:sz w:val="21"/>
          <w:szCs w:val="21"/>
          <w:highlight w:val="none"/>
          <w:lang w:val="en-US" w:eastAsia="zh-CN"/>
        </w:rPr>
        <w:t>九</w:t>
      </w:r>
      <w:r>
        <w:rPr>
          <w:rFonts w:hint="eastAsia" w:ascii="宋体" w:hAnsi="宋体" w:eastAsia="宋体" w:cs="宋体"/>
          <w:b/>
          <w:bCs/>
          <w:kern w:val="0"/>
          <w:sz w:val="21"/>
          <w:szCs w:val="21"/>
          <w:highlight w:val="none"/>
        </w:rPr>
        <w:t xml:space="preserve">条  </w:t>
      </w:r>
      <w:r>
        <w:rPr>
          <w:rFonts w:hint="eastAsia" w:ascii="宋体" w:hAnsi="宋体" w:eastAsia="宋体" w:cs="宋体"/>
          <w:b/>
          <w:bCs/>
          <w:kern w:val="0"/>
          <w:sz w:val="21"/>
          <w:szCs w:val="21"/>
          <w:highlight w:val="none"/>
          <w:lang w:val="en-US" w:eastAsia="zh-CN"/>
        </w:rPr>
        <w:t>保密协议</w:t>
      </w:r>
    </w:p>
    <w:p w14:paraId="414ACBA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2BD8D583">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val="en-US" w:eastAsia="zh-CN"/>
        </w:rPr>
        <w:t xml:space="preserve">第十条 </w:t>
      </w:r>
      <w:r>
        <w:rPr>
          <w:rFonts w:hint="eastAsia" w:ascii="宋体" w:hAnsi="宋体" w:eastAsia="宋体" w:cs="宋体"/>
          <w:b/>
          <w:bCs/>
          <w:kern w:val="0"/>
          <w:sz w:val="21"/>
          <w:szCs w:val="21"/>
          <w:highlight w:val="none"/>
        </w:rPr>
        <w:fldChar w:fldCharType="begin"/>
      </w:r>
      <w:r>
        <w:rPr>
          <w:rFonts w:hint="eastAsia" w:ascii="宋体" w:hAnsi="宋体" w:eastAsia="宋体" w:cs="宋体"/>
          <w:b/>
          <w:bCs/>
          <w:kern w:val="0"/>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b/>
          <w:bCs/>
          <w:kern w:val="0"/>
          <w:sz w:val="21"/>
          <w:szCs w:val="21"/>
          <w:highlight w:val="none"/>
        </w:rPr>
        <w:fldChar w:fldCharType="separate"/>
      </w:r>
      <w:r>
        <w:rPr>
          <w:rFonts w:hint="eastAsia" w:ascii="宋体" w:hAnsi="宋体" w:eastAsia="宋体" w:cs="宋体"/>
          <w:b/>
          <w:bCs/>
          <w:kern w:val="0"/>
          <w:sz w:val="21"/>
          <w:szCs w:val="21"/>
          <w:highlight w:val="none"/>
        </w:rPr>
        <w:t>不可抗力</w:t>
      </w:r>
      <w:r>
        <w:rPr>
          <w:rFonts w:hint="eastAsia" w:ascii="宋体" w:hAnsi="宋体" w:eastAsia="宋体" w:cs="宋体"/>
          <w:b/>
          <w:bCs/>
          <w:kern w:val="0"/>
          <w:sz w:val="21"/>
          <w:szCs w:val="21"/>
          <w:highlight w:val="none"/>
        </w:rPr>
        <w:fldChar w:fldCharType="end"/>
      </w:r>
    </w:p>
    <w:p w14:paraId="2E539E8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3BA1E27">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第</w:t>
      </w:r>
      <w:r>
        <w:rPr>
          <w:rFonts w:hint="eastAsia" w:ascii="宋体" w:hAnsi="宋体" w:eastAsia="宋体" w:cs="宋体"/>
          <w:b/>
          <w:bCs/>
          <w:kern w:val="0"/>
          <w:sz w:val="21"/>
          <w:szCs w:val="21"/>
          <w:highlight w:val="none"/>
          <w:lang w:val="en-US" w:eastAsia="zh-CN"/>
        </w:rPr>
        <w:t>十一</w:t>
      </w:r>
      <w:r>
        <w:rPr>
          <w:rFonts w:hint="eastAsia" w:ascii="宋体" w:hAnsi="宋体" w:eastAsia="宋体" w:cs="宋体"/>
          <w:b/>
          <w:bCs/>
          <w:kern w:val="0"/>
          <w:sz w:val="21"/>
          <w:szCs w:val="21"/>
          <w:highlight w:val="none"/>
        </w:rPr>
        <w:t>条  争议解决</w:t>
      </w:r>
    </w:p>
    <w:p w14:paraId="29153F3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因本合同产生纠纷，如协商无法解决，双方均有权向采购人所在地人民法院提起诉讼。</w:t>
      </w:r>
    </w:p>
    <w:p w14:paraId="7894B93D">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第十</w:t>
      </w:r>
      <w:r>
        <w:rPr>
          <w:rFonts w:hint="eastAsia" w:ascii="宋体" w:hAnsi="宋体" w:eastAsia="宋体" w:cs="宋体"/>
          <w:b/>
          <w:bCs/>
          <w:kern w:val="0"/>
          <w:sz w:val="21"/>
          <w:szCs w:val="21"/>
          <w:highlight w:val="none"/>
          <w:lang w:val="en-US" w:eastAsia="zh-CN"/>
        </w:rPr>
        <w:t>二</w:t>
      </w:r>
      <w:r>
        <w:rPr>
          <w:rFonts w:hint="eastAsia" w:ascii="宋体" w:hAnsi="宋体" w:eastAsia="宋体" w:cs="宋体"/>
          <w:b/>
          <w:bCs/>
          <w:kern w:val="0"/>
          <w:sz w:val="21"/>
          <w:szCs w:val="21"/>
          <w:highlight w:val="none"/>
        </w:rPr>
        <w:t>条  监督和管理</w:t>
      </w:r>
    </w:p>
    <w:p w14:paraId="31A04F49">
      <w:pPr>
        <w:spacing w:line="360" w:lineRule="auto"/>
        <w:ind w:firstLine="422" w:firstLineChars="200"/>
        <w:rPr>
          <w:rFonts w:hint="eastAsia" w:hAnsi="宋体" w:cs="宋体"/>
          <w:b/>
          <w:bCs/>
          <w:sz w:val="21"/>
          <w:szCs w:val="21"/>
          <w:highlight w:val="none"/>
        </w:rPr>
      </w:pPr>
      <w:r>
        <w:rPr>
          <w:rFonts w:hint="eastAsia" w:hAnsi="宋体" w:cs="宋体"/>
          <w:b/>
          <w:bCs/>
          <w:sz w:val="21"/>
          <w:szCs w:val="21"/>
          <w:highlight w:val="none"/>
        </w:rPr>
        <w:t>1、政府采购合同履行中，甲方需追加与合同标的相同的货物、工程或者服务的，在不改变合同其他条款的前提下，可以与供应商协商签订补充合同，但所有补充合同的采购金额不得超过原合同采购金额的10%。</w:t>
      </w:r>
    </w:p>
    <w:p w14:paraId="7829984A">
      <w:pPr>
        <w:spacing w:line="360" w:lineRule="auto"/>
        <w:ind w:firstLine="422" w:firstLineChars="200"/>
        <w:rPr>
          <w:rFonts w:hint="eastAsia" w:hAnsi="宋体" w:cs="宋体"/>
          <w:sz w:val="21"/>
          <w:szCs w:val="21"/>
          <w:highlight w:val="none"/>
        </w:rPr>
      </w:pPr>
      <w:r>
        <w:rPr>
          <w:rFonts w:hint="eastAsia" w:hAnsi="宋体" w:cs="宋体"/>
          <w:b/>
          <w:bCs/>
          <w:sz w:val="21"/>
          <w:szCs w:val="21"/>
          <w:highlight w:val="none"/>
        </w:rPr>
        <w:t>2、甲乙双方均应自觉配合有关监督管理部门对合同履行情况的监督检查，如实反映情况，提供有关资料；否则，将对有关单位、当事人按照有关规定予以处罚。</w:t>
      </w:r>
    </w:p>
    <w:p w14:paraId="3A4DC8A3">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第十</w:t>
      </w:r>
      <w:r>
        <w:rPr>
          <w:rFonts w:hint="eastAsia" w:ascii="宋体" w:hAnsi="宋体" w:eastAsia="宋体" w:cs="宋体"/>
          <w:b/>
          <w:bCs/>
          <w:kern w:val="0"/>
          <w:sz w:val="21"/>
          <w:szCs w:val="21"/>
          <w:highlight w:val="none"/>
          <w:lang w:val="en-US" w:eastAsia="zh-CN"/>
        </w:rPr>
        <w:t>三</w:t>
      </w:r>
      <w:r>
        <w:rPr>
          <w:rFonts w:hint="eastAsia" w:ascii="宋体" w:hAnsi="宋体" w:eastAsia="宋体" w:cs="宋体"/>
          <w:b/>
          <w:bCs/>
          <w:kern w:val="0"/>
          <w:sz w:val="21"/>
          <w:szCs w:val="21"/>
          <w:highlight w:val="none"/>
        </w:rPr>
        <w:t xml:space="preserve">条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b/>
          <w:bCs/>
          <w:kern w:val="0"/>
          <w:sz w:val="21"/>
          <w:szCs w:val="21"/>
          <w:highlight w:val="none"/>
        </w:rPr>
        <w:t>无效合同</w:t>
      </w:r>
      <w:r>
        <w:rPr>
          <w:rFonts w:hint="eastAsia" w:ascii="宋体" w:hAnsi="宋体" w:eastAsia="宋体" w:cs="宋体"/>
          <w:b/>
          <w:bCs/>
          <w:kern w:val="0"/>
          <w:sz w:val="21"/>
          <w:szCs w:val="21"/>
          <w:highlight w:val="none"/>
        </w:rPr>
        <w:fldChar w:fldCharType="end"/>
      </w:r>
    </w:p>
    <w:p w14:paraId="5319A0C9">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甲乙双方如因违反政府采购法及相关法律法规的规定，被宣告</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szCs w:val="21"/>
          <w:highlight w:val="none"/>
        </w:rPr>
        <w:fldChar w:fldCharType="separate"/>
      </w:r>
      <w:r>
        <w:rPr>
          <w:rFonts w:hint="eastAsia" w:ascii="宋体" w:hAnsi="宋体" w:eastAsia="宋体" w:cs="宋体"/>
          <w:kern w:val="0"/>
          <w:sz w:val="21"/>
          <w:szCs w:val="21"/>
          <w:highlight w:val="none"/>
        </w:rPr>
        <w:t>合同无效</w:t>
      </w:r>
      <w:r>
        <w:rPr>
          <w:rFonts w:hint="eastAsia" w:ascii="宋体" w:hAnsi="宋体" w:eastAsia="宋体" w:cs="宋体"/>
          <w:kern w:val="0"/>
          <w:sz w:val="21"/>
          <w:szCs w:val="21"/>
          <w:highlight w:val="none"/>
        </w:rPr>
        <w:fldChar w:fldCharType="end"/>
      </w:r>
      <w:r>
        <w:rPr>
          <w:rFonts w:hint="eastAsia" w:ascii="宋体" w:hAnsi="宋体" w:eastAsia="宋体" w:cs="宋体"/>
          <w:kern w:val="0"/>
          <w:sz w:val="21"/>
          <w:szCs w:val="21"/>
          <w:highlight w:val="none"/>
        </w:rPr>
        <w:t>的，一切责任概由过错方自行承担。</w:t>
      </w:r>
    </w:p>
    <w:p w14:paraId="53394B70">
      <w:pPr>
        <w:pStyle w:val="6"/>
        <w:keepNext w:val="0"/>
        <w:keepLines w:val="0"/>
        <w:pageBreakBefore w:val="0"/>
        <w:widowControl w:val="0"/>
        <w:shd w:val="clear" w:color="auto" w:fill="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422" w:firstLineChars="200"/>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val="en-US" w:eastAsia="zh-CN"/>
        </w:rPr>
        <w:t>四</w:t>
      </w:r>
      <w:r>
        <w:rPr>
          <w:rFonts w:hint="eastAsia" w:ascii="宋体" w:hAnsi="宋体" w:eastAsia="宋体" w:cs="宋体"/>
          <w:b/>
          <w:bCs/>
          <w:color w:val="auto"/>
          <w:kern w:val="0"/>
          <w:sz w:val="21"/>
          <w:szCs w:val="21"/>
          <w:highlight w:val="none"/>
        </w:rPr>
        <w:t>条  信用融资（如有）</w:t>
      </w:r>
    </w:p>
    <w:p w14:paraId="2D986D4C">
      <w:pPr>
        <w:pStyle w:val="6"/>
        <w:keepNext w:val="0"/>
        <w:keepLines w:val="0"/>
        <w:pageBreakBefore w:val="0"/>
        <w:widowControl w:val="0"/>
        <w:shd w:val="clear" w:color="auto" w:fill="auto"/>
        <w:tabs>
          <w:tab w:val="left" w:pos="567"/>
        </w:tabs>
        <w:kinsoku/>
        <w:wordWrap/>
        <w:overflowPunct/>
        <w:topLinePunct w:val="0"/>
        <w:autoSpaceDE/>
        <w:autoSpaceDN/>
        <w:bidi w:val="0"/>
        <w:adjustRightInd w:val="0"/>
        <w:snapToGrid w:val="0"/>
        <w:spacing w:beforeAutospacing="0" w:after="0" w:afterAutospacing="0" w:line="360" w:lineRule="auto"/>
        <w:ind w:left="0" w:leftChars="0"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银行名称：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rPr>
        <w:t>，收款账号：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6AFA01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第十五条  其他</w:t>
      </w:r>
    </w:p>
    <w:p w14:paraId="694489B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1、不可抗力情况下的免责约定，双方约定不可抗力情况包括：五级以上地震、大风、大雨、大雪。</w:t>
      </w:r>
    </w:p>
    <w:p w14:paraId="47D07F2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2、除本合同约定，合同一经签订，不得擅自变更、中止或者终止合同。对确需变更、调整或者中止、终止合同的，应按规定履行相应的手续。</w:t>
      </w:r>
    </w:p>
    <w:p w14:paraId="6CF3DEC2">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hAnsi="宋体" w:cs="宋体"/>
          <w:kern w:val="0"/>
          <w:sz w:val="21"/>
          <w:szCs w:val="21"/>
          <w:highlight w:val="none"/>
          <w:lang w:val="en-US" w:eastAsia="zh-CN"/>
        </w:rPr>
        <w:t>3</w:t>
      </w:r>
      <w:r>
        <w:rPr>
          <w:rFonts w:hint="eastAsia" w:ascii="宋体" w:hAnsi="宋体" w:eastAsia="宋体" w:cs="宋体"/>
          <w:kern w:val="0"/>
          <w:sz w:val="21"/>
          <w:szCs w:val="21"/>
          <w:highlight w:val="none"/>
          <w:lang w:val="en-US" w:eastAsia="zh-CN"/>
        </w:rPr>
        <w:t>、本合同未尽事宜，可由双方协商一致，另行签订补充协议，补充协议是本合同的重要组成部分。</w:t>
      </w:r>
    </w:p>
    <w:p w14:paraId="366DC06A">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2" w:firstLineChars="200"/>
        <w:jc w:val="left"/>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第十</w:t>
      </w:r>
      <w:r>
        <w:rPr>
          <w:rFonts w:hint="eastAsia" w:ascii="宋体" w:hAnsi="宋体" w:eastAsia="宋体" w:cs="宋体"/>
          <w:b/>
          <w:bCs/>
          <w:color w:val="auto"/>
          <w:kern w:val="0"/>
          <w:sz w:val="21"/>
          <w:szCs w:val="21"/>
          <w:highlight w:val="none"/>
          <w:lang w:val="en-US" w:eastAsia="zh-CN"/>
        </w:rPr>
        <w:t>六</w:t>
      </w:r>
      <w:r>
        <w:rPr>
          <w:rFonts w:hint="eastAsia" w:ascii="宋体" w:hAnsi="宋体" w:eastAsia="宋体" w:cs="宋体"/>
          <w:b/>
          <w:bCs/>
          <w:color w:val="auto"/>
          <w:kern w:val="0"/>
          <w:sz w:val="21"/>
          <w:szCs w:val="21"/>
          <w:highlight w:val="none"/>
        </w:rPr>
        <w:t>条  附则</w:t>
      </w:r>
    </w:p>
    <w:p w14:paraId="3DFF04DC">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1、本次采购项目的招标文件、投标文件、中标通知书及</w:t>
      </w:r>
      <w:r>
        <w:rPr>
          <w:rFonts w:hint="eastAsia" w:ascii="宋体" w:hAnsi="宋体" w:eastAsia="宋体" w:cs="宋体"/>
          <w:kern w:val="0"/>
          <w:sz w:val="21"/>
          <w:szCs w:val="21"/>
          <w:highlight w:val="none"/>
          <w:lang w:val="en-US" w:eastAsia="zh-CN"/>
        </w:rPr>
        <w:t>澄清说明文件均为本合同的组成部分，甲、乙双方必须全面遵守，如有违反，应承担违约责任。</w:t>
      </w:r>
    </w:p>
    <w:p w14:paraId="5252D83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2、本合同一式</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份，甲乙双方各执</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lang w:val="en-US" w:eastAsia="zh-CN"/>
        </w:rPr>
        <w:t>份。</w:t>
      </w:r>
    </w:p>
    <w:p w14:paraId="0D916F33">
      <w:pPr>
        <w:adjustRightInd w:val="0"/>
        <w:snapToGrid w:val="0"/>
        <w:spacing w:line="360" w:lineRule="auto"/>
        <w:ind w:firstLine="415" w:firstLineChars="198"/>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3、本合同自签订之日起生效。</w:t>
      </w:r>
    </w:p>
    <w:p w14:paraId="32AB63EF">
      <w:pPr>
        <w:adjustRightInd w:val="0"/>
        <w:snapToGrid w:val="0"/>
        <w:spacing w:line="360" w:lineRule="auto"/>
        <w:ind w:firstLine="415" w:firstLineChars="198"/>
        <w:rPr>
          <w:rFonts w:hint="eastAsia" w:ascii="宋体" w:hAnsi="宋体" w:eastAsia="宋体" w:cs="宋体"/>
          <w:b w:val="0"/>
          <w:bCs w:val="0"/>
          <w:kern w:val="0"/>
          <w:sz w:val="21"/>
          <w:szCs w:val="21"/>
          <w:highlight w:val="none"/>
          <w:lang w:val="en-US" w:eastAsia="zh-CN" w:bidi="ar-SA"/>
        </w:rPr>
      </w:pPr>
      <w:r>
        <w:rPr>
          <w:rFonts w:hint="eastAsia" w:hAnsi="宋体" w:cs="宋体"/>
          <w:color w:val="auto"/>
          <w:sz w:val="21"/>
          <w:szCs w:val="21"/>
          <w:highlight w:val="none"/>
          <w:lang w:eastAsia="zh-CN"/>
        </w:rPr>
        <w:t>（以下无正文）</w:t>
      </w:r>
    </w:p>
    <w:p w14:paraId="0F43AC8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afterAutospacing="0" w:line="360" w:lineRule="auto"/>
        <w:ind w:left="0" w:leftChars="0" w:right="0" w:rightChars="0" w:firstLine="420" w:firstLineChars="200"/>
        <w:jc w:val="left"/>
        <w:textAlignment w:val="auto"/>
        <w:rPr>
          <w:rFonts w:hint="eastAsia" w:ascii="宋体" w:hAnsi="宋体" w:eastAsia="宋体" w:cs="宋体"/>
          <w:kern w:val="0"/>
          <w:sz w:val="21"/>
          <w:szCs w:val="21"/>
          <w:highlight w:val="none"/>
          <w:lang w:val="en-US" w:eastAsia="zh-CN"/>
        </w:rPr>
      </w:pPr>
    </w:p>
    <w:p w14:paraId="5ADA59C0">
      <w:pPr>
        <w:adjustRightInd w:val="0"/>
        <w:snapToGrid w:val="0"/>
        <w:spacing w:line="360" w:lineRule="auto"/>
        <w:ind w:firstLine="415" w:firstLineChars="198"/>
        <w:rPr>
          <w:rFonts w:hint="eastAsia" w:hAnsi="宋体" w:cs="宋体"/>
          <w:color w:val="auto"/>
          <w:sz w:val="21"/>
          <w:szCs w:val="21"/>
          <w:highlight w:val="none"/>
          <w:lang w:eastAsia="zh-CN"/>
        </w:rPr>
        <w:sectPr>
          <w:pgSz w:w="11906" w:h="16838"/>
          <w:pgMar w:top="1440" w:right="1080" w:bottom="1440" w:left="1080" w:header="1134" w:footer="992" w:gutter="0"/>
          <w:pgNumType w:fmt="decimal"/>
          <w:cols w:space="720" w:num="1"/>
          <w:titlePg/>
          <w:docGrid w:type="lines" w:linePitch="333" w:charSpace="0"/>
        </w:sectPr>
      </w:pPr>
    </w:p>
    <w:tbl>
      <w:tblPr>
        <w:tblStyle w:val="8"/>
        <w:tblW w:w="88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80"/>
        <w:gridCol w:w="4501"/>
      </w:tblGrid>
      <w:tr w14:paraId="561AC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108BFD79">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甲</w:t>
            </w:r>
            <w:r>
              <w:rPr>
                <w:rFonts w:hint="eastAsia"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方：</w:t>
            </w:r>
          </w:p>
        </w:tc>
        <w:tc>
          <w:tcPr>
            <w:tcW w:w="4501" w:type="dxa"/>
            <w:tcBorders>
              <w:top w:val="nil"/>
              <w:left w:val="nil"/>
              <w:bottom w:val="nil"/>
              <w:right w:val="nil"/>
            </w:tcBorders>
            <w:vAlign w:val="center"/>
          </w:tcPr>
          <w:p w14:paraId="0D4E96DF">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w:t>
            </w:r>
            <w:r>
              <w:rPr>
                <w:rFonts w:hint="eastAsia"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方：</w:t>
            </w:r>
          </w:p>
        </w:tc>
      </w:tr>
      <w:tr w14:paraId="713C0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exact"/>
          <w:jc w:val="center"/>
        </w:trPr>
        <w:tc>
          <w:tcPr>
            <w:tcW w:w="4380" w:type="dxa"/>
            <w:tcBorders>
              <w:top w:val="nil"/>
              <w:left w:val="nil"/>
              <w:bottom w:val="nil"/>
              <w:right w:val="nil"/>
            </w:tcBorders>
            <w:vAlign w:val="center"/>
          </w:tcPr>
          <w:p w14:paraId="3DBCA1B9">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地    址：</w:t>
            </w:r>
          </w:p>
        </w:tc>
        <w:tc>
          <w:tcPr>
            <w:tcW w:w="4501" w:type="dxa"/>
            <w:tcBorders>
              <w:top w:val="nil"/>
              <w:left w:val="nil"/>
              <w:bottom w:val="nil"/>
              <w:right w:val="nil"/>
            </w:tcBorders>
            <w:vAlign w:val="center"/>
          </w:tcPr>
          <w:p w14:paraId="647216D5">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地    址：</w:t>
            </w:r>
          </w:p>
        </w:tc>
      </w:tr>
      <w:tr w14:paraId="1F58F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31A3A365">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邮    编：</w:t>
            </w:r>
          </w:p>
        </w:tc>
        <w:tc>
          <w:tcPr>
            <w:tcW w:w="4501" w:type="dxa"/>
            <w:tcBorders>
              <w:top w:val="nil"/>
              <w:left w:val="nil"/>
              <w:bottom w:val="nil"/>
              <w:right w:val="nil"/>
            </w:tcBorders>
            <w:vAlign w:val="center"/>
          </w:tcPr>
          <w:p w14:paraId="32603556">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邮    编：</w:t>
            </w:r>
          </w:p>
        </w:tc>
      </w:tr>
      <w:tr w14:paraId="197D4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exact"/>
          <w:jc w:val="center"/>
        </w:trPr>
        <w:tc>
          <w:tcPr>
            <w:tcW w:w="4380" w:type="dxa"/>
            <w:tcBorders>
              <w:top w:val="nil"/>
              <w:left w:val="nil"/>
              <w:bottom w:val="nil"/>
              <w:right w:val="nil"/>
            </w:tcBorders>
            <w:vAlign w:val="center"/>
          </w:tcPr>
          <w:p w14:paraId="27124ED7">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b/>
                <w:bCs/>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法定代表人或其授权的代理人（签字）：</w:t>
            </w:r>
          </w:p>
        </w:tc>
        <w:tc>
          <w:tcPr>
            <w:tcW w:w="4501" w:type="dxa"/>
            <w:tcBorders>
              <w:top w:val="nil"/>
              <w:left w:val="nil"/>
              <w:bottom w:val="nil"/>
              <w:right w:val="nil"/>
            </w:tcBorders>
            <w:vAlign w:val="center"/>
          </w:tcPr>
          <w:p w14:paraId="71FB3449">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法定代表人或其授权的代理人（签字）：</w:t>
            </w:r>
          </w:p>
        </w:tc>
      </w:tr>
      <w:tr w14:paraId="62793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50E6AAF6">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t>开户银行</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eastAsia="zh-CN" w:bidi="ar-SA"/>
              </w:rPr>
              <w:t>：</w:t>
            </w:r>
          </w:p>
        </w:tc>
        <w:tc>
          <w:tcPr>
            <w:tcW w:w="4501" w:type="dxa"/>
            <w:tcBorders>
              <w:top w:val="nil"/>
              <w:left w:val="nil"/>
              <w:bottom w:val="nil"/>
              <w:right w:val="nil"/>
            </w:tcBorders>
            <w:vAlign w:val="center"/>
          </w:tcPr>
          <w:p w14:paraId="34C2F4F2">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t>开户银行</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eastAsia="zh-CN" w:bidi="ar-SA"/>
              </w:rPr>
              <w:t>：</w:t>
            </w:r>
          </w:p>
        </w:tc>
      </w:tr>
      <w:tr w14:paraId="4F6F5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13BD891C">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帐    号：</w:t>
            </w:r>
          </w:p>
        </w:tc>
        <w:tc>
          <w:tcPr>
            <w:tcW w:w="4501" w:type="dxa"/>
            <w:tcBorders>
              <w:top w:val="nil"/>
              <w:left w:val="nil"/>
              <w:bottom w:val="nil"/>
              <w:right w:val="nil"/>
            </w:tcBorders>
            <w:vAlign w:val="center"/>
          </w:tcPr>
          <w:p w14:paraId="5DD3B33D">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帐    号：</w:t>
            </w:r>
          </w:p>
        </w:tc>
      </w:tr>
      <w:tr w14:paraId="24373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0948025E">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电    话：</w:t>
            </w:r>
          </w:p>
        </w:tc>
        <w:tc>
          <w:tcPr>
            <w:tcW w:w="4501" w:type="dxa"/>
            <w:tcBorders>
              <w:top w:val="nil"/>
              <w:left w:val="nil"/>
              <w:bottom w:val="nil"/>
              <w:right w:val="nil"/>
            </w:tcBorders>
            <w:vAlign w:val="center"/>
          </w:tcPr>
          <w:p w14:paraId="0C49E7C7">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电    话：</w:t>
            </w:r>
          </w:p>
        </w:tc>
      </w:tr>
      <w:tr w14:paraId="7985D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367C6FCC">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电子邮箱：</w:t>
            </w:r>
          </w:p>
        </w:tc>
        <w:tc>
          <w:tcPr>
            <w:tcW w:w="4501" w:type="dxa"/>
            <w:tcBorders>
              <w:top w:val="nil"/>
              <w:left w:val="nil"/>
              <w:bottom w:val="nil"/>
              <w:right w:val="nil"/>
            </w:tcBorders>
            <w:vAlign w:val="center"/>
          </w:tcPr>
          <w:p w14:paraId="1EB529AC">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电子邮箱：</w:t>
            </w:r>
          </w:p>
        </w:tc>
      </w:tr>
      <w:tr w14:paraId="09EFC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4380" w:type="dxa"/>
            <w:tcBorders>
              <w:top w:val="nil"/>
              <w:left w:val="nil"/>
              <w:bottom w:val="nil"/>
              <w:right w:val="nil"/>
            </w:tcBorders>
            <w:vAlign w:val="center"/>
          </w:tcPr>
          <w:p w14:paraId="24CDD75B">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时    间：</w:t>
            </w:r>
          </w:p>
        </w:tc>
        <w:tc>
          <w:tcPr>
            <w:tcW w:w="4501" w:type="dxa"/>
            <w:tcBorders>
              <w:top w:val="nil"/>
              <w:left w:val="nil"/>
              <w:bottom w:val="nil"/>
              <w:right w:val="nil"/>
            </w:tcBorders>
            <w:vAlign w:val="center"/>
          </w:tcPr>
          <w:p w14:paraId="2BD69121">
            <w:pPr>
              <w:pageBreakBefore w:val="0"/>
              <w:widowControl/>
              <w:kinsoku/>
              <w:wordWrap/>
              <w:overflowPunct/>
              <w:topLinePunct w:val="0"/>
              <w:autoSpaceDE/>
              <w:autoSpaceDN/>
              <w:bidi w:val="0"/>
              <w:adjustRightInd w:val="0"/>
              <w:snapToGrid w:val="0"/>
              <w:spacing w:beforeAutospacing="0" w:afterAutospacing="0" w:line="360" w:lineRule="auto"/>
              <w:ind w:left="0" w:lef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时    间：</w:t>
            </w:r>
          </w:p>
        </w:tc>
      </w:tr>
    </w:tbl>
    <w:p w14:paraId="3368B392">
      <w:pPr>
        <w:pStyle w:val="11"/>
        <w:numPr>
          <w:ilvl w:val="0"/>
          <w:numId w:val="0"/>
        </w:numPr>
        <w:jc w:val="both"/>
        <w:outlineLvl w:val="9"/>
        <w:rPr>
          <w:rFonts w:hint="eastAsia" w:ascii="宋体" w:hAnsi="宋体" w:eastAsia="宋体" w:cs="宋体"/>
          <w:sz w:val="20"/>
          <w:szCs w:val="20"/>
          <w:highlight w:val="none"/>
          <w:lang w:val="en-US" w:eastAsia="zh-Hans"/>
        </w:rPr>
      </w:pPr>
      <w:r>
        <w:rPr>
          <w:rFonts w:hint="eastAsia" w:ascii="宋体" w:hAnsi="宋体" w:eastAsia="宋体" w:cs="宋体"/>
          <w:b/>
          <w:bCs/>
          <w:color w:val="auto"/>
          <w:spacing w:val="0"/>
          <w:position w:val="0"/>
          <w:sz w:val="31"/>
          <w:szCs w:val="31"/>
          <w:highlight w:val="none"/>
          <w:lang w:val="en-US" w:eastAsia="zh-CN"/>
        </w:rPr>
        <w:t xml:space="preserve">    </w:t>
      </w:r>
    </w:p>
    <w:p w14:paraId="1C3CB07A"/>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CCB8">
    <w:pPr>
      <w:tabs>
        <w:tab w:val="left" w:pos="5646"/>
      </w:tabs>
      <w:rPr>
        <w:rFonts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539DC">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5539DC">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10C0B">
    <w:pPr>
      <w:tabs>
        <w:tab w:val="center" w:pos="4873"/>
      </w:tabs>
      <w:rPr>
        <w:rFonts w:hAnsi="宋体" w:cs="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DCA7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E7DCA7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1521">
    <w:pPr>
      <w:jc w:val="left"/>
      <w:rPr>
        <w:rFonts w:ascii="楷体" w:hAnsi="楷体" w:eastAsia="楷体" w:cs="楷体"/>
        <w:kern w:val="2"/>
        <w:sz w:val="21"/>
        <w:szCs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F44AF"/>
    <w:multiLevelType w:val="singleLevel"/>
    <w:tmpl w:val="EBFF44AF"/>
    <w:lvl w:ilvl="0" w:tentative="0">
      <w:start w:val="7"/>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35A08"/>
    <w:rsid w:val="65B35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paragraph" w:styleId="3">
    <w:name w:val="Body Text"/>
    <w:basedOn w:val="1"/>
    <w:qFormat/>
    <w:uiPriority w:val="1"/>
    <w:pPr>
      <w:ind w:left="490"/>
    </w:pPr>
    <w:rPr>
      <w:rFonts w:ascii="宋体" w:hAnsi="宋体" w:eastAsia="宋体" w:cs="宋体"/>
      <w:sz w:val="19"/>
      <w:szCs w:val="19"/>
    </w:rPr>
  </w:style>
  <w:style w:type="paragraph" w:styleId="4">
    <w:name w:val="Plain Text"/>
    <w:basedOn w:val="1"/>
    <w:qFormat/>
    <w:uiPriority w:val="0"/>
    <w:rPr>
      <w:rFonts w:hAnsi="Courier New"/>
      <w:kern w:val="2"/>
      <w:sz w:val="21"/>
    </w:rPr>
  </w:style>
  <w:style w:type="paragraph" w:styleId="5">
    <w:name w:val="footer"/>
    <w:basedOn w:val="1"/>
    <w:qFormat/>
    <w:uiPriority w:val="0"/>
    <w:pPr>
      <w:tabs>
        <w:tab w:val="center" w:pos="4153"/>
        <w:tab w:val="right" w:pos="8306"/>
      </w:tabs>
      <w:snapToGrid w:val="0"/>
    </w:pPr>
    <w:rPr>
      <w:sz w:val="18"/>
      <w:szCs w:val="18"/>
    </w:rPr>
  </w:style>
  <w:style w:type="paragraph" w:styleId="6">
    <w:name w:val="Body Text First Indent"/>
    <w:basedOn w:val="3"/>
    <w:qFormat/>
    <w:uiPriority w:val="6"/>
    <w:pPr>
      <w:ind w:firstLine="420"/>
      <w:jc w:val="left"/>
    </w:pPr>
    <w:rPr>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qFormat/>
    <w:uiPriority w:val="0"/>
    <w:rPr>
      <w:sz w:val="21"/>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styleId="13">
    <w:name w:val="List Paragraph"/>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2026-07-17T10:29:00Z</dcterms:created>
  <dc:creator>ZBB</dc:creator>
  <cp:lastModifiedBy>ZBB</cp:lastModifiedBy>
  <dcterms:modified xsi:type="dcterms:W3CDTF">2026-07-17T10:29:43Z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296C9DDDF3964E5E88B72199133091DC_11</vt:lpwstr>
  </property>
  <property fmtid="{D5CDD505-2E9C-101B-9397-08002B2CF9AE}" pid="4" name="KSOTemplateDocerSaveRecord">
    <vt:lpwstr>eyJoZGlkIjoiOTFmZWVhNDRmNTgzOTg3YTkyNzUwNWU2Nzk1Y2FhZTkiLCJ1c2VySWQiOiIyNjQ2NDU1NDQifQ==</vt:lpwstr>
  </property>
</Properties>
</file>