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ECCF9">
      <w:pPr>
        <w:spacing w:line="360" w:lineRule="auto"/>
        <w:jc w:val="center"/>
        <w:rPr>
          <w:rFonts w:ascii="宋体" w:hAnsi="宋体" w:cs="宋体"/>
          <w:spacing w:val="-4"/>
          <w:sz w:val="28"/>
          <w:szCs w:val="28"/>
        </w:rPr>
      </w:pPr>
      <w:r>
        <w:rPr>
          <w:rFonts w:hint="eastAsia" w:ascii="宋体" w:hAnsi="宋体" w:cs="宋体"/>
          <w:spacing w:val="-4"/>
          <w:sz w:val="28"/>
          <w:szCs w:val="28"/>
        </w:rPr>
        <w:t xml:space="preserve">                                 合同编号：</w:t>
      </w:r>
    </w:p>
    <w:p w14:paraId="3EBE99F4">
      <w:pPr>
        <w:spacing w:line="360" w:lineRule="auto"/>
        <w:jc w:val="center"/>
        <w:rPr>
          <w:rFonts w:ascii="宋体" w:hAnsi="宋体" w:cs="宋体"/>
          <w:spacing w:val="-4"/>
          <w:sz w:val="48"/>
          <w:szCs w:val="48"/>
        </w:rPr>
      </w:pPr>
    </w:p>
    <w:p w14:paraId="7DC47113">
      <w:pPr>
        <w:spacing w:line="360" w:lineRule="auto"/>
        <w:rPr>
          <w:rFonts w:ascii="宋体" w:hAnsi="宋体" w:cs="宋体"/>
          <w:spacing w:val="-4"/>
          <w:sz w:val="48"/>
          <w:szCs w:val="48"/>
        </w:rPr>
      </w:pPr>
    </w:p>
    <w:p w14:paraId="31D3AB46">
      <w:pPr>
        <w:spacing w:line="360" w:lineRule="auto"/>
        <w:jc w:val="center"/>
        <w:rPr>
          <w:rFonts w:ascii="宋体" w:hAnsi="宋体" w:cs="宋体"/>
          <w:sz w:val="48"/>
          <w:szCs w:val="48"/>
        </w:rPr>
      </w:pPr>
      <w:r>
        <w:rPr>
          <w:rFonts w:hint="eastAsia" w:ascii="宋体" w:hAnsi="宋体" w:cs="宋体"/>
          <w:spacing w:val="-2"/>
          <w:sz w:val="48"/>
          <w:szCs w:val="48"/>
        </w:rPr>
        <w:t>施工合同</w:t>
      </w:r>
    </w:p>
    <w:p w14:paraId="4CF117FC">
      <w:pPr>
        <w:spacing w:line="321" w:lineRule="auto"/>
        <w:jc w:val="center"/>
        <w:rPr>
          <w:rFonts w:ascii="Arial"/>
        </w:rPr>
      </w:pPr>
    </w:p>
    <w:p w14:paraId="5E7A009A">
      <w:pPr>
        <w:spacing w:before="100" w:line="263" w:lineRule="auto"/>
        <w:ind w:left="6" w:right="75" w:firstLine="6"/>
        <w:jc w:val="center"/>
        <w:rPr>
          <w:rFonts w:ascii="宋体" w:hAnsi="宋体" w:cs="宋体"/>
          <w:b/>
          <w:bCs/>
          <w:spacing w:val="2"/>
          <w:sz w:val="36"/>
          <w:szCs w:val="36"/>
        </w:rPr>
      </w:pPr>
    </w:p>
    <w:p w14:paraId="2D5863B1">
      <w:pPr>
        <w:pStyle w:val="2"/>
        <w:rPr>
          <w:rFonts w:cs="宋体"/>
          <w:b/>
          <w:bCs/>
          <w:spacing w:val="2"/>
          <w:sz w:val="36"/>
          <w:szCs w:val="36"/>
        </w:rPr>
      </w:pPr>
    </w:p>
    <w:p w14:paraId="44A74F34"/>
    <w:p w14:paraId="32396FC5">
      <w:pPr>
        <w:spacing w:before="100" w:line="263" w:lineRule="auto"/>
        <w:ind w:left="6" w:right="75" w:firstLine="6"/>
        <w:jc w:val="center"/>
        <w:rPr>
          <w:rFonts w:ascii="宋体" w:hAnsi="宋体" w:cs="宋体"/>
          <w:b/>
          <w:bCs/>
          <w:spacing w:val="2"/>
          <w:sz w:val="36"/>
          <w:szCs w:val="36"/>
        </w:rPr>
      </w:pPr>
      <w:r>
        <w:rPr>
          <w:rFonts w:hint="eastAsia" w:ascii="宋体" w:hAnsi="宋体" w:cs="宋体"/>
          <w:b/>
          <w:bCs/>
          <w:spacing w:val="2"/>
          <w:sz w:val="36"/>
          <w:szCs w:val="36"/>
        </w:rPr>
        <w:t>合同名称：</w:t>
      </w:r>
    </w:p>
    <w:p w14:paraId="1FB06C94">
      <w:pPr>
        <w:spacing w:before="100" w:line="263" w:lineRule="auto"/>
        <w:ind w:left="6" w:right="75" w:firstLine="6"/>
        <w:jc w:val="center"/>
        <w:rPr>
          <w:rFonts w:ascii="黑体" w:hAnsi="黑体" w:eastAsia="黑体" w:cs="黑体"/>
          <w:sz w:val="31"/>
          <w:szCs w:val="31"/>
        </w:rPr>
      </w:pPr>
    </w:p>
    <w:p w14:paraId="594F969E">
      <w:pPr>
        <w:spacing w:line="242" w:lineRule="auto"/>
        <w:rPr>
          <w:rFonts w:ascii="Arial"/>
        </w:rPr>
      </w:pPr>
    </w:p>
    <w:p w14:paraId="6BABCF18">
      <w:pPr>
        <w:spacing w:line="242" w:lineRule="auto"/>
        <w:rPr>
          <w:rFonts w:ascii="Arial"/>
        </w:rPr>
      </w:pPr>
    </w:p>
    <w:p w14:paraId="4434CBF8">
      <w:pPr>
        <w:spacing w:line="242" w:lineRule="auto"/>
        <w:rPr>
          <w:rFonts w:ascii="Arial"/>
        </w:rPr>
      </w:pPr>
    </w:p>
    <w:p w14:paraId="27544DD9">
      <w:pPr>
        <w:spacing w:line="242" w:lineRule="auto"/>
        <w:rPr>
          <w:rFonts w:ascii="Arial"/>
        </w:rPr>
      </w:pPr>
    </w:p>
    <w:p w14:paraId="47D73A90">
      <w:pPr>
        <w:spacing w:line="242" w:lineRule="auto"/>
        <w:rPr>
          <w:rFonts w:ascii="Arial"/>
        </w:rPr>
      </w:pPr>
    </w:p>
    <w:p w14:paraId="5277508D">
      <w:pPr>
        <w:spacing w:line="243" w:lineRule="auto"/>
        <w:rPr>
          <w:rFonts w:ascii="Arial"/>
        </w:rPr>
      </w:pPr>
    </w:p>
    <w:p w14:paraId="4FB9712F">
      <w:pPr>
        <w:spacing w:line="243" w:lineRule="auto"/>
        <w:rPr>
          <w:rFonts w:ascii="Arial"/>
        </w:rPr>
      </w:pPr>
    </w:p>
    <w:p w14:paraId="00701F13">
      <w:pPr>
        <w:spacing w:line="243" w:lineRule="auto"/>
        <w:rPr>
          <w:rFonts w:ascii="Arial"/>
        </w:rPr>
      </w:pPr>
    </w:p>
    <w:p w14:paraId="12BAA615">
      <w:pPr>
        <w:pStyle w:val="2"/>
        <w:rPr>
          <w:rFonts w:ascii="Arial"/>
        </w:rPr>
      </w:pPr>
    </w:p>
    <w:p w14:paraId="3790EF77"/>
    <w:p w14:paraId="29A921D9">
      <w:pPr>
        <w:spacing w:line="243" w:lineRule="auto"/>
        <w:rPr>
          <w:rFonts w:ascii="Arial"/>
        </w:rPr>
      </w:pPr>
    </w:p>
    <w:p w14:paraId="692CE2C2">
      <w:pPr>
        <w:spacing w:line="480" w:lineRule="auto"/>
        <w:ind w:firstLine="1606" w:firstLineChars="500"/>
        <w:jc w:val="left"/>
        <w:rPr>
          <w:rFonts w:ascii="宋体" w:hAnsi="宋体" w:cs="宋体"/>
          <w:b/>
          <w:bCs/>
          <w:sz w:val="32"/>
          <w:szCs w:val="32"/>
          <w:u w:val="single"/>
        </w:rPr>
      </w:pPr>
      <w:r>
        <w:rPr>
          <w:rFonts w:hint="eastAsia" w:ascii="宋体" w:hAnsi="宋体" w:cs="宋体"/>
          <w:b/>
          <w:bCs/>
          <w:sz w:val="32"/>
          <w:szCs w:val="32"/>
        </w:rPr>
        <w:t>采购人全称：</w:t>
      </w:r>
      <w:r>
        <w:rPr>
          <w:rFonts w:hint="eastAsia" w:ascii="宋体" w:hAnsi="宋体" w:cs="宋体"/>
          <w:b/>
          <w:bCs/>
          <w:sz w:val="32"/>
          <w:szCs w:val="32"/>
          <w:u w:val="single"/>
        </w:rPr>
        <w:t xml:space="preserve">                         </w:t>
      </w:r>
    </w:p>
    <w:p w14:paraId="5EBE6E47">
      <w:pPr>
        <w:spacing w:line="480" w:lineRule="auto"/>
        <w:ind w:firstLine="1606" w:firstLineChars="500"/>
        <w:jc w:val="left"/>
        <w:rPr>
          <w:rFonts w:ascii="宋体" w:hAnsi="宋体" w:cs="宋体"/>
          <w:b/>
          <w:bCs/>
          <w:sz w:val="32"/>
          <w:szCs w:val="32"/>
        </w:rPr>
      </w:pPr>
      <w:r>
        <w:rPr>
          <w:rFonts w:hint="eastAsia" w:ascii="宋体" w:hAnsi="宋体" w:cs="宋体"/>
          <w:b/>
          <w:bCs/>
          <w:sz w:val="32"/>
          <w:szCs w:val="32"/>
        </w:rPr>
        <w:t>供应商全称：</w:t>
      </w:r>
      <w:r>
        <w:rPr>
          <w:rFonts w:hint="eastAsia" w:ascii="宋体" w:hAnsi="宋体" w:cs="宋体"/>
          <w:b/>
          <w:bCs/>
          <w:sz w:val="32"/>
          <w:szCs w:val="32"/>
          <w:u w:val="single"/>
        </w:rPr>
        <w:t xml:space="preserve">                         </w:t>
      </w:r>
    </w:p>
    <w:p w14:paraId="3FB875B0">
      <w:pPr>
        <w:spacing w:line="480" w:lineRule="auto"/>
        <w:ind w:firstLine="1606" w:firstLineChars="500"/>
        <w:jc w:val="left"/>
        <w:rPr>
          <w:rFonts w:ascii="宋体" w:hAnsi="宋体" w:cs="宋体"/>
          <w:b/>
          <w:bCs/>
          <w:sz w:val="32"/>
          <w:szCs w:val="32"/>
          <w:u w:val="single"/>
        </w:rPr>
      </w:pPr>
      <w:r>
        <w:rPr>
          <w:rFonts w:hint="eastAsia" w:ascii="宋体" w:hAnsi="宋体" w:cs="宋体"/>
          <w:b/>
          <w:bCs/>
          <w:sz w:val="32"/>
          <w:szCs w:val="32"/>
        </w:rPr>
        <w:t>时      间：</w:t>
      </w:r>
      <w:r>
        <w:rPr>
          <w:rFonts w:hint="eastAsia" w:ascii="宋体" w:hAnsi="宋体" w:cs="宋体"/>
          <w:b/>
          <w:bCs/>
          <w:sz w:val="32"/>
          <w:szCs w:val="32"/>
          <w:u w:val="single"/>
        </w:rPr>
        <w:t xml:space="preserve">      年       月      日</w:t>
      </w:r>
    </w:p>
    <w:p w14:paraId="2E5D1F64">
      <w:pPr>
        <w:spacing w:line="360" w:lineRule="auto"/>
        <w:rPr>
          <w:sz w:val="24"/>
          <w:u w:val="single"/>
        </w:rPr>
        <w:sectPr>
          <w:headerReference r:id="rId3" w:type="default"/>
          <w:pgSz w:w="11906" w:h="16838"/>
          <w:pgMar w:top="916" w:right="1087" w:bottom="884" w:left="1076" w:header="763" w:footer="723" w:gutter="0"/>
          <w:cols w:space="720" w:num="1"/>
        </w:sectPr>
      </w:pPr>
    </w:p>
    <w:p w14:paraId="68ED222C">
      <w:pPr>
        <w:widowControl/>
        <w:jc w:val="center"/>
        <w:rPr>
          <w:rFonts w:ascii="宋体" w:hAnsi="宋体" w:cs="宋体"/>
          <w:sz w:val="40"/>
          <w:szCs w:val="40"/>
        </w:rPr>
      </w:pPr>
      <w:r>
        <w:rPr>
          <w:rFonts w:hint="eastAsia" w:ascii="宋体" w:hAnsi="宋体" w:cs="宋体"/>
          <w:b/>
          <w:bCs/>
          <w:color w:val="000000"/>
          <w:kern w:val="0"/>
          <w:sz w:val="40"/>
          <w:szCs w:val="40"/>
          <w:lang w:bidi="ar"/>
        </w:rPr>
        <w:t>合同协议书</w:t>
      </w:r>
    </w:p>
    <w:p w14:paraId="5376D1C5">
      <w:pPr>
        <w:widowControl/>
        <w:jc w:val="left"/>
        <w:rPr>
          <w:rFonts w:ascii="宋体" w:hAnsi="宋体" w:cs="宋体"/>
          <w:color w:val="000000"/>
          <w:kern w:val="0"/>
          <w:sz w:val="24"/>
          <w:szCs w:val="24"/>
          <w:lang w:bidi="ar"/>
        </w:rPr>
      </w:pPr>
    </w:p>
    <w:p w14:paraId="446CD517">
      <w:pPr>
        <w:widowControl/>
        <w:spacing w:line="360" w:lineRule="auto"/>
        <w:jc w:val="left"/>
        <w:rPr>
          <w:rFonts w:ascii="宋体" w:hAnsi="宋体" w:cs="宋体"/>
          <w:sz w:val="24"/>
          <w:szCs w:val="24"/>
        </w:rPr>
      </w:pPr>
      <w:r>
        <w:rPr>
          <w:rFonts w:hint="eastAsia" w:ascii="宋体" w:hAnsi="宋体" w:cs="宋体"/>
          <w:color w:val="000000"/>
          <w:kern w:val="0"/>
          <w:sz w:val="24"/>
          <w:szCs w:val="24"/>
          <w:lang w:bidi="ar"/>
        </w:rPr>
        <w:t xml:space="preserve">采购人(以下简称采购人) ： </w:t>
      </w:r>
    </w:p>
    <w:p w14:paraId="196082CE">
      <w:pPr>
        <w:widowControl/>
        <w:spacing w:line="360" w:lineRule="auto"/>
        <w:jc w:val="left"/>
        <w:rPr>
          <w:rFonts w:ascii="宋体" w:hAnsi="宋体" w:cs="宋体"/>
          <w:sz w:val="24"/>
          <w:szCs w:val="24"/>
        </w:rPr>
      </w:pPr>
      <w:r>
        <w:rPr>
          <w:rFonts w:hint="eastAsia" w:ascii="宋体" w:hAnsi="宋体" w:cs="宋体"/>
          <w:color w:val="000000"/>
          <w:kern w:val="0"/>
          <w:sz w:val="24"/>
          <w:szCs w:val="24"/>
          <w:lang w:bidi="ar"/>
        </w:rPr>
        <w:t xml:space="preserve">供应商(以下简称供应商) ： </w:t>
      </w:r>
    </w:p>
    <w:p w14:paraId="59E3695F">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根据《中华人民共和国民法典》及相关法律、法规的规定，遵循平等、自愿、公平和诚实信用的原则，结合本项目实际情况，双方就事项协商一致，订立本合同，以兹共同遵守。 </w:t>
      </w:r>
    </w:p>
    <w:p w14:paraId="4A826CD0">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第一条 项目概况 </w:t>
      </w:r>
    </w:p>
    <w:p w14:paraId="0159A41F">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1-1 项目名称：</w:t>
      </w:r>
      <w:r>
        <w:rPr>
          <w:rFonts w:hint="eastAsia" w:ascii="宋体" w:hAnsi="宋体" w:cs="宋体"/>
          <w:color w:val="000000"/>
          <w:kern w:val="0"/>
          <w:sz w:val="24"/>
          <w:szCs w:val="24"/>
          <w:u w:val="single"/>
          <w:lang w:bidi="ar"/>
        </w:rPr>
        <w:t>2026年新生宿舍维修粉刷项目</w:t>
      </w:r>
      <w:r>
        <w:rPr>
          <w:rFonts w:hint="eastAsia" w:ascii="宋体" w:hAnsi="宋体" w:cs="宋体"/>
          <w:color w:val="000000"/>
          <w:kern w:val="0"/>
          <w:sz w:val="24"/>
          <w:szCs w:val="24"/>
          <w:lang w:bidi="ar"/>
        </w:rPr>
        <w:t xml:space="preserve"> </w:t>
      </w:r>
    </w:p>
    <w:p w14:paraId="70B8B8AC">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1-2 项目地点：</w:t>
      </w:r>
      <w:r>
        <w:rPr>
          <w:rFonts w:hint="eastAsia" w:ascii="宋体" w:hAnsi="宋体" w:cs="宋体"/>
          <w:color w:val="auto"/>
          <w:kern w:val="0"/>
          <w:sz w:val="24"/>
          <w:szCs w:val="24"/>
          <w:u w:val="single"/>
          <w:lang w:bidi="ar"/>
        </w:rPr>
        <w:t>陕西科技大学西安校区；</w:t>
      </w:r>
      <w:r>
        <w:rPr>
          <w:rFonts w:hint="eastAsia" w:ascii="宋体" w:hAnsi="宋体" w:cs="宋体"/>
          <w:color w:val="000000"/>
          <w:kern w:val="0"/>
          <w:sz w:val="24"/>
          <w:szCs w:val="24"/>
          <w:lang w:bidi="ar"/>
        </w:rPr>
        <w:t xml:space="preserve"> </w:t>
      </w:r>
    </w:p>
    <w:p w14:paraId="62A9B338">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1-3 施工范围：</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w:t>
      </w:r>
    </w:p>
    <w:p w14:paraId="5D076819">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1-4 施工内容：</w:t>
      </w:r>
      <w:r>
        <w:rPr>
          <w:rFonts w:hint="eastAsia" w:ascii="宋体" w:hAnsi="宋体" w:cs="宋体"/>
          <w:color w:val="000000"/>
          <w:kern w:val="0"/>
          <w:sz w:val="24"/>
          <w:szCs w:val="24"/>
          <w:u w:val="single"/>
          <w:lang w:bidi="ar"/>
        </w:rPr>
        <w:t>详见采购文件，工程量清单及图纸等</w:t>
      </w:r>
      <w:r>
        <w:rPr>
          <w:rFonts w:hint="eastAsia" w:ascii="宋体" w:hAnsi="宋体" w:cs="宋体"/>
          <w:color w:val="000000"/>
          <w:kern w:val="0"/>
          <w:sz w:val="24"/>
          <w:szCs w:val="24"/>
          <w:lang w:bidi="ar"/>
        </w:rPr>
        <w:t>；</w:t>
      </w:r>
    </w:p>
    <w:p w14:paraId="3E477D46">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1-5 施工要求：</w:t>
      </w:r>
      <w:r>
        <w:rPr>
          <w:rFonts w:hint="eastAsia" w:ascii="宋体" w:hAnsi="宋体" w:cs="宋体"/>
          <w:spacing w:val="12"/>
          <w:sz w:val="24"/>
          <w:szCs w:val="24"/>
          <w:u w:val="single"/>
        </w:rPr>
        <w:t>供应商应按照采购文件中相应技术规范和服务要求结合投标响应文件组织专业队伍实施，采购人负责施工工期内对供应商所完成所有工程量的考核。具体考核要求以采购人最终要求的为准</w:t>
      </w:r>
      <w:r>
        <w:rPr>
          <w:rFonts w:hint="eastAsia" w:ascii="宋体" w:hAnsi="宋体" w:cs="宋体"/>
          <w:spacing w:val="12"/>
          <w:sz w:val="24"/>
          <w:szCs w:val="24"/>
        </w:rPr>
        <w:t>。</w:t>
      </w:r>
      <w:r>
        <w:rPr>
          <w:rFonts w:hint="eastAsia" w:ascii="宋体" w:hAnsi="宋体" w:cs="宋体"/>
          <w:color w:val="000000"/>
          <w:kern w:val="0"/>
          <w:sz w:val="24"/>
          <w:szCs w:val="24"/>
          <w:lang w:bidi="ar"/>
        </w:rPr>
        <w:t xml:space="preserve"> </w:t>
      </w:r>
    </w:p>
    <w:p w14:paraId="4BBF8096">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第二条 工期 </w:t>
      </w:r>
    </w:p>
    <w:p w14:paraId="1EAC676E">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2-1 计划工期：</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 xml:space="preserve">个日历天。 </w:t>
      </w:r>
    </w:p>
    <w:p w14:paraId="30DF9758">
      <w:pPr>
        <w:widowControl/>
        <w:kinsoku w:val="0"/>
        <w:autoSpaceDE w:val="0"/>
        <w:autoSpaceDN w:val="0"/>
        <w:adjustRightInd w:val="0"/>
        <w:snapToGrid w:val="0"/>
        <w:spacing w:line="408" w:lineRule="auto"/>
        <w:ind w:firstLine="480" w:firstLineChars="200"/>
        <w:textAlignment w:val="baseline"/>
        <w:rPr>
          <w:rFonts w:ascii="宋体" w:hAnsi="宋体" w:cs="宋体"/>
          <w:color w:val="000000"/>
          <w:kern w:val="0"/>
          <w:sz w:val="24"/>
          <w:szCs w:val="24"/>
          <w:lang w:bidi="ar"/>
        </w:rPr>
      </w:pPr>
      <w:r>
        <w:rPr>
          <w:rFonts w:hint="eastAsia" w:ascii="宋体" w:hAnsi="宋体" w:cs="宋体"/>
          <w:color w:val="000000"/>
          <w:kern w:val="0"/>
          <w:sz w:val="24"/>
          <w:szCs w:val="24"/>
          <w:lang w:bidi="ar"/>
        </w:rPr>
        <w:t>2-2 开竣工日期</w:t>
      </w:r>
    </w:p>
    <w:p w14:paraId="324FFD97">
      <w:pPr>
        <w:widowControl/>
        <w:kinsoku w:val="0"/>
        <w:autoSpaceDE w:val="0"/>
        <w:autoSpaceDN w:val="0"/>
        <w:adjustRightInd w:val="0"/>
        <w:snapToGrid w:val="0"/>
        <w:spacing w:line="408" w:lineRule="auto"/>
        <w:ind w:firstLine="792" w:firstLineChars="300"/>
        <w:textAlignment w:val="baseline"/>
        <w:rPr>
          <w:rFonts w:ascii="宋体" w:hAnsi="宋体" w:cs="宋体"/>
          <w:spacing w:val="12"/>
          <w:sz w:val="24"/>
          <w:szCs w:val="24"/>
        </w:rPr>
      </w:pPr>
      <w:r>
        <w:rPr>
          <w:rFonts w:hint="eastAsia" w:ascii="宋体" w:hAnsi="宋体" w:cs="宋体"/>
          <w:spacing w:val="12"/>
          <w:sz w:val="24"/>
          <w:szCs w:val="24"/>
        </w:rPr>
        <w:t>计划开工日期：</w:t>
      </w:r>
      <w:r>
        <w:rPr>
          <w:rFonts w:hint="eastAsia" w:ascii="宋体" w:hAnsi="宋体" w:cs="宋体"/>
          <w:spacing w:val="12"/>
          <w:sz w:val="24"/>
          <w:szCs w:val="24"/>
          <w:u w:val="single"/>
        </w:rPr>
        <w:t xml:space="preserve">        </w:t>
      </w:r>
      <w:r>
        <w:rPr>
          <w:rFonts w:hint="eastAsia" w:ascii="宋体" w:hAnsi="宋体" w:cs="宋体"/>
          <w:spacing w:val="12"/>
          <w:sz w:val="24"/>
          <w:szCs w:val="24"/>
        </w:rPr>
        <w:t>年</w:t>
      </w:r>
      <w:r>
        <w:rPr>
          <w:rFonts w:hint="eastAsia" w:ascii="宋体" w:hAnsi="宋体" w:cs="宋体"/>
          <w:spacing w:val="12"/>
          <w:sz w:val="24"/>
          <w:szCs w:val="24"/>
          <w:u w:val="single"/>
        </w:rPr>
        <w:t xml:space="preserve">        </w:t>
      </w:r>
      <w:r>
        <w:rPr>
          <w:rFonts w:hint="eastAsia" w:ascii="宋体" w:hAnsi="宋体" w:cs="宋体"/>
          <w:spacing w:val="12"/>
          <w:sz w:val="24"/>
          <w:szCs w:val="24"/>
        </w:rPr>
        <w:t>月</w:t>
      </w:r>
      <w:r>
        <w:rPr>
          <w:rFonts w:hint="eastAsia" w:ascii="宋体" w:hAnsi="宋体" w:cs="宋体"/>
          <w:spacing w:val="12"/>
          <w:sz w:val="24"/>
          <w:szCs w:val="24"/>
          <w:u w:val="single"/>
        </w:rPr>
        <w:t xml:space="preserve">        </w:t>
      </w:r>
      <w:r>
        <w:rPr>
          <w:rFonts w:hint="eastAsia" w:ascii="宋体" w:hAnsi="宋体" w:cs="宋体"/>
          <w:spacing w:val="12"/>
          <w:sz w:val="24"/>
          <w:szCs w:val="24"/>
        </w:rPr>
        <w:t>日。</w:t>
      </w:r>
    </w:p>
    <w:p w14:paraId="1937233B">
      <w:pPr>
        <w:widowControl/>
        <w:spacing w:line="360" w:lineRule="auto"/>
        <w:ind w:firstLine="792" w:firstLineChars="300"/>
        <w:jc w:val="left"/>
        <w:rPr>
          <w:rFonts w:ascii="宋体" w:hAnsi="宋体" w:cs="宋体"/>
          <w:sz w:val="24"/>
          <w:szCs w:val="24"/>
        </w:rPr>
      </w:pPr>
      <w:r>
        <w:rPr>
          <w:rFonts w:hint="eastAsia" w:ascii="宋体" w:hAnsi="宋体" w:cs="宋体"/>
          <w:spacing w:val="12"/>
          <w:sz w:val="24"/>
          <w:szCs w:val="24"/>
        </w:rPr>
        <w:t>计划竣工日期：</w:t>
      </w:r>
      <w:r>
        <w:rPr>
          <w:rFonts w:hint="eastAsia" w:ascii="宋体" w:hAnsi="宋体" w:cs="宋体"/>
          <w:spacing w:val="12"/>
          <w:sz w:val="24"/>
          <w:szCs w:val="24"/>
          <w:u w:val="single"/>
        </w:rPr>
        <w:t xml:space="preserve">        </w:t>
      </w:r>
      <w:r>
        <w:rPr>
          <w:rFonts w:hint="eastAsia" w:ascii="宋体" w:hAnsi="宋体" w:cs="宋体"/>
          <w:spacing w:val="12"/>
          <w:sz w:val="24"/>
          <w:szCs w:val="24"/>
        </w:rPr>
        <w:t>年</w:t>
      </w:r>
      <w:r>
        <w:rPr>
          <w:rFonts w:hint="eastAsia" w:ascii="宋体" w:hAnsi="宋体" w:cs="宋体"/>
          <w:spacing w:val="12"/>
          <w:sz w:val="24"/>
          <w:szCs w:val="24"/>
          <w:u w:val="single"/>
        </w:rPr>
        <w:t xml:space="preserve">        </w:t>
      </w:r>
      <w:r>
        <w:rPr>
          <w:rFonts w:hint="eastAsia" w:ascii="宋体" w:hAnsi="宋体" w:cs="宋体"/>
          <w:spacing w:val="12"/>
          <w:sz w:val="24"/>
          <w:szCs w:val="24"/>
        </w:rPr>
        <w:t>月</w:t>
      </w:r>
      <w:r>
        <w:rPr>
          <w:rFonts w:hint="eastAsia" w:ascii="宋体" w:hAnsi="宋体" w:cs="宋体"/>
          <w:spacing w:val="12"/>
          <w:sz w:val="24"/>
          <w:szCs w:val="24"/>
          <w:u w:val="single"/>
        </w:rPr>
        <w:t xml:space="preserve">        </w:t>
      </w:r>
      <w:r>
        <w:rPr>
          <w:rFonts w:hint="eastAsia" w:ascii="宋体" w:hAnsi="宋体" w:cs="宋体"/>
          <w:spacing w:val="12"/>
          <w:sz w:val="24"/>
          <w:szCs w:val="24"/>
        </w:rPr>
        <w:t>日。</w:t>
      </w:r>
    </w:p>
    <w:p w14:paraId="2FC6C26F">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2-3 质量保修期：</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 xml:space="preserve">。（质保期间,供应商设立由专人组成的维修机构，派专人负责维修。在接到采购人的维修通知后 24 小时内派专人维修,并在采购人规定的时间内完成。未按采购人规定的时间到达施工现场进行维修的或供应商维修后不符合采购人要求的，采购人可委托其他单位或人员进行维修，由此造成的返修费用，由供应商承担。） </w:t>
      </w:r>
    </w:p>
    <w:p w14:paraId="3E9B50F8">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第三条 质量标准 </w:t>
      </w:r>
    </w:p>
    <w:p w14:paraId="624AA7D7">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3-1 本工程项目必须达到国家现行行业施工验收规范“合格”标准。 </w:t>
      </w:r>
    </w:p>
    <w:p w14:paraId="3ABFBE74">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第四条 合同文件构成 </w:t>
      </w:r>
    </w:p>
    <w:p w14:paraId="45C44D9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（1）中标（成交）通知书； </w:t>
      </w:r>
    </w:p>
    <w:p w14:paraId="7F25C031">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（2）投标响应文件； </w:t>
      </w:r>
    </w:p>
    <w:p w14:paraId="26E46208">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（3）施工合同； </w:t>
      </w:r>
    </w:p>
    <w:p w14:paraId="0A504E1C">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（4）已标价工程量清单或预算书（如果有）；</w:t>
      </w:r>
    </w:p>
    <w:p w14:paraId="30AA5476">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（5）技术标准和要求； </w:t>
      </w:r>
    </w:p>
    <w:p w14:paraId="3CDA8218">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（6）图纸（如果有）； </w:t>
      </w:r>
    </w:p>
    <w:p w14:paraId="598B4A7F">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（7）其他合同文件。 </w:t>
      </w:r>
    </w:p>
    <w:p w14:paraId="403C1072">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在合同订立及履行过程中形成的与合同有关的文件均构成合同文件组成部分。上述各项合同文件包括合同当事人就该项合同文件所作出的补充和修改，属于同一类内容的文件，应以最新签署的为准。须经合同当事人签字或盖章。 </w:t>
      </w:r>
    </w:p>
    <w:p w14:paraId="50459657">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第五条 工程价款及付款方式 </w:t>
      </w:r>
    </w:p>
    <w:p w14:paraId="53B9EA83">
      <w:pPr>
        <w:widowControl/>
        <w:spacing w:line="360" w:lineRule="auto"/>
        <w:ind w:firstLine="480" w:firstLineChars="200"/>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5-1 本工程合同价款采用固定综合单价合同。签约合同总价为 : </w:t>
      </w:r>
    </w:p>
    <w:p w14:paraId="0AAA403C">
      <w:pPr>
        <w:widowControl/>
        <w:spacing w:line="360" w:lineRule="auto"/>
        <w:ind w:firstLine="720" w:firstLineChars="300"/>
        <w:jc w:val="left"/>
        <w:rPr>
          <w:rFonts w:ascii="宋体" w:hAnsi="宋体" w:cs="宋体"/>
          <w:sz w:val="24"/>
          <w:szCs w:val="24"/>
        </w:rPr>
      </w:pPr>
      <w:r>
        <w:rPr>
          <w:rFonts w:hint="eastAsia" w:ascii="宋体" w:hAnsi="宋体" w:cs="宋体"/>
          <w:color w:val="000000"/>
          <w:kern w:val="0"/>
          <w:sz w:val="24"/>
          <w:szCs w:val="24"/>
          <w:lang w:bidi="ar"/>
        </w:rPr>
        <w:t>大写：人民币</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；小写：￥</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元，（其中：暂列金</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元，安全文明施工费</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 xml:space="preserve">元）。结算时以实际完成工程量据实结算。 </w:t>
      </w:r>
    </w:p>
    <w:p w14:paraId="3D748A2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5-2 付款方式 </w:t>
      </w:r>
    </w:p>
    <w:p w14:paraId="76C545AA">
      <w:pPr>
        <w:widowControl/>
        <w:spacing w:line="360" w:lineRule="auto"/>
        <w:ind w:firstLine="480" w:firstLineChars="200"/>
        <w:jc w:val="left"/>
        <w:rPr>
          <w:rFonts w:ascii="宋体" w:hAnsi="宋体" w:cs="宋体"/>
          <w:color w:val="auto"/>
          <w:sz w:val="24"/>
          <w:szCs w:val="24"/>
        </w:rPr>
      </w:pPr>
      <w:r>
        <w:rPr>
          <w:rFonts w:hint="eastAsia" w:ascii="宋体" w:hAnsi="宋体" w:cs="宋体"/>
          <w:color w:val="auto"/>
          <w:kern w:val="0"/>
          <w:sz w:val="24"/>
          <w:szCs w:val="24"/>
          <w:lang w:bidi="ar"/>
        </w:rPr>
        <w:t>5-2-1</w:t>
      </w:r>
      <w:bookmarkStart w:id="0" w:name="OLE_LINK52"/>
      <w:bookmarkStart w:id="1" w:name="OLE_LINK53"/>
      <w:r>
        <w:rPr>
          <w:rFonts w:hint="eastAsia" w:ascii="宋体" w:hAnsi="宋体" w:cs="宋体"/>
          <w:color w:val="auto"/>
          <w:kern w:val="0"/>
          <w:sz w:val="24"/>
          <w:szCs w:val="24"/>
          <w:lang w:bidi="ar"/>
        </w:rPr>
        <w:t>工程竣工、验收合格后15日内支付至合同总价款(不含暂列金)的70%;</w:t>
      </w:r>
      <w:bookmarkEnd w:id="0"/>
      <w:bookmarkEnd w:id="1"/>
      <w:bookmarkStart w:id="2" w:name="OLE_LINK55"/>
      <w:bookmarkStart w:id="3" w:name="OLE_LINK54"/>
      <w:r>
        <w:rPr>
          <w:rFonts w:hint="eastAsia" w:ascii="宋体" w:hAnsi="宋体" w:cs="宋体"/>
          <w:color w:val="auto"/>
          <w:kern w:val="0"/>
          <w:sz w:val="24"/>
          <w:szCs w:val="24"/>
          <w:lang w:bidi="ar"/>
        </w:rPr>
        <w:t>待审计完成后，支付至最终审定总价的 97%;</w:t>
      </w:r>
      <w:bookmarkEnd w:id="2"/>
      <w:bookmarkEnd w:id="3"/>
      <w:r>
        <w:rPr>
          <w:rFonts w:hint="eastAsia" w:ascii="宋体" w:hAnsi="宋体" w:cs="宋体"/>
          <w:color w:val="auto"/>
          <w:kern w:val="0"/>
          <w:sz w:val="24"/>
          <w:szCs w:val="24"/>
          <w:lang w:bidi="ar"/>
        </w:rPr>
        <w:t xml:space="preserve">剩余的3%作为质保金，在质保期满后15日内无息退还。 </w:t>
      </w:r>
    </w:p>
    <w:p w14:paraId="76B9EDF6">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5-2-2 结算审核期限：工程竣</w:t>
      </w:r>
      <w:bookmarkStart w:id="4" w:name="_GoBack"/>
      <w:bookmarkEnd w:id="4"/>
      <w:r>
        <w:rPr>
          <w:rFonts w:hint="eastAsia" w:ascii="宋体" w:hAnsi="宋体" w:cs="宋体"/>
          <w:color w:val="000000"/>
          <w:kern w:val="0"/>
          <w:sz w:val="24"/>
          <w:szCs w:val="24"/>
          <w:lang w:bidi="ar"/>
        </w:rPr>
        <w:t xml:space="preserve">工验收合格后，供应商应在60天内将完整的结算资料(含单项工程竣工图、设计变更单、施工现场签证单、材料设备认质认价单等)报送监理单位(若有监理单位);监理单位应在30日内对所送结算资料的完整性、正确性、合法性进行审核。并对造价进行初审后报送采购人;采购人在收到结算资料后，按相关规定委托审计机构审核。 </w:t>
      </w:r>
    </w:p>
    <w:p w14:paraId="6925C7D2">
      <w:pPr>
        <w:widowControl/>
        <w:spacing w:line="360" w:lineRule="auto"/>
        <w:ind w:firstLine="480" w:firstLineChars="200"/>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5-2-3 付款结算依据:供应商在申请结算前，须向采购人提供进度报告、质量报告、现场验收报告、发票等证明资料，进行结算申请。采购人收到结算申请后，有权进行现场核查，确认工程质量、进度等;核查完成且无误后出具相应验收报告。</w:t>
      </w:r>
    </w:p>
    <w:p w14:paraId="22D2C854">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5-2-4采购人付款前，供应商应提供符合采购人要求的等额正规发票，供应商开票前应同采购人财务人员沟通确认，因供应商延迟提供发票或提供发票不符合采购人要求 致使采购人逾期付款的，由此产生的责任由供应商自行承担，且供应商无权要求采购人承担逾期付款的违约责任。 </w:t>
      </w:r>
    </w:p>
    <w:p w14:paraId="21BFC282">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第六条 双方权利和义务 </w:t>
      </w:r>
    </w:p>
    <w:p w14:paraId="6799175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 采购人 </w:t>
      </w:r>
    </w:p>
    <w:p w14:paraId="6F8B7420">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6-1-1 将施工区域及其他设施，列明范围或清单， 双方进行现场确认。 </w:t>
      </w:r>
    </w:p>
    <w:p w14:paraId="5CBFC6AE">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6-1-2 协助供应商解决施工所需用水、用电的接驳点及其他辅助设施，保证施工的需要。 </w:t>
      </w:r>
    </w:p>
    <w:p w14:paraId="2DC18CFC">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6-1-3 在供应商开展工作时，协调供应商与相关单位和人员的关系。 </w:t>
      </w:r>
    </w:p>
    <w:p w14:paraId="2CF66AAC">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6-1-4 按照本合同约定，检查、考核供应商的工作。 </w:t>
      </w:r>
    </w:p>
    <w:p w14:paraId="488BA381">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6-1-5 按合同约定向供应商支付费用。 </w:t>
      </w:r>
    </w:p>
    <w:p w14:paraId="0BD3A5DE">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 供应商 </w:t>
      </w:r>
    </w:p>
    <w:p w14:paraId="40CC5BB3">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6-2-1 根据本合同约定，在合同签订后 3 天内，制定本项目施工方案，报请采购人代表审核批准，作为实施依据。采购人收到供应商方案后，应于 3 天内予以确认或提出修改意见，逾期不确认也不提出修改意见的，视为同意。 </w:t>
      </w:r>
    </w:p>
    <w:p w14:paraId="3664E2B5">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6-2-2 建立完善的团队，制定岗位职责以及各岗位规范、操作规程等。配备技术管理人员和操作人员，并将岗位规范、操作规程、管理制度及工作人员的名单提交采购人审批备案。 </w:t>
      </w:r>
    </w:p>
    <w:p w14:paraId="26B5C939">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6-2-3 校园施工不能影响学校正常的教学及其他必要工作，施工区域必须采承围挡、隔离、警戒、警示等安全防护措施，保证施工安全。 </w:t>
      </w:r>
    </w:p>
    <w:p w14:paraId="18A0E997">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6-2-4 开展工作时，严格遵守有关主管部门对噪音污染、环境保护和安全生产等的管理规定，文明施工。建筑垃圾须堆放于采购人指定位置，除双方另有约定外，垃圾由供应商负责清理外运。 </w:t>
      </w:r>
    </w:p>
    <w:p w14:paraId="5C567F6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6-2-5 改造期间，做好养护范围内的管线和现有建筑物、构筑物的保护工作。 </w:t>
      </w:r>
    </w:p>
    <w:p w14:paraId="639705B1">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6-2-6 接受采购人的管理、监督、检查和考核，对采购人发出的整改通知，及时按要求进行整改。供应商整改达不到要求或无正当理由拒绝整改时，采购人可以另行委托他人予以整改，所发生的费用由供应商承担。 </w:t>
      </w:r>
    </w:p>
    <w:p w14:paraId="34095BC9">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6-2-7 负责项目中的一切安全责任，包括但不限于工伤事故及工作人员的作业或非作业性的人身安全第三方的人身损害等责任，签订《施工安全责任承诺书》（见附件一）。 </w:t>
      </w:r>
    </w:p>
    <w:p w14:paraId="5C3C5C10">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6-2-8 遇到应急、抢险及其他特殊情况时；供应商无条件服从采购人工作调整安排。 </w:t>
      </w:r>
    </w:p>
    <w:p w14:paraId="4F272F42">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6-2-9 供应商拟派遣项目负责人： </w:t>
      </w:r>
    </w:p>
    <w:p w14:paraId="7874ABD4">
      <w:pPr>
        <w:widowControl/>
        <w:spacing w:line="360" w:lineRule="auto"/>
        <w:ind w:firstLine="1200" w:firstLineChars="500"/>
        <w:jc w:val="left"/>
        <w:rPr>
          <w:rFonts w:ascii="宋体" w:hAnsi="宋体" w:cs="宋体"/>
          <w:sz w:val="24"/>
          <w:szCs w:val="24"/>
          <w:u w:val="single"/>
        </w:rPr>
      </w:pPr>
      <w:r>
        <w:rPr>
          <w:rFonts w:hint="eastAsia" w:ascii="宋体" w:hAnsi="宋体" w:cs="宋体"/>
          <w:color w:val="000000"/>
          <w:kern w:val="0"/>
          <w:sz w:val="24"/>
          <w:szCs w:val="24"/>
          <w:lang w:bidi="ar"/>
        </w:rPr>
        <w:t>姓名：</w:t>
      </w:r>
      <w:r>
        <w:rPr>
          <w:rFonts w:hint="eastAsia" w:ascii="宋体" w:hAnsi="宋体" w:cs="宋体"/>
          <w:color w:val="000000"/>
          <w:kern w:val="0"/>
          <w:sz w:val="24"/>
          <w:szCs w:val="24"/>
          <w:u w:val="single"/>
          <w:lang w:bidi="ar"/>
        </w:rPr>
        <w:t xml:space="preserve">             </w:t>
      </w:r>
    </w:p>
    <w:p w14:paraId="629D2CCD">
      <w:pPr>
        <w:widowControl/>
        <w:spacing w:line="360" w:lineRule="auto"/>
        <w:ind w:firstLine="1200" w:firstLineChars="500"/>
        <w:jc w:val="left"/>
        <w:rPr>
          <w:rFonts w:ascii="宋体" w:hAnsi="宋体" w:cs="宋体"/>
          <w:sz w:val="24"/>
          <w:szCs w:val="24"/>
        </w:rPr>
      </w:pPr>
      <w:r>
        <w:rPr>
          <w:rFonts w:hint="eastAsia" w:ascii="宋体" w:hAnsi="宋体" w:cs="宋体"/>
          <w:color w:val="000000"/>
          <w:kern w:val="0"/>
          <w:sz w:val="24"/>
          <w:szCs w:val="24"/>
          <w:lang w:bidi="ar"/>
        </w:rPr>
        <w:t>身份证号码：</w:t>
      </w:r>
      <w:r>
        <w:rPr>
          <w:rFonts w:hint="eastAsia" w:ascii="宋体" w:hAnsi="宋体" w:cs="宋体"/>
          <w:color w:val="000000"/>
          <w:kern w:val="0"/>
          <w:sz w:val="24"/>
          <w:szCs w:val="24"/>
          <w:u w:val="single"/>
          <w:lang w:bidi="ar"/>
        </w:rPr>
        <w:t xml:space="preserve">             </w:t>
      </w:r>
    </w:p>
    <w:p w14:paraId="4D3FFE8F">
      <w:pPr>
        <w:widowControl/>
        <w:spacing w:line="360" w:lineRule="auto"/>
        <w:ind w:firstLine="1200" w:firstLineChars="500"/>
        <w:jc w:val="left"/>
        <w:rPr>
          <w:rFonts w:ascii="宋体" w:hAnsi="宋体" w:cs="宋体"/>
          <w:sz w:val="24"/>
          <w:szCs w:val="24"/>
        </w:rPr>
      </w:pPr>
      <w:r>
        <w:rPr>
          <w:rFonts w:hint="eastAsia" w:ascii="宋体" w:hAnsi="宋体" w:cs="宋体"/>
          <w:color w:val="000000"/>
          <w:kern w:val="0"/>
          <w:sz w:val="24"/>
          <w:szCs w:val="24"/>
          <w:lang w:bidi="ar"/>
        </w:rPr>
        <w:t>联系方式：</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 xml:space="preserve"> </w:t>
      </w:r>
    </w:p>
    <w:p w14:paraId="2B10F454">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第七条 质量与验收 </w:t>
      </w:r>
    </w:p>
    <w:p w14:paraId="70D7EC56">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7-1 供应商应按照相关部门颁发的施工验收规范及本工程施工要求进行施工，并应接受采购人的检查、检验，供应商应为采购人检查提供便利条件，对不合格的部分按采购人的要求在指定期限内返工修改，供应商应承担由自身原因导致返工修改的全部费用，且工期不予顺延。 </w:t>
      </w:r>
    </w:p>
    <w:p w14:paraId="43884267">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7-2 以上检查、检验工作原则上不应影响施工正常进行，如影响施工正常进行的，经检查、检验不合格部分，影响正常施工的费用由供应商承担，工期不予顺延。 </w:t>
      </w:r>
    </w:p>
    <w:p w14:paraId="049142BF">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第八条 竣工与结算 </w:t>
      </w:r>
    </w:p>
    <w:p w14:paraId="4F04EB18">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8-1 竣工验收：工程具备竣工验收条件，供应商按工程竣工有关规定，向采购人提供完整竣工资料和竣工验收报告一式【 】份。采购人收到竣工验收报告后，组织验收，并在验收后给予书面批准或提出修改意见。供应商按采购人要求修改，并承担由自身原因造成修改的费用。竣工日期为采购人竣工验收报告的签字确认日期，需修改后才能达到竣工要求的，应为供应商修改后提请采购人验收合格，且经采购人验收合格并书面签字确认的日期。 </w:t>
      </w:r>
    </w:p>
    <w:p w14:paraId="796A93C1">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8-2 工程价款的结算： </w:t>
      </w:r>
    </w:p>
    <w:p w14:paraId="1BFEA3F5">
      <w:pPr>
        <w:widowControl/>
        <w:numPr>
          <w:ilvl w:val="0"/>
          <w:numId w:val="1"/>
        </w:numPr>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招标工程量清单偏差</w:t>
      </w:r>
    </w:p>
    <w:p w14:paraId="400E880B">
      <w:pPr>
        <w:widowControl/>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本次发包范围内的分部分项工程数量按实结算。当工程量偏差在±10%以内（含10%）按承包人工程量清单计价表中对应或相近的综合单价进行结算；若工程量偏差超过±10%时，超过部分的工程量按招标时陕西省计量规则、计价办法、市场调研材料价格编制综合单价，经发包人确认后调整；新增工程量清单项按招标时陕西省计量规则、计价办法、市场调研材料价格编制综合单价，经发包人确认后调整。</w:t>
      </w:r>
    </w:p>
    <w:p w14:paraId="5C5DCB32">
      <w:pPr>
        <w:widowControl/>
        <w:numPr>
          <w:ilvl w:val="0"/>
          <w:numId w:val="1"/>
        </w:numPr>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工程变更结算原则</w:t>
      </w:r>
    </w:p>
    <w:p w14:paraId="7184D545">
      <w:pPr>
        <w:widowControl/>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本工程施工过程中发生工程变更，只引起工程数量变更，当工程量与投标报价表中工程量偏差不超过±10%（含10%），按承包人投标报价表中对应或相近的综合单价进行结算；当工程量与投标报价表中工程量偏差超过±10%时，超过部分的工程量按实施时陕西省现行的计量规则、计价办法、市场材料价格编制综合单价，经发包人确认后调整。</w:t>
      </w:r>
    </w:p>
    <w:p w14:paraId="5DB7A73B">
      <w:pPr>
        <w:widowControl/>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本工程施工过程中发生工程变更，引起工程量清单项目变化，若承包人工程量清单计价表中有对应或相近的综合单价，按对应或相近的综合单价进行结算。若承包人工程量清单计价表中没有对应或相近的综合单价，按实施时陕西省现行的计量规则、计价办法、市场材料价格编制综合单价，经发包人确认后调整。</w:t>
      </w:r>
    </w:p>
    <w:p w14:paraId="41FF5C6C">
      <w:pPr>
        <w:widowControl/>
        <w:numPr>
          <w:ilvl w:val="0"/>
          <w:numId w:val="1"/>
        </w:numPr>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措施项目费</w:t>
      </w:r>
      <w:r>
        <w:rPr>
          <w:rFonts w:ascii="宋体" w:hAnsi="宋体" w:cs="宋体"/>
          <w:color w:val="auto"/>
          <w:kern w:val="0"/>
          <w:sz w:val="24"/>
          <w:szCs w:val="24"/>
          <w:u w:val="single"/>
          <w:lang w:bidi="ar"/>
        </w:rPr>
        <w:t>(</w:t>
      </w:r>
      <w:r>
        <w:rPr>
          <w:rFonts w:hint="eastAsia" w:ascii="宋体" w:hAnsi="宋体" w:cs="宋体"/>
          <w:color w:val="auto"/>
          <w:kern w:val="0"/>
          <w:sz w:val="24"/>
          <w:szCs w:val="24"/>
          <w:u w:val="single"/>
          <w:lang w:bidi="ar"/>
        </w:rPr>
        <w:t>不含安全文明施工措施费</w:t>
      </w:r>
      <w:r>
        <w:rPr>
          <w:rFonts w:ascii="宋体" w:hAnsi="宋体" w:cs="宋体"/>
          <w:color w:val="auto"/>
          <w:kern w:val="0"/>
          <w:sz w:val="24"/>
          <w:szCs w:val="24"/>
          <w:u w:val="single"/>
          <w:lang w:bidi="ar"/>
        </w:rPr>
        <w:t>)</w:t>
      </w:r>
      <w:r>
        <w:rPr>
          <w:rFonts w:hint="eastAsia" w:ascii="宋体" w:hAnsi="宋体" w:cs="宋体"/>
          <w:color w:val="auto"/>
          <w:kern w:val="0"/>
          <w:sz w:val="24"/>
          <w:szCs w:val="24"/>
          <w:u w:val="single"/>
          <w:lang w:bidi="ar"/>
        </w:rPr>
        <w:t>为包干费用，不再进行调整。但对于采用单价计算的措施项目费因工程量变更引起的，应按实际发生的措施项目费，参照结算办法第</w:t>
      </w:r>
      <w:r>
        <w:rPr>
          <w:rFonts w:ascii="宋体" w:hAnsi="宋体" w:cs="宋体"/>
          <w:color w:val="auto"/>
          <w:kern w:val="0"/>
          <w:sz w:val="24"/>
          <w:szCs w:val="24"/>
          <w:u w:val="single"/>
          <w:lang w:bidi="ar"/>
        </w:rPr>
        <w:t>2</w:t>
      </w:r>
      <w:r>
        <w:rPr>
          <w:rFonts w:hint="eastAsia" w:ascii="宋体" w:hAnsi="宋体" w:cs="宋体"/>
          <w:color w:val="auto"/>
          <w:kern w:val="0"/>
          <w:sz w:val="24"/>
          <w:szCs w:val="24"/>
          <w:u w:val="single"/>
          <w:lang w:bidi="ar"/>
        </w:rPr>
        <w:t>条进行调整。安全文明施工措施费为不可竞争费，按陕西省主管部门发布相关办法据实结算。</w:t>
      </w:r>
    </w:p>
    <w:p w14:paraId="72E3E833">
      <w:pPr>
        <w:widowControl/>
        <w:numPr>
          <w:ilvl w:val="0"/>
          <w:numId w:val="1"/>
        </w:numPr>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重新编制综合单价部分的工程造价，均按投标报价浮动率执行总价优惠（优惠基数不含因认质认价而产生的土建差价和安装主材费）。</w:t>
      </w:r>
    </w:p>
    <w:p w14:paraId="374D28E6">
      <w:pPr>
        <w:widowControl/>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投标报价浮动率=（1-中标价/招标最高限价）×100%，投标报价浮动率小于5%时按5%执行，投标报价浮动率大于5%时按实际投标报价浮动率执行。</w:t>
      </w:r>
    </w:p>
    <w:p w14:paraId="60A1D87B">
      <w:pPr>
        <w:widowControl/>
        <w:numPr>
          <w:ilvl w:val="0"/>
          <w:numId w:val="1"/>
        </w:numPr>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凡按暂定价进入报价的材料及设备，需甲方认质认价后按实调整，材料消耗量根据实际完成的工程量，按《陕西省房屋建筑与装饰工程消耗量定额（2025）》含量结算。暂定材料价与确认的认质认价材料价之间的差价，仅计取税金，不计取其他任何费用，且不参与合同总价的投标报价浮动率优惠。</w:t>
      </w:r>
    </w:p>
    <w:p w14:paraId="3F0D88FA">
      <w:pPr>
        <w:widowControl/>
        <w:numPr>
          <w:ilvl w:val="0"/>
          <w:numId w:val="1"/>
        </w:numPr>
        <w:spacing w:line="360" w:lineRule="auto"/>
        <w:ind w:firstLine="480" w:firstLineChars="200"/>
        <w:jc w:val="left"/>
        <w:rPr>
          <w:rFonts w:ascii="宋体" w:hAnsi="宋体" w:cs="宋体"/>
          <w:color w:val="auto"/>
          <w:kern w:val="0"/>
          <w:sz w:val="24"/>
          <w:szCs w:val="24"/>
          <w:u w:val="single"/>
          <w:lang w:bidi="ar"/>
        </w:rPr>
      </w:pPr>
      <w:r>
        <w:rPr>
          <w:rFonts w:hint="eastAsia" w:ascii="宋体" w:hAnsi="宋体" w:cs="宋体"/>
          <w:color w:val="auto"/>
          <w:kern w:val="0"/>
          <w:sz w:val="24"/>
          <w:szCs w:val="24"/>
          <w:u w:val="single"/>
          <w:lang w:bidi="ar"/>
        </w:rPr>
        <w:t>暂列金额以施工中实际发生金额予以结算，剩余部分甲方扣回。</w:t>
      </w:r>
    </w:p>
    <w:p w14:paraId="0C780F4B">
      <w:pPr>
        <w:widowControl/>
        <w:numPr>
          <w:ilvl w:val="0"/>
          <w:numId w:val="1"/>
        </w:numPr>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其他：</w:t>
      </w:r>
      <w:r>
        <w:rPr>
          <w:rFonts w:hint="eastAsia" w:ascii="宋体" w:hAnsi="宋体" w:cs="宋体"/>
          <w:b/>
          <w:color w:val="auto"/>
          <w:kern w:val="0"/>
          <w:sz w:val="24"/>
          <w:szCs w:val="24"/>
          <w:u w:val="single"/>
          <w:lang w:bidi="ar"/>
        </w:rPr>
        <w:t xml:space="preserve"> </w:t>
      </w:r>
      <w:r>
        <w:rPr>
          <w:rFonts w:hint="eastAsia" w:ascii="宋体" w:hAnsi="宋体" w:cs="宋体"/>
          <w:bCs/>
          <w:color w:val="auto"/>
          <w:kern w:val="0"/>
          <w:sz w:val="24"/>
          <w:szCs w:val="24"/>
          <w:u w:val="single"/>
          <w:lang w:bidi="ar"/>
        </w:rPr>
        <w:t xml:space="preserve">                                              </w:t>
      </w:r>
    </w:p>
    <w:p w14:paraId="549AD2A6">
      <w:pPr>
        <w:widowControl/>
        <w:spacing w:line="360" w:lineRule="auto"/>
        <w:ind w:firstLine="482" w:firstLineChars="200"/>
        <w:jc w:val="left"/>
        <w:rPr>
          <w:rFonts w:ascii="宋体" w:hAnsi="宋体" w:cs="宋体"/>
          <w:color w:val="auto"/>
          <w:sz w:val="24"/>
          <w:szCs w:val="24"/>
        </w:rPr>
      </w:pPr>
      <w:r>
        <w:rPr>
          <w:rFonts w:hint="eastAsia" w:ascii="宋体" w:hAnsi="宋体" w:cs="宋体"/>
          <w:b/>
          <w:bCs/>
          <w:color w:val="auto"/>
          <w:kern w:val="0"/>
          <w:sz w:val="24"/>
          <w:szCs w:val="24"/>
          <w:lang w:bidi="ar"/>
        </w:rPr>
        <w:t xml:space="preserve">第九条 违约责任 </w:t>
      </w:r>
    </w:p>
    <w:p w14:paraId="000FB75A">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9-1 供应商工程逾期交付，应当采取补救措施继续履行合同，且每逾期一日按合同总价款的 3‰向采购人支付违约金。逾期达 15 日，采购人有权解除合同，并要求供应商按照合同总价款的 10% 支付违约金。由此给采购人造成损失的，供应商还应当赔偿损失。 </w:t>
      </w:r>
    </w:p>
    <w:p w14:paraId="0DDDB2B8">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9-2 由于供应商原因，造成工期延误的，采购人有权拒绝支付合同价款，并就由此造成的损失向供应商追偿。 </w:t>
      </w:r>
    </w:p>
    <w:p w14:paraId="7E296F44">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9-3 若供应商施工质量达不到规范要求，或发生其它使合同无法履行的行为，采购人可书面单方通知供应商解除合同，供应商应支付合同暂定总价款 30%的违约金，该违约金不足以弥补采购人损失的，供应商应予以补足。 </w:t>
      </w:r>
    </w:p>
    <w:p w14:paraId="443317F0">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9-4 若供应商违反本合同将工程转包或分包的，采购人有权单方解除本合同，乙 方应支付合同暂定总价款 20% 的违约金，该违约金不足以弥补给采购人损失的，供应商应予以补足。 </w:t>
      </w:r>
    </w:p>
    <w:p w14:paraId="7C6424F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9-5 供应商应积极响应政府要求，及时支付民工工资。如出现严重拖欠民工工资情况，采购人可以直接从供应商的工程款中扣除相应金额支付给民工，并另按发放金额的 50% 从供应商的工程结算款中扣除作为违约金。 </w:t>
      </w:r>
    </w:p>
    <w:p w14:paraId="2F74AC13">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9-6 在供应商施工过程中，若发生重大伤亡事故(一人重伤以上情形)，采购人有权单方解除本合同，采购人不承担任何违约责任，不支付任何款项。由此而造成的经济损失概由供应商承担。采购人因此而遭受行政处罚的，供应商应按照合同暂定总价款的 20% 向采购人支付违约金，违约金不足以弥补损失的，供应商应补足。 </w:t>
      </w:r>
    </w:p>
    <w:p w14:paraId="126F8151">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9-7 采购人逾期付款的，应按照逾期未支付款项金额的同期银行贷款利率向供应商支付违约金。 </w:t>
      </w:r>
    </w:p>
    <w:p w14:paraId="4A8C7ADD">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9-8 本合同约定的违约情形独立存在，可叠加适用。供应商按照合同约定应当向采购人支付的违约金，供应商同意采购人从应付未付款中直接予以扣除。</w:t>
      </w:r>
    </w:p>
    <w:p w14:paraId="662CB3F6">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第十条 不可抗力 </w:t>
      </w:r>
    </w:p>
    <w:p w14:paraId="54874CCB">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任何一方由于不可抗力(如：战争、地震、台风、严重的洪水、火灾、瘟疫、 疫情等灾害)的原因不能履行合同时，应在不可抗力发生后 7 天内向对方通报不能履行或不能完全履行的理由，在取得不可抗力发生地政府相关部门证明以后，双方协商一致，同意延期履行、部分履行或者不履行合同的，根据情况可部分或全部免于承担违约责任，未履行通知义务的不免除违约责任。 </w:t>
      </w:r>
    </w:p>
    <w:p w14:paraId="13BB2474">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第十一条 争议解决 </w:t>
      </w:r>
    </w:p>
    <w:p w14:paraId="7CFDDE56">
      <w:pPr>
        <w:widowControl/>
        <w:spacing w:line="360" w:lineRule="auto"/>
        <w:ind w:firstLine="720" w:firstLineChars="300"/>
        <w:jc w:val="left"/>
        <w:rPr>
          <w:rFonts w:ascii="宋体" w:hAnsi="宋体" w:cs="宋体"/>
          <w:sz w:val="24"/>
          <w:szCs w:val="24"/>
        </w:rPr>
      </w:pPr>
      <w:r>
        <w:rPr>
          <w:rFonts w:hint="eastAsia" w:ascii="宋体" w:hAnsi="宋体" w:cs="宋体"/>
          <w:color w:val="000000"/>
          <w:kern w:val="0"/>
          <w:sz w:val="24"/>
          <w:szCs w:val="24"/>
          <w:lang w:bidi="ar"/>
        </w:rPr>
        <w:t xml:space="preserve">本合同如发生争议，由双方协商解决，协商不成的，双方均可向项目所在地人民法院提起诉讼。 </w:t>
      </w:r>
    </w:p>
    <w:p w14:paraId="4D455F11">
      <w:pPr>
        <w:widowControl/>
        <w:spacing w:line="360" w:lineRule="auto"/>
        <w:ind w:firstLine="482" w:firstLineChars="200"/>
        <w:jc w:val="left"/>
        <w:rPr>
          <w:rFonts w:ascii="宋体" w:hAnsi="宋体" w:cs="宋体"/>
          <w:sz w:val="24"/>
          <w:szCs w:val="24"/>
        </w:rPr>
      </w:pPr>
      <w:r>
        <w:rPr>
          <w:rFonts w:hint="eastAsia" w:ascii="宋体" w:hAnsi="宋体" w:cs="宋体"/>
          <w:b/>
          <w:bCs/>
          <w:color w:val="000000"/>
          <w:kern w:val="0"/>
          <w:sz w:val="24"/>
          <w:szCs w:val="24"/>
          <w:lang w:bidi="ar"/>
        </w:rPr>
        <w:t xml:space="preserve">第十二条 其他 </w:t>
      </w:r>
    </w:p>
    <w:p w14:paraId="6276C239">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12-1 本合同一式</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份，具有同等法律效力，双方各执</w:t>
      </w:r>
      <w:r>
        <w:rPr>
          <w:rFonts w:hint="eastAsia" w:ascii="宋体" w:hAnsi="宋体" w:cs="宋体"/>
          <w:color w:val="000000"/>
          <w:kern w:val="0"/>
          <w:sz w:val="24"/>
          <w:szCs w:val="24"/>
          <w:u w:val="single"/>
          <w:lang w:bidi="ar"/>
        </w:rPr>
        <w:t xml:space="preserve">   </w:t>
      </w:r>
      <w:r>
        <w:rPr>
          <w:rFonts w:hint="eastAsia" w:ascii="宋体" w:hAnsi="宋体" w:cs="宋体"/>
          <w:color w:val="000000"/>
          <w:kern w:val="0"/>
          <w:sz w:val="24"/>
          <w:szCs w:val="24"/>
          <w:lang w:bidi="ar"/>
        </w:rPr>
        <w:t xml:space="preserve">份。各方签字盖章后生效，合同执行完毕自动失效。 </w:t>
      </w:r>
    </w:p>
    <w:p w14:paraId="737F282D">
      <w:pPr>
        <w:widowControl/>
        <w:spacing w:line="360" w:lineRule="auto"/>
        <w:ind w:firstLine="480" w:firstLineChars="200"/>
        <w:jc w:val="left"/>
        <w:rPr>
          <w:rFonts w:ascii="宋体" w:hAnsi="宋体" w:cs="宋体"/>
          <w:sz w:val="24"/>
          <w:szCs w:val="24"/>
        </w:rPr>
      </w:pPr>
      <w:r>
        <w:rPr>
          <w:rFonts w:hint="eastAsia" w:ascii="宋体" w:hAnsi="宋体" w:cs="宋体"/>
          <w:color w:val="000000"/>
          <w:kern w:val="0"/>
          <w:sz w:val="24"/>
          <w:szCs w:val="24"/>
          <w:lang w:bidi="ar"/>
        </w:rPr>
        <w:t xml:space="preserve">12-2 本合同条款有未尽事宜，双方可根据具体情况结合有关规定另行签订补充协议，补充协议与本合同具有同等法律效力。 </w:t>
      </w:r>
    </w:p>
    <w:p w14:paraId="618FF62C">
      <w:pPr>
        <w:widowControl/>
        <w:spacing w:line="360" w:lineRule="auto"/>
        <w:ind w:firstLine="480" w:firstLineChars="200"/>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12-3 本合同经双方法定代表人 (负责人) 或委托代理人签字并加盖公章，或加盖公章后生效。</w:t>
      </w:r>
    </w:p>
    <w:p w14:paraId="3B745BF3">
      <w:pPr>
        <w:widowControl/>
        <w:kinsoku w:val="0"/>
        <w:autoSpaceDE w:val="0"/>
        <w:autoSpaceDN w:val="0"/>
        <w:adjustRightInd w:val="0"/>
        <w:snapToGrid w:val="0"/>
        <w:spacing w:line="408" w:lineRule="auto"/>
        <w:ind w:firstLine="480" w:firstLineChars="200"/>
        <w:textAlignment w:val="baseline"/>
        <w:rPr>
          <w:rFonts w:ascii="宋体" w:hAnsi="宋体" w:cs="宋体"/>
          <w:spacing w:val="12"/>
          <w:sz w:val="24"/>
          <w:szCs w:val="24"/>
        </w:rPr>
      </w:pPr>
      <w:r>
        <w:rPr>
          <w:rFonts w:hint="eastAsia" w:ascii="宋体" w:hAnsi="宋体" w:cs="宋体"/>
          <w:color w:val="000000"/>
          <w:kern w:val="0"/>
          <w:sz w:val="24"/>
          <w:szCs w:val="24"/>
          <w:lang w:bidi="ar"/>
        </w:rPr>
        <w:t xml:space="preserve">12-4 </w:t>
      </w:r>
      <w:r>
        <w:rPr>
          <w:rFonts w:hint="eastAsia" w:ascii="宋体" w:hAnsi="宋体" w:cs="宋体"/>
          <w:spacing w:val="12"/>
          <w:sz w:val="24"/>
          <w:szCs w:val="24"/>
        </w:rPr>
        <w:t>合同订立时间：</w:t>
      </w:r>
      <w:r>
        <w:rPr>
          <w:rFonts w:hint="eastAsia" w:ascii="宋体" w:hAnsi="宋体" w:cs="宋体"/>
          <w:spacing w:val="12"/>
          <w:sz w:val="24"/>
          <w:szCs w:val="24"/>
          <w:u w:val="single"/>
        </w:rPr>
        <w:t xml:space="preserve">        </w:t>
      </w:r>
      <w:r>
        <w:rPr>
          <w:rFonts w:hint="eastAsia" w:ascii="宋体" w:hAnsi="宋体" w:cs="宋体"/>
          <w:spacing w:val="12"/>
          <w:sz w:val="24"/>
          <w:szCs w:val="24"/>
        </w:rPr>
        <w:t>年</w:t>
      </w:r>
      <w:r>
        <w:rPr>
          <w:rFonts w:hint="eastAsia" w:ascii="宋体" w:hAnsi="宋体" w:cs="宋体"/>
          <w:spacing w:val="12"/>
          <w:sz w:val="24"/>
          <w:szCs w:val="24"/>
          <w:u w:val="single"/>
        </w:rPr>
        <w:t xml:space="preserve">        </w:t>
      </w:r>
      <w:r>
        <w:rPr>
          <w:rFonts w:hint="eastAsia" w:ascii="宋体" w:hAnsi="宋体" w:cs="宋体"/>
          <w:spacing w:val="12"/>
          <w:sz w:val="24"/>
          <w:szCs w:val="24"/>
        </w:rPr>
        <w:t>月</w:t>
      </w:r>
      <w:r>
        <w:rPr>
          <w:rFonts w:hint="eastAsia" w:ascii="宋体" w:hAnsi="宋体" w:cs="宋体"/>
          <w:spacing w:val="12"/>
          <w:sz w:val="24"/>
          <w:szCs w:val="24"/>
          <w:u w:val="single"/>
        </w:rPr>
        <w:t xml:space="preserve">        </w:t>
      </w:r>
      <w:r>
        <w:rPr>
          <w:rFonts w:hint="eastAsia" w:ascii="宋体" w:hAnsi="宋体" w:cs="宋体"/>
          <w:spacing w:val="12"/>
          <w:sz w:val="24"/>
          <w:szCs w:val="24"/>
        </w:rPr>
        <w:t>日</w:t>
      </w:r>
    </w:p>
    <w:p w14:paraId="6DE6EAB8">
      <w:pPr>
        <w:widowControl/>
        <w:kinsoku w:val="0"/>
        <w:autoSpaceDE w:val="0"/>
        <w:autoSpaceDN w:val="0"/>
        <w:adjustRightInd w:val="0"/>
        <w:snapToGrid w:val="0"/>
        <w:spacing w:line="408" w:lineRule="auto"/>
        <w:ind w:firstLine="528" w:firstLineChars="200"/>
        <w:textAlignment w:val="baseline"/>
        <w:rPr>
          <w:rFonts w:ascii="宋体" w:hAnsi="宋体" w:cs="宋体"/>
          <w:spacing w:val="12"/>
          <w:sz w:val="24"/>
          <w:szCs w:val="24"/>
          <w:u w:val="single"/>
        </w:rPr>
      </w:pPr>
      <w:r>
        <w:rPr>
          <w:rFonts w:hint="eastAsia" w:ascii="宋体" w:hAnsi="宋体" w:cs="宋体"/>
          <w:spacing w:val="12"/>
          <w:sz w:val="24"/>
          <w:szCs w:val="24"/>
        </w:rPr>
        <w:t>12-5合同订立地点：</w:t>
      </w:r>
      <w:r>
        <w:rPr>
          <w:rFonts w:hint="eastAsia" w:ascii="宋体" w:hAnsi="宋体" w:cs="宋体"/>
          <w:spacing w:val="12"/>
          <w:sz w:val="24"/>
          <w:szCs w:val="24"/>
          <w:u w:val="single"/>
        </w:rPr>
        <w:t xml:space="preserve">                                </w:t>
      </w:r>
    </w:p>
    <w:p w14:paraId="77DF2046">
      <w:pPr>
        <w:widowControl/>
        <w:spacing w:line="360" w:lineRule="auto"/>
        <w:jc w:val="left"/>
        <w:rPr>
          <w:rFonts w:ascii="宋体" w:hAnsi="宋体" w:cs="宋体"/>
          <w:sz w:val="24"/>
          <w:szCs w:val="24"/>
        </w:rPr>
      </w:pPr>
    </w:p>
    <w:p w14:paraId="5C04FA93">
      <w:pPr>
        <w:widowControl/>
        <w:spacing w:line="360" w:lineRule="auto"/>
        <w:jc w:val="left"/>
        <w:rPr>
          <w:rFonts w:ascii="宋体" w:hAnsi="宋体" w:cs="宋体"/>
          <w:sz w:val="24"/>
          <w:szCs w:val="24"/>
        </w:rPr>
      </w:pPr>
      <w:r>
        <w:rPr>
          <w:rFonts w:hint="eastAsia" w:ascii="宋体" w:hAnsi="宋体" w:cs="宋体"/>
          <w:sz w:val="24"/>
          <w:szCs w:val="24"/>
        </w:rPr>
        <w:t>附件</w:t>
      </w:r>
    </w:p>
    <w:p w14:paraId="2EE8FF39">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附件1：供应商廉洁自律承诺书 </w:t>
      </w:r>
    </w:p>
    <w:p w14:paraId="23B21889">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附件2：主要施工管理人员表 </w:t>
      </w:r>
    </w:p>
    <w:p w14:paraId="088CA381">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附件3：工程质量保修书</w:t>
      </w:r>
    </w:p>
    <w:p w14:paraId="16271137">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附件4：履约担保格式</w:t>
      </w:r>
    </w:p>
    <w:p w14:paraId="2032DB5A">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附件5：安全施工协议书</w:t>
      </w:r>
    </w:p>
    <w:p w14:paraId="4E4FAAB5">
      <w:pPr>
        <w:spacing w:line="319" w:lineRule="auto"/>
        <w:rPr>
          <w:rFonts w:ascii="宋体" w:hAnsi="宋体" w:cs="宋体"/>
          <w:spacing w:val="12"/>
          <w:sz w:val="24"/>
          <w:szCs w:val="24"/>
        </w:rPr>
      </w:pPr>
    </w:p>
    <w:p w14:paraId="1E1AF078">
      <w:pPr>
        <w:widowControl/>
        <w:kinsoku w:val="0"/>
        <w:autoSpaceDE w:val="0"/>
        <w:autoSpaceDN w:val="0"/>
        <w:adjustRightInd w:val="0"/>
        <w:snapToGrid w:val="0"/>
        <w:spacing w:line="360" w:lineRule="auto"/>
        <w:textAlignment w:val="baseline"/>
        <w:rPr>
          <w:rFonts w:ascii="宋体" w:hAnsi="宋体" w:cs="宋体"/>
          <w:spacing w:val="12"/>
          <w:sz w:val="24"/>
          <w:szCs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2870"/>
        <w:gridCol w:w="1799"/>
        <w:gridCol w:w="2822"/>
      </w:tblGrid>
      <w:tr w14:paraId="10769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797" w:type="dxa"/>
            <w:tcBorders>
              <w:top w:val="nil"/>
              <w:left w:val="nil"/>
              <w:bottom w:val="nil"/>
              <w:right w:val="nil"/>
              <w:tl2br w:val="nil"/>
            </w:tcBorders>
            <w:shd w:val="clear" w:color="auto" w:fill="FFFFFF"/>
            <w:vAlign w:val="center"/>
          </w:tcPr>
          <w:p w14:paraId="55C186E7">
            <w:pPr>
              <w:pStyle w:val="11"/>
              <w:widowControl/>
              <w:kinsoku w:val="0"/>
              <w:autoSpaceDE w:val="0"/>
              <w:autoSpaceDN w:val="0"/>
              <w:adjustRightInd w:val="0"/>
              <w:snapToGrid w:val="0"/>
              <w:textAlignment w:val="baseline"/>
              <w:rPr>
                <w:lang w:eastAsia="zh-CN"/>
              </w:rPr>
            </w:pPr>
            <w:r>
              <w:rPr>
                <w:spacing w:val="-2"/>
                <w:position w:val="17"/>
              </w:rPr>
              <w:t>采购人(</w:t>
            </w:r>
            <w:r>
              <w:rPr>
                <w:rFonts w:hint="eastAsia"/>
                <w:spacing w:val="-2"/>
                <w:position w:val="17"/>
                <w:lang w:eastAsia="zh-CN"/>
              </w:rPr>
              <w:t>采购人</w:t>
            </w:r>
            <w:r>
              <w:rPr>
                <w:spacing w:val="-2"/>
                <w:position w:val="17"/>
              </w:rPr>
              <w:t>)</w:t>
            </w:r>
            <w:r>
              <w:rPr>
                <w:rFonts w:hint="eastAsia"/>
                <w:spacing w:val="-2"/>
                <w:position w:val="17"/>
                <w:lang w:eastAsia="zh-CN"/>
              </w:rPr>
              <w:t>：</w:t>
            </w:r>
          </w:p>
        </w:tc>
        <w:tc>
          <w:tcPr>
            <w:tcW w:w="2870" w:type="dxa"/>
            <w:tcBorders>
              <w:top w:val="nil"/>
              <w:left w:val="nil"/>
              <w:bottom w:val="nil"/>
              <w:right w:val="nil"/>
            </w:tcBorders>
            <w:shd w:val="clear" w:color="auto" w:fill="FFFFFF"/>
            <w:vAlign w:val="center"/>
          </w:tcPr>
          <w:p w14:paraId="7491D5A5">
            <w:pPr>
              <w:pStyle w:val="2"/>
              <w:rPr>
                <w:rFonts w:cs="宋体"/>
                <w:szCs w:val="24"/>
              </w:rPr>
            </w:pPr>
            <w:r>
              <w:rPr>
                <w:rFonts w:hint="eastAsia" w:cs="宋体"/>
                <w:szCs w:val="24"/>
                <w:u w:val="single"/>
              </w:rPr>
              <w:t xml:space="preserve">              </w:t>
            </w:r>
            <w:r>
              <w:rPr>
                <w:rFonts w:hint="eastAsia"/>
                <w:spacing w:val="-6"/>
                <w:szCs w:val="24"/>
              </w:rPr>
              <w:t>（</w:t>
            </w:r>
            <w:r>
              <w:rPr>
                <w:spacing w:val="-6"/>
                <w:szCs w:val="24"/>
              </w:rPr>
              <w:t>公章）</w:t>
            </w:r>
          </w:p>
        </w:tc>
        <w:tc>
          <w:tcPr>
            <w:tcW w:w="1799" w:type="dxa"/>
            <w:tcBorders>
              <w:top w:val="nil"/>
              <w:left w:val="nil"/>
              <w:bottom w:val="nil"/>
              <w:right w:val="nil"/>
            </w:tcBorders>
            <w:shd w:val="clear" w:color="auto" w:fill="FFFFFF"/>
            <w:vAlign w:val="center"/>
          </w:tcPr>
          <w:p w14:paraId="3B4D5AC2">
            <w:pPr>
              <w:pStyle w:val="11"/>
              <w:rPr>
                <w:lang w:eastAsia="zh-CN"/>
              </w:rPr>
            </w:pPr>
            <w:r>
              <w:rPr>
                <w:spacing w:val="-2"/>
                <w:position w:val="17"/>
              </w:rPr>
              <w:t>供应商(</w:t>
            </w:r>
            <w:r>
              <w:rPr>
                <w:rFonts w:hint="eastAsia"/>
                <w:spacing w:val="-2"/>
                <w:position w:val="17"/>
                <w:lang w:eastAsia="zh-CN"/>
              </w:rPr>
              <w:t>供应商</w:t>
            </w:r>
            <w:r>
              <w:rPr>
                <w:spacing w:val="-2"/>
                <w:position w:val="17"/>
              </w:rPr>
              <w:t>)：</w:t>
            </w:r>
          </w:p>
        </w:tc>
        <w:tc>
          <w:tcPr>
            <w:tcW w:w="2822" w:type="dxa"/>
            <w:tcBorders>
              <w:top w:val="nil"/>
              <w:left w:val="nil"/>
              <w:bottom w:val="nil"/>
              <w:right w:val="nil"/>
            </w:tcBorders>
            <w:shd w:val="clear" w:color="auto" w:fill="FFFFFF"/>
            <w:vAlign w:val="center"/>
          </w:tcPr>
          <w:p w14:paraId="509B3760">
            <w:pPr>
              <w:pStyle w:val="2"/>
              <w:rPr>
                <w:rFonts w:cs="宋体"/>
                <w:szCs w:val="24"/>
              </w:rPr>
            </w:pPr>
            <w:r>
              <w:rPr>
                <w:rFonts w:hint="eastAsia" w:cs="宋体"/>
                <w:szCs w:val="24"/>
                <w:u w:val="single"/>
              </w:rPr>
              <w:t xml:space="preserve">              </w:t>
            </w:r>
            <w:r>
              <w:rPr>
                <w:rFonts w:hint="eastAsia"/>
                <w:spacing w:val="-6"/>
                <w:szCs w:val="24"/>
              </w:rPr>
              <w:t>（</w:t>
            </w:r>
            <w:r>
              <w:rPr>
                <w:spacing w:val="-6"/>
                <w:szCs w:val="24"/>
              </w:rPr>
              <w:t>公章）</w:t>
            </w:r>
          </w:p>
        </w:tc>
      </w:tr>
      <w:tr w14:paraId="659D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7" w:type="dxa"/>
            <w:tcBorders>
              <w:top w:val="nil"/>
              <w:left w:val="nil"/>
              <w:bottom w:val="nil"/>
              <w:right w:val="nil"/>
            </w:tcBorders>
            <w:shd w:val="clear" w:color="auto" w:fill="FFFFFF"/>
            <w:vAlign w:val="center"/>
          </w:tcPr>
          <w:p w14:paraId="6EC2ABA8">
            <w:pPr>
              <w:pStyle w:val="2"/>
              <w:widowControl/>
              <w:kinsoku w:val="0"/>
              <w:autoSpaceDE w:val="0"/>
              <w:autoSpaceDN w:val="0"/>
              <w:adjustRightInd w:val="0"/>
              <w:snapToGrid w:val="0"/>
              <w:textAlignment w:val="baseline"/>
              <w:rPr>
                <w:rFonts w:cs="宋体"/>
                <w:szCs w:val="24"/>
              </w:rPr>
            </w:pPr>
            <w:r>
              <w:rPr>
                <w:rFonts w:hint="eastAsia" w:cs="宋体"/>
                <w:szCs w:val="24"/>
              </w:rPr>
              <w:t>法定代表人或</w:t>
            </w:r>
          </w:p>
        </w:tc>
        <w:tc>
          <w:tcPr>
            <w:tcW w:w="2870" w:type="dxa"/>
            <w:tcBorders>
              <w:top w:val="nil"/>
              <w:left w:val="nil"/>
              <w:bottom w:val="nil"/>
              <w:right w:val="nil"/>
            </w:tcBorders>
            <w:shd w:val="clear" w:color="auto" w:fill="FFFFFF"/>
            <w:vAlign w:val="center"/>
          </w:tcPr>
          <w:p w14:paraId="52337463">
            <w:pPr>
              <w:pStyle w:val="2"/>
              <w:widowControl/>
              <w:kinsoku w:val="0"/>
              <w:autoSpaceDE w:val="0"/>
              <w:autoSpaceDN w:val="0"/>
              <w:adjustRightInd w:val="0"/>
              <w:snapToGrid w:val="0"/>
              <w:jc w:val="right"/>
              <w:textAlignment w:val="baseline"/>
              <w:rPr>
                <w:rFonts w:cs="宋体"/>
                <w:szCs w:val="24"/>
              </w:rPr>
            </w:pPr>
          </w:p>
        </w:tc>
        <w:tc>
          <w:tcPr>
            <w:tcW w:w="1799" w:type="dxa"/>
            <w:tcBorders>
              <w:top w:val="nil"/>
              <w:left w:val="nil"/>
              <w:bottom w:val="nil"/>
              <w:right w:val="nil"/>
            </w:tcBorders>
            <w:shd w:val="clear" w:color="auto" w:fill="FFFFFF"/>
            <w:vAlign w:val="center"/>
          </w:tcPr>
          <w:p w14:paraId="5CFF767C">
            <w:pPr>
              <w:pStyle w:val="2"/>
              <w:widowControl/>
              <w:kinsoku w:val="0"/>
              <w:autoSpaceDE w:val="0"/>
              <w:autoSpaceDN w:val="0"/>
              <w:adjustRightInd w:val="0"/>
              <w:snapToGrid w:val="0"/>
              <w:textAlignment w:val="baseline"/>
              <w:rPr>
                <w:rFonts w:cs="宋体"/>
                <w:szCs w:val="24"/>
              </w:rPr>
            </w:pPr>
            <w:r>
              <w:rPr>
                <w:rFonts w:hint="eastAsia" w:cs="宋体"/>
                <w:szCs w:val="24"/>
              </w:rPr>
              <w:t>法定代表人或</w:t>
            </w:r>
          </w:p>
        </w:tc>
        <w:tc>
          <w:tcPr>
            <w:tcW w:w="2822" w:type="dxa"/>
            <w:tcBorders>
              <w:top w:val="nil"/>
              <w:left w:val="nil"/>
              <w:bottom w:val="nil"/>
              <w:right w:val="nil"/>
            </w:tcBorders>
            <w:shd w:val="clear" w:color="auto" w:fill="FFFFFF"/>
            <w:vAlign w:val="center"/>
          </w:tcPr>
          <w:p w14:paraId="35DAF2FB">
            <w:pPr>
              <w:pStyle w:val="2"/>
              <w:widowControl/>
              <w:kinsoku w:val="0"/>
              <w:autoSpaceDE w:val="0"/>
              <w:autoSpaceDN w:val="0"/>
              <w:adjustRightInd w:val="0"/>
              <w:snapToGrid w:val="0"/>
              <w:jc w:val="right"/>
              <w:textAlignment w:val="baseline"/>
              <w:rPr>
                <w:rFonts w:cs="宋体"/>
                <w:szCs w:val="24"/>
              </w:rPr>
            </w:pPr>
          </w:p>
        </w:tc>
      </w:tr>
      <w:tr w14:paraId="29B3E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797" w:type="dxa"/>
            <w:tcBorders>
              <w:top w:val="nil"/>
              <w:left w:val="nil"/>
              <w:bottom w:val="nil"/>
              <w:right w:val="nil"/>
            </w:tcBorders>
            <w:shd w:val="clear" w:color="auto" w:fill="FFFFFF"/>
            <w:vAlign w:val="center"/>
          </w:tcPr>
          <w:p w14:paraId="4403C970">
            <w:pPr>
              <w:pStyle w:val="2"/>
              <w:widowControl/>
              <w:kinsoku w:val="0"/>
              <w:autoSpaceDE w:val="0"/>
              <w:autoSpaceDN w:val="0"/>
              <w:adjustRightInd w:val="0"/>
              <w:snapToGrid w:val="0"/>
              <w:textAlignment w:val="baseline"/>
              <w:rPr>
                <w:rFonts w:cs="宋体"/>
                <w:szCs w:val="24"/>
              </w:rPr>
            </w:pPr>
            <w:r>
              <w:rPr>
                <w:rFonts w:hint="eastAsia" w:cs="宋体"/>
                <w:szCs w:val="24"/>
              </w:rPr>
              <w:t>委托代理人：</w:t>
            </w:r>
          </w:p>
        </w:tc>
        <w:tc>
          <w:tcPr>
            <w:tcW w:w="2870" w:type="dxa"/>
            <w:tcBorders>
              <w:top w:val="nil"/>
              <w:left w:val="nil"/>
              <w:bottom w:val="nil"/>
              <w:right w:val="nil"/>
            </w:tcBorders>
            <w:shd w:val="clear" w:color="auto" w:fill="FFFFFF"/>
            <w:vAlign w:val="center"/>
          </w:tcPr>
          <w:p w14:paraId="60DC423F">
            <w:pPr>
              <w:pStyle w:val="2"/>
              <w:widowControl/>
              <w:kinsoku w:val="0"/>
              <w:autoSpaceDE w:val="0"/>
              <w:autoSpaceDN w:val="0"/>
              <w:adjustRightInd w:val="0"/>
              <w:snapToGrid w:val="0"/>
              <w:jc w:val="right"/>
              <w:textAlignment w:val="baseline"/>
              <w:rPr>
                <w:rFonts w:cs="宋体"/>
                <w:szCs w:val="24"/>
              </w:rPr>
            </w:pPr>
            <w:r>
              <w:rPr>
                <w:rFonts w:hint="eastAsia" w:cs="宋体"/>
                <w:szCs w:val="24"/>
                <w:u w:val="single"/>
              </w:rPr>
              <w:t xml:space="preserve">          </w:t>
            </w:r>
            <w:r>
              <w:rPr>
                <w:spacing w:val="-13"/>
                <w:szCs w:val="24"/>
              </w:rPr>
              <w:t>（签字或盖章）</w:t>
            </w:r>
          </w:p>
        </w:tc>
        <w:tc>
          <w:tcPr>
            <w:tcW w:w="1799" w:type="dxa"/>
            <w:tcBorders>
              <w:top w:val="nil"/>
              <w:left w:val="nil"/>
              <w:bottom w:val="nil"/>
              <w:right w:val="nil"/>
            </w:tcBorders>
            <w:shd w:val="clear" w:color="auto" w:fill="FFFFFF"/>
            <w:vAlign w:val="center"/>
          </w:tcPr>
          <w:p w14:paraId="23113E30">
            <w:pPr>
              <w:pStyle w:val="2"/>
              <w:widowControl/>
              <w:kinsoku w:val="0"/>
              <w:autoSpaceDE w:val="0"/>
              <w:autoSpaceDN w:val="0"/>
              <w:adjustRightInd w:val="0"/>
              <w:snapToGrid w:val="0"/>
              <w:textAlignment w:val="baseline"/>
              <w:rPr>
                <w:rFonts w:cs="宋体"/>
                <w:szCs w:val="24"/>
              </w:rPr>
            </w:pPr>
            <w:r>
              <w:rPr>
                <w:rFonts w:hint="eastAsia" w:cs="宋体"/>
                <w:szCs w:val="24"/>
              </w:rPr>
              <w:t>委托代理人：</w:t>
            </w:r>
          </w:p>
        </w:tc>
        <w:tc>
          <w:tcPr>
            <w:tcW w:w="2822" w:type="dxa"/>
            <w:tcBorders>
              <w:top w:val="nil"/>
              <w:left w:val="nil"/>
              <w:bottom w:val="nil"/>
              <w:right w:val="nil"/>
            </w:tcBorders>
            <w:shd w:val="clear" w:color="auto" w:fill="FFFFFF"/>
            <w:vAlign w:val="center"/>
          </w:tcPr>
          <w:p w14:paraId="39929D56">
            <w:pPr>
              <w:pStyle w:val="2"/>
              <w:widowControl/>
              <w:kinsoku w:val="0"/>
              <w:autoSpaceDE w:val="0"/>
              <w:autoSpaceDN w:val="0"/>
              <w:adjustRightInd w:val="0"/>
              <w:snapToGrid w:val="0"/>
              <w:jc w:val="right"/>
              <w:textAlignment w:val="baseline"/>
              <w:rPr>
                <w:rFonts w:cs="宋体"/>
                <w:szCs w:val="24"/>
              </w:rPr>
            </w:pPr>
            <w:r>
              <w:rPr>
                <w:rFonts w:hint="eastAsia" w:cs="宋体"/>
                <w:szCs w:val="24"/>
                <w:u w:val="single"/>
              </w:rPr>
              <w:t xml:space="preserve">          </w:t>
            </w:r>
            <w:r>
              <w:rPr>
                <w:spacing w:val="-13"/>
                <w:szCs w:val="24"/>
              </w:rPr>
              <w:t>（签字或盖章）</w:t>
            </w:r>
          </w:p>
        </w:tc>
      </w:tr>
      <w:tr w14:paraId="03B3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797" w:type="dxa"/>
            <w:tcBorders>
              <w:top w:val="nil"/>
              <w:left w:val="nil"/>
              <w:bottom w:val="nil"/>
              <w:right w:val="nil"/>
            </w:tcBorders>
            <w:shd w:val="clear" w:color="auto" w:fill="FFFFFF"/>
            <w:vAlign w:val="center"/>
          </w:tcPr>
          <w:p w14:paraId="4D11DA1B">
            <w:pPr>
              <w:pStyle w:val="2"/>
              <w:widowControl/>
              <w:kinsoku w:val="0"/>
              <w:autoSpaceDE w:val="0"/>
              <w:autoSpaceDN w:val="0"/>
              <w:adjustRightInd w:val="0"/>
              <w:snapToGrid w:val="0"/>
              <w:textAlignment w:val="baseline"/>
              <w:rPr>
                <w:rFonts w:cs="宋体"/>
                <w:szCs w:val="24"/>
              </w:rPr>
            </w:pPr>
            <w:r>
              <w:rPr>
                <w:rFonts w:hint="eastAsia" w:cs="宋体"/>
                <w:szCs w:val="24"/>
              </w:rPr>
              <w:t>开 户 行：</w:t>
            </w:r>
          </w:p>
        </w:tc>
        <w:tc>
          <w:tcPr>
            <w:tcW w:w="2870" w:type="dxa"/>
            <w:tcBorders>
              <w:top w:val="nil"/>
              <w:left w:val="nil"/>
              <w:bottom w:val="nil"/>
              <w:right w:val="nil"/>
            </w:tcBorders>
            <w:shd w:val="clear" w:color="auto" w:fill="FFFFFF"/>
            <w:vAlign w:val="center"/>
          </w:tcPr>
          <w:p w14:paraId="116B1025">
            <w:pPr>
              <w:pStyle w:val="2"/>
              <w:rPr>
                <w:rFonts w:cs="宋体"/>
                <w:szCs w:val="24"/>
              </w:rPr>
            </w:pPr>
            <w:r>
              <w:rPr>
                <w:rFonts w:hint="eastAsia" w:cs="宋体"/>
                <w:szCs w:val="24"/>
                <w:u w:val="single"/>
              </w:rPr>
              <w:t xml:space="preserve">                      </w:t>
            </w:r>
          </w:p>
        </w:tc>
        <w:tc>
          <w:tcPr>
            <w:tcW w:w="1799" w:type="dxa"/>
            <w:tcBorders>
              <w:top w:val="nil"/>
              <w:left w:val="nil"/>
              <w:bottom w:val="nil"/>
              <w:right w:val="nil"/>
            </w:tcBorders>
            <w:shd w:val="clear" w:color="auto" w:fill="FFFFFF"/>
            <w:vAlign w:val="center"/>
          </w:tcPr>
          <w:p w14:paraId="17CB484D">
            <w:pPr>
              <w:pStyle w:val="2"/>
              <w:widowControl/>
              <w:kinsoku w:val="0"/>
              <w:autoSpaceDE w:val="0"/>
              <w:autoSpaceDN w:val="0"/>
              <w:adjustRightInd w:val="0"/>
              <w:snapToGrid w:val="0"/>
              <w:textAlignment w:val="baseline"/>
              <w:rPr>
                <w:rFonts w:cs="宋体"/>
                <w:szCs w:val="24"/>
              </w:rPr>
            </w:pPr>
            <w:r>
              <w:rPr>
                <w:rFonts w:hint="eastAsia" w:cs="宋体"/>
                <w:szCs w:val="24"/>
              </w:rPr>
              <w:t>开 户 行：</w:t>
            </w:r>
          </w:p>
        </w:tc>
        <w:tc>
          <w:tcPr>
            <w:tcW w:w="2822" w:type="dxa"/>
            <w:tcBorders>
              <w:top w:val="nil"/>
              <w:left w:val="nil"/>
              <w:bottom w:val="nil"/>
              <w:right w:val="nil"/>
            </w:tcBorders>
            <w:shd w:val="clear" w:color="auto" w:fill="FFFFFF"/>
            <w:vAlign w:val="center"/>
          </w:tcPr>
          <w:p w14:paraId="33E3A29C">
            <w:pPr>
              <w:rPr>
                <w:rFonts w:ascii="宋体" w:hAnsi="宋体" w:cs="宋体"/>
                <w:sz w:val="24"/>
                <w:szCs w:val="24"/>
              </w:rPr>
            </w:pPr>
            <w:r>
              <w:rPr>
                <w:rFonts w:hint="eastAsia" w:ascii="宋体" w:hAnsi="宋体" w:cs="宋体"/>
                <w:sz w:val="24"/>
                <w:szCs w:val="24"/>
                <w:u w:val="single"/>
              </w:rPr>
              <w:t xml:space="preserve">                      </w:t>
            </w:r>
          </w:p>
        </w:tc>
      </w:tr>
      <w:tr w14:paraId="367E2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797" w:type="dxa"/>
            <w:tcBorders>
              <w:top w:val="nil"/>
              <w:left w:val="nil"/>
              <w:bottom w:val="nil"/>
              <w:right w:val="nil"/>
            </w:tcBorders>
            <w:shd w:val="clear" w:color="auto" w:fill="FFFFFF"/>
            <w:vAlign w:val="center"/>
          </w:tcPr>
          <w:p w14:paraId="2CB07B5F">
            <w:pPr>
              <w:pStyle w:val="2"/>
              <w:widowControl/>
              <w:kinsoku w:val="0"/>
              <w:autoSpaceDE w:val="0"/>
              <w:autoSpaceDN w:val="0"/>
              <w:adjustRightInd w:val="0"/>
              <w:snapToGrid w:val="0"/>
              <w:textAlignment w:val="baseline"/>
              <w:rPr>
                <w:rFonts w:cs="宋体"/>
                <w:szCs w:val="24"/>
              </w:rPr>
            </w:pPr>
            <w:r>
              <w:rPr>
                <w:rFonts w:hint="eastAsia" w:cs="宋体"/>
                <w:szCs w:val="24"/>
              </w:rPr>
              <w:t>账    号：</w:t>
            </w:r>
          </w:p>
        </w:tc>
        <w:tc>
          <w:tcPr>
            <w:tcW w:w="2870" w:type="dxa"/>
            <w:tcBorders>
              <w:top w:val="nil"/>
              <w:left w:val="nil"/>
              <w:bottom w:val="nil"/>
              <w:right w:val="nil"/>
            </w:tcBorders>
            <w:shd w:val="clear" w:color="auto" w:fill="FFFFFF"/>
            <w:vAlign w:val="center"/>
          </w:tcPr>
          <w:p w14:paraId="18CD7159">
            <w:pPr>
              <w:rPr>
                <w:rFonts w:ascii="宋体" w:hAnsi="宋体" w:cs="宋体"/>
                <w:sz w:val="24"/>
                <w:szCs w:val="24"/>
              </w:rPr>
            </w:pPr>
            <w:r>
              <w:rPr>
                <w:rFonts w:hint="eastAsia" w:ascii="宋体" w:hAnsi="宋体" w:cs="宋体"/>
                <w:sz w:val="24"/>
                <w:szCs w:val="24"/>
                <w:u w:val="single"/>
              </w:rPr>
              <w:t xml:space="preserve">                      </w:t>
            </w:r>
          </w:p>
        </w:tc>
        <w:tc>
          <w:tcPr>
            <w:tcW w:w="1799" w:type="dxa"/>
            <w:tcBorders>
              <w:top w:val="nil"/>
              <w:left w:val="nil"/>
              <w:bottom w:val="nil"/>
              <w:right w:val="nil"/>
            </w:tcBorders>
            <w:shd w:val="clear" w:color="auto" w:fill="FFFFFF"/>
            <w:vAlign w:val="center"/>
          </w:tcPr>
          <w:p w14:paraId="4E4A6C11">
            <w:pPr>
              <w:pStyle w:val="2"/>
              <w:widowControl/>
              <w:kinsoku w:val="0"/>
              <w:autoSpaceDE w:val="0"/>
              <w:autoSpaceDN w:val="0"/>
              <w:adjustRightInd w:val="0"/>
              <w:snapToGrid w:val="0"/>
              <w:textAlignment w:val="baseline"/>
              <w:rPr>
                <w:rFonts w:cs="宋体"/>
                <w:szCs w:val="24"/>
              </w:rPr>
            </w:pPr>
            <w:r>
              <w:rPr>
                <w:rFonts w:hint="eastAsia" w:cs="宋体"/>
                <w:szCs w:val="24"/>
              </w:rPr>
              <w:t>账    号：</w:t>
            </w:r>
          </w:p>
        </w:tc>
        <w:tc>
          <w:tcPr>
            <w:tcW w:w="2822" w:type="dxa"/>
            <w:tcBorders>
              <w:top w:val="nil"/>
              <w:left w:val="nil"/>
              <w:bottom w:val="nil"/>
              <w:right w:val="nil"/>
            </w:tcBorders>
            <w:shd w:val="clear" w:color="auto" w:fill="FFFFFF"/>
            <w:vAlign w:val="center"/>
          </w:tcPr>
          <w:p w14:paraId="63128E6F">
            <w:pPr>
              <w:rPr>
                <w:rFonts w:ascii="宋体" w:hAnsi="宋体" w:cs="宋体"/>
                <w:sz w:val="24"/>
                <w:szCs w:val="24"/>
              </w:rPr>
            </w:pPr>
            <w:r>
              <w:rPr>
                <w:rFonts w:hint="eastAsia" w:ascii="宋体" w:hAnsi="宋体" w:cs="宋体"/>
                <w:sz w:val="24"/>
                <w:szCs w:val="24"/>
                <w:u w:val="single"/>
              </w:rPr>
              <w:t xml:space="preserve">                      </w:t>
            </w:r>
          </w:p>
        </w:tc>
      </w:tr>
      <w:tr w14:paraId="20B49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797" w:type="dxa"/>
            <w:tcBorders>
              <w:top w:val="nil"/>
              <w:left w:val="nil"/>
              <w:bottom w:val="nil"/>
              <w:right w:val="nil"/>
            </w:tcBorders>
            <w:shd w:val="clear" w:color="auto" w:fill="FFFFFF"/>
            <w:vAlign w:val="center"/>
          </w:tcPr>
          <w:p w14:paraId="707A427C">
            <w:pPr>
              <w:pStyle w:val="2"/>
              <w:widowControl/>
              <w:kinsoku w:val="0"/>
              <w:autoSpaceDE w:val="0"/>
              <w:autoSpaceDN w:val="0"/>
              <w:adjustRightInd w:val="0"/>
              <w:snapToGrid w:val="0"/>
              <w:textAlignment w:val="baseline"/>
              <w:rPr>
                <w:rFonts w:cs="宋体"/>
                <w:szCs w:val="24"/>
              </w:rPr>
            </w:pPr>
            <w:r>
              <w:rPr>
                <w:rFonts w:hint="eastAsia" w:cs="宋体"/>
                <w:szCs w:val="24"/>
              </w:rPr>
              <w:t>联系电话：</w:t>
            </w:r>
          </w:p>
        </w:tc>
        <w:tc>
          <w:tcPr>
            <w:tcW w:w="2870" w:type="dxa"/>
            <w:tcBorders>
              <w:top w:val="nil"/>
              <w:left w:val="nil"/>
              <w:bottom w:val="nil"/>
              <w:right w:val="nil"/>
            </w:tcBorders>
            <w:shd w:val="clear" w:color="auto" w:fill="FFFFFF"/>
            <w:vAlign w:val="center"/>
          </w:tcPr>
          <w:p w14:paraId="5FE217C4">
            <w:pPr>
              <w:rPr>
                <w:rFonts w:ascii="宋体" w:hAnsi="宋体" w:cs="宋体"/>
                <w:sz w:val="24"/>
                <w:szCs w:val="24"/>
              </w:rPr>
            </w:pPr>
            <w:r>
              <w:rPr>
                <w:rFonts w:hint="eastAsia" w:ascii="宋体" w:hAnsi="宋体" w:cs="宋体"/>
                <w:sz w:val="24"/>
                <w:szCs w:val="24"/>
                <w:u w:val="single"/>
              </w:rPr>
              <w:t xml:space="preserve">                      </w:t>
            </w:r>
          </w:p>
        </w:tc>
        <w:tc>
          <w:tcPr>
            <w:tcW w:w="1799" w:type="dxa"/>
            <w:tcBorders>
              <w:top w:val="nil"/>
              <w:left w:val="nil"/>
              <w:bottom w:val="nil"/>
              <w:right w:val="nil"/>
            </w:tcBorders>
            <w:shd w:val="clear" w:color="auto" w:fill="FFFFFF"/>
            <w:vAlign w:val="center"/>
          </w:tcPr>
          <w:p w14:paraId="06702C0D">
            <w:pPr>
              <w:pStyle w:val="2"/>
              <w:widowControl/>
              <w:kinsoku w:val="0"/>
              <w:autoSpaceDE w:val="0"/>
              <w:autoSpaceDN w:val="0"/>
              <w:adjustRightInd w:val="0"/>
              <w:snapToGrid w:val="0"/>
              <w:textAlignment w:val="baseline"/>
              <w:rPr>
                <w:rFonts w:cs="宋体"/>
                <w:szCs w:val="24"/>
              </w:rPr>
            </w:pPr>
            <w:r>
              <w:rPr>
                <w:rFonts w:hint="eastAsia" w:cs="宋体"/>
                <w:szCs w:val="24"/>
              </w:rPr>
              <w:t>联系电话：</w:t>
            </w:r>
          </w:p>
        </w:tc>
        <w:tc>
          <w:tcPr>
            <w:tcW w:w="2822" w:type="dxa"/>
            <w:tcBorders>
              <w:top w:val="nil"/>
              <w:left w:val="nil"/>
              <w:bottom w:val="nil"/>
              <w:right w:val="nil"/>
            </w:tcBorders>
            <w:shd w:val="clear" w:color="auto" w:fill="FFFFFF"/>
            <w:vAlign w:val="center"/>
          </w:tcPr>
          <w:p w14:paraId="6CD5BDAD">
            <w:pPr>
              <w:rPr>
                <w:rFonts w:ascii="宋体" w:hAnsi="宋体" w:cs="宋体"/>
                <w:sz w:val="24"/>
                <w:szCs w:val="24"/>
              </w:rPr>
            </w:pPr>
            <w:r>
              <w:rPr>
                <w:rFonts w:hint="eastAsia" w:ascii="宋体" w:hAnsi="宋体" w:cs="宋体"/>
                <w:sz w:val="24"/>
                <w:szCs w:val="24"/>
                <w:u w:val="single"/>
              </w:rPr>
              <w:t xml:space="preserve">                      </w:t>
            </w:r>
          </w:p>
        </w:tc>
      </w:tr>
      <w:tr w14:paraId="059BB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797" w:type="dxa"/>
            <w:tcBorders>
              <w:top w:val="nil"/>
              <w:left w:val="nil"/>
              <w:bottom w:val="nil"/>
              <w:right w:val="nil"/>
            </w:tcBorders>
            <w:shd w:val="clear" w:color="auto" w:fill="FFFFFF"/>
            <w:vAlign w:val="center"/>
          </w:tcPr>
          <w:p w14:paraId="02996993">
            <w:pPr>
              <w:pStyle w:val="2"/>
              <w:widowControl/>
              <w:kinsoku w:val="0"/>
              <w:autoSpaceDE w:val="0"/>
              <w:autoSpaceDN w:val="0"/>
              <w:adjustRightInd w:val="0"/>
              <w:snapToGrid w:val="0"/>
              <w:textAlignment w:val="baseline"/>
              <w:rPr>
                <w:rFonts w:cs="宋体"/>
                <w:szCs w:val="24"/>
              </w:rPr>
            </w:pPr>
            <w:r>
              <w:rPr>
                <w:rFonts w:hint="eastAsia" w:cs="宋体"/>
                <w:szCs w:val="24"/>
              </w:rPr>
              <w:t>联系地址：</w:t>
            </w:r>
          </w:p>
        </w:tc>
        <w:tc>
          <w:tcPr>
            <w:tcW w:w="2870" w:type="dxa"/>
            <w:tcBorders>
              <w:top w:val="nil"/>
              <w:left w:val="nil"/>
              <w:bottom w:val="nil"/>
              <w:right w:val="nil"/>
            </w:tcBorders>
            <w:shd w:val="clear" w:color="auto" w:fill="FFFFFF"/>
            <w:vAlign w:val="center"/>
          </w:tcPr>
          <w:p w14:paraId="21C96AB9">
            <w:pPr>
              <w:rPr>
                <w:rFonts w:ascii="宋体" w:hAnsi="宋体" w:cs="宋体"/>
                <w:sz w:val="24"/>
                <w:szCs w:val="24"/>
              </w:rPr>
            </w:pPr>
            <w:r>
              <w:rPr>
                <w:rFonts w:hint="eastAsia" w:ascii="宋体" w:hAnsi="宋体" w:cs="宋体"/>
                <w:sz w:val="24"/>
                <w:szCs w:val="24"/>
                <w:u w:val="single"/>
              </w:rPr>
              <w:t xml:space="preserve">                      </w:t>
            </w:r>
          </w:p>
        </w:tc>
        <w:tc>
          <w:tcPr>
            <w:tcW w:w="1799" w:type="dxa"/>
            <w:tcBorders>
              <w:top w:val="nil"/>
              <w:left w:val="nil"/>
              <w:bottom w:val="nil"/>
              <w:right w:val="nil"/>
            </w:tcBorders>
            <w:shd w:val="clear" w:color="auto" w:fill="FFFFFF"/>
            <w:vAlign w:val="center"/>
          </w:tcPr>
          <w:p w14:paraId="7AAF14AE">
            <w:pPr>
              <w:pStyle w:val="2"/>
              <w:widowControl/>
              <w:kinsoku w:val="0"/>
              <w:autoSpaceDE w:val="0"/>
              <w:autoSpaceDN w:val="0"/>
              <w:adjustRightInd w:val="0"/>
              <w:snapToGrid w:val="0"/>
              <w:textAlignment w:val="baseline"/>
              <w:rPr>
                <w:rFonts w:cs="宋体"/>
                <w:szCs w:val="24"/>
              </w:rPr>
            </w:pPr>
            <w:r>
              <w:rPr>
                <w:rFonts w:hint="eastAsia" w:cs="宋体"/>
                <w:szCs w:val="24"/>
              </w:rPr>
              <w:t>联系地址：</w:t>
            </w:r>
          </w:p>
        </w:tc>
        <w:tc>
          <w:tcPr>
            <w:tcW w:w="2822" w:type="dxa"/>
            <w:tcBorders>
              <w:top w:val="nil"/>
              <w:left w:val="nil"/>
              <w:bottom w:val="nil"/>
              <w:right w:val="nil"/>
            </w:tcBorders>
            <w:shd w:val="clear" w:color="auto" w:fill="FFFFFF"/>
            <w:vAlign w:val="center"/>
          </w:tcPr>
          <w:p w14:paraId="62B530E1">
            <w:pPr>
              <w:rPr>
                <w:rFonts w:ascii="宋体" w:hAnsi="宋体" w:cs="宋体"/>
                <w:sz w:val="24"/>
                <w:szCs w:val="24"/>
              </w:rPr>
            </w:pPr>
            <w:r>
              <w:rPr>
                <w:rFonts w:hint="eastAsia" w:ascii="宋体" w:hAnsi="宋体" w:cs="宋体"/>
                <w:sz w:val="24"/>
                <w:szCs w:val="24"/>
                <w:u w:val="single"/>
              </w:rPr>
              <w:t xml:space="preserve">                      </w:t>
            </w:r>
          </w:p>
        </w:tc>
      </w:tr>
      <w:tr w14:paraId="0C9A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797" w:type="dxa"/>
            <w:tcBorders>
              <w:top w:val="nil"/>
              <w:left w:val="nil"/>
              <w:bottom w:val="nil"/>
              <w:right w:val="nil"/>
            </w:tcBorders>
            <w:shd w:val="clear" w:color="auto" w:fill="FFFFFF"/>
            <w:vAlign w:val="center"/>
          </w:tcPr>
          <w:p w14:paraId="2F4D9C2D">
            <w:pPr>
              <w:pStyle w:val="2"/>
              <w:widowControl/>
              <w:kinsoku w:val="0"/>
              <w:autoSpaceDE w:val="0"/>
              <w:autoSpaceDN w:val="0"/>
              <w:adjustRightInd w:val="0"/>
              <w:snapToGrid w:val="0"/>
              <w:textAlignment w:val="baseline"/>
              <w:rPr>
                <w:rFonts w:cs="宋体"/>
                <w:szCs w:val="24"/>
              </w:rPr>
            </w:pPr>
            <w:r>
              <w:rPr>
                <w:rFonts w:hint="eastAsia" w:cs="宋体"/>
                <w:szCs w:val="24"/>
              </w:rPr>
              <w:t>时    间：</w:t>
            </w:r>
          </w:p>
        </w:tc>
        <w:tc>
          <w:tcPr>
            <w:tcW w:w="2870" w:type="dxa"/>
            <w:tcBorders>
              <w:top w:val="nil"/>
              <w:left w:val="nil"/>
              <w:bottom w:val="nil"/>
              <w:right w:val="nil"/>
            </w:tcBorders>
            <w:shd w:val="clear" w:color="auto" w:fill="FFFFFF"/>
            <w:vAlign w:val="center"/>
          </w:tcPr>
          <w:p w14:paraId="2DBA7593">
            <w:pPr>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tc>
        <w:tc>
          <w:tcPr>
            <w:tcW w:w="1799" w:type="dxa"/>
            <w:tcBorders>
              <w:top w:val="nil"/>
              <w:left w:val="nil"/>
              <w:bottom w:val="nil"/>
              <w:right w:val="nil"/>
            </w:tcBorders>
            <w:shd w:val="clear" w:color="auto" w:fill="FFFFFF"/>
            <w:vAlign w:val="center"/>
          </w:tcPr>
          <w:p w14:paraId="7F937E92">
            <w:pPr>
              <w:pStyle w:val="2"/>
              <w:widowControl/>
              <w:kinsoku w:val="0"/>
              <w:autoSpaceDE w:val="0"/>
              <w:autoSpaceDN w:val="0"/>
              <w:adjustRightInd w:val="0"/>
              <w:snapToGrid w:val="0"/>
              <w:textAlignment w:val="baseline"/>
              <w:rPr>
                <w:rFonts w:cs="宋体"/>
                <w:szCs w:val="24"/>
              </w:rPr>
            </w:pPr>
            <w:r>
              <w:rPr>
                <w:rFonts w:hint="eastAsia" w:cs="宋体"/>
                <w:szCs w:val="24"/>
              </w:rPr>
              <w:t>时    间：</w:t>
            </w:r>
          </w:p>
        </w:tc>
        <w:tc>
          <w:tcPr>
            <w:tcW w:w="2822" w:type="dxa"/>
            <w:tcBorders>
              <w:top w:val="nil"/>
              <w:left w:val="nil"/>
              <w:bottom w:val="nil"/>
              <w:right w:val="nil"/>
            </w:tcBorders>
            <w:shd w:val="clear" w:color="auto" w:fill="FFFFFF"/>
            <w:vAlign w:val="center"/>
          </w:tcPr>
          <w:p w14:paraId="65C359FD">
            <w:pPr>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tc>
      </w:tr>
    </w:tbl>
    <w:p w14:paraId="768CB8D3">
      <w:pPr>
        <w:spacing w:line="250" w:lineRule="auto"/>
        <w:rPr>
          <w:rFonts w:ascii="Arial"/>
        </w:rPr>
      </w:pPr>
    </w:p>
    <w:p w14:paraId="0D32814F">
      <w:pPr>
        <w:spacing w:line="250" w:lineRule="auto"/>
        <w:rPr>
          <w:rFonts w:ascii="Arial"/>
        </w:rPr>
      </w:pPr>
    </w:p>
    <w:p w14:paraId="108659D6">
      <w:pPr>
        <w:spacing w:line="250" w:lineRule="auto"/>
        <w:rPr>
          <w:rFonts w:ascii="Arial"/>
        </w:rPr>
      </w:pPr>
    </w:p>
    <w:p w14:paraId="17F7927B">
      <w:pPr>
        <w:spacing w:line="250" w:lineRule="auto"/>
        <w:rPr>
          <w:rFonts w:ascii="Arial"/>
        </w:rPr>
      </w:pPr>
    </w:p>
    <w:p w14:paraId="70C84EC4">
      <w:pPr>
        <w:spacing w:line="250" w:lineRule="auto"/>
        <w:rPr>
          <w:rFonts w:ascii="Arial"/>
        </w:rPr>
      </w:pPr>
    </w:p>
    <w:p w14:paraId="69CA059F">
      <w:pPr>
        <w:spacing w:line="250" w:lineRule="auto"/>
        <w:rPr>
          <w:rFonts w:ascii="Arial"/>
        </w:rPr>
      </w:pPr>
    </w:p>
    <w:p w14:paraId="214F88CA">
      <w:pPr>
        <w:spacing w:line="250" w:lineRule="auto"/>
        <w:rPr>
          <w:rFonts w:ascii="Arial"/>
        </w:rPr>
      </w:pPr>
    </w:p>
    <w:p w14:paraId="37588543">
      <w:pPr>
        <w:spacing w:line="250" w:lineRule="auto"/>
        <w:rPr>
          <w:rFonts w:ascii="Arial"/>
        </w:rPr>
      </w:pPr>
    </w:p>
    <w:p w14:paraId="447F52EE">
      <w:pPr>
        <w:spacing w:line="250" w:lineRule="auto"/>
        <w:rPr>
          <w:rFonts w:ascii="Arial"/>
        </w:rPr>
      </w:pPr>
    </w:p>
    <w:p w14:paraId="76D2B622">
      <w:pPr>
        <w:spacing w:line="250" w:lineRule="auto"/>
        <w:rPr>
          <w:rFonts w:ascii="Arial"/>
        </w:rPr>
      </w:pPr>
    </w:p>
    <w:p w14:paraId="57F2C667">
      <w:pPr>
        <w:spacing w:line="250" w:lineRule="auto"/>
        <w:rPr>
          <w:rFonts w:ascii="Arial"/>
        </w:rPr>
      </w:pPr>
    </w:p>
    <w:p w14:paraId="6686F755">
      <w:pPr>
        <w:spacing w:line="250" w:lineRule="auto"/>
        <w:rPr>
          <w:rFonts w:ascii="Arial"/>
        </w:rPr>
      </w:pPr>
    </w:p>
    <w:p w14:paraId="1CCCCCFE">
      <w:pPr>
        <w:spacing w:line="250" w:lineRule="auto"/>
        <w:rPr>
          <w:rFonts w:ascii="Arial"/>
        </w:rPr>
      </w:pPr>
    </w:p>
    <w:p w14:paraId="46741039">
      <w:pPr>
        <w:spacing w:line="250" w:lineRule="auto"/>
        <w:rPr>
          <w:rFonts w:ascii="Arial"/>
        </w:rPr>
      </w:pPr>
    </w:p>
    <w:p w14:paraId="60571C4D">
      <w:pPr>
        <w:spacing w:line="360" w:lineRule="auto"/>
        <w:rPr>
          <w:sz w:val="24"/>
        </w:rPr>
        <w:sectPr>
          <w:headerReference r:id="rId4" w:type="default"/>
          <w:footerReference r:id="rId5" w:type="default"/>
          <w:pgSz w:w="11906" w:h="16838"/>
          <w:pgMar w:top="1417" w:right="1417" w:bottom="1417" w:left="1417" w:header="767" w:footer="516" w:gutter="0"/>
          <w:cols w:space="0" w:num="1"/>
        </w:sectPr>
      </w:pPr>
    </w:p>
    <w:p w14:paraId="02297110">
      <w:pPr>
        <w:pStyle w:val="5"/>
        <w:ind w:firstLine="482"/>
        <w:rPr>
          <w:rFonts w:ascii="宋体" w:hAnsi="宋体" w:eastAsia="宋体" w:cs="宋体"/>
          <w:b w:val="0"/>
          <w:bCs w:val="0"/>
          <w:sz w:val="24"/>
          <w:szCs w:val="24"/>
        </w:rPr>
      </w:pPr>
      <w:r>
        <w:rPr>
          <w:rFonts w:hint="eastAsia" w:ascii="宋体" w:hAnsi="宋体" w:eastAsia="宋体" w:cs="宋体"/>
          <w:sz w:val="24"/>
          <w:szCs w:val="24"/>
        </w:rPr>
        <w:t>附件1：</w:t>
      </w:r>
    </w:p>
    <w:p w14:paraId="44C78747">
      <w:pPr>
        <w:snapToGrid w:val="0"/>
        <w:spacing w:before="120" w:beforeLines="50" w:after="120" w:afterLines="50" w:line="360" w:lineRule="auto"/>
        <w:ind w:firstLine="562"/>
        <w:jc w:val="center"/>
        <w:rPr>
          <w:rFonts w:ascii="宋体" w:hAnsi="宋体" w:cs="宋体"/>
          <w:b/>
          <w:bCs/>
          <w:sz w:val="28"/>
          <w:szCs w:val="28"/>
        </w:rPr>
      </w:pPr>
      <w:r>
        <w:rPr>
          <w:rFonts w:hint="eastAsia" w:ascii="宋体" w:hAnsi="宋体" w:cs="宋体"/>
          <w:b/>
          <w:bCs/>
          <w:sz w:val="28"/>
          <w:szCs w:val="28"/>
        </w:rPr>
        <w:t>供应商廉洁自律承诺书</w:t>
      </w:r>
    </w:p>
    <w:p w14:paraId="29955BD2">
      <w:pPr>
        <w:snapToGrid w:val="0"/>
        <w:spacing w:before="120" w:beforeLines="50" w:after="120" w:afterLines="50" w:line="360" w:lineRule="auto"/>
        <w:ind w:firstLine="480" w:firstLineChars="200"/>
        <w:rPr>
          <w:rFonts w:ascii="宋体" w:hAnsi="宋体" w:cs="宋体"/>
          <w:sz w:val="24"/>
          <w:szCs w:val="24"/>
        </w:rPr>
      </w:pPr>
      <w:r>
        <w:rPr>
          <w:rFonts w:hint="eastAsia" w:ascii="宋体" w:hAnsi="宋体" w:cs="宋体"/>
          <w:sz w:val="24"/>
          <w:szCs w:val="24"/>
        </w:rPr>
        <w:t>为了有效遏制不公平竞争和违法违规违纪问题的发生，确保招标工作的公平、公正、公开，特向招标人郑重承诺，在参与项目招投标过程中严格遵守下列行为准则：</w:t>
      </w:r>
      <w:r>
        <w:rPr>
          <w:rFonts w:hint="eastAsia" w:ascii="宋体" w:hAnsi="宋体" w:cs="宋体"/>
          <w:sz w:val="24"/>
          <w:szCs w:val="24"/>
        </w:rPr>
        <w:br w:type="textWrapping"/>
      </w:r>
      <w:r>
        <w:rPr>
          <w:rFonts w:hint="eastAsia" w:ascii="宋体" w:hAnsi="宋体" w:cs="宋体"/>
          <w:sz w:val="24"/>
          <w:szCs w:val="24"/>
        </w:rPr>
        <w:t xml:space="preserve">    1、严格遵守国家有关法律法规及相关政策，以及廉洁从业的各项规定。</w:t>
      </w:r>
      <w:r>
        <w:rPr>
          <w:rFonts w:hint="eastAsia" w:ascii="宋体" w:hAnsi="宋体" w:cs="宋体"/>
          <w:sz w:val="24"/>
          <w:szCs w:val="24"/>
        </w:rPr>
        <w:br w:type="textWrapping"/>
      </w:r>
      <w:r>
        <w:rPr>
          <w:rFonts w:hint="eastAsia" w:ascii="宋体" w:hAnsi="宋体" w:cs="宋体"/>
          <w:sz w:val="24"/>
          <w:szCs w:val="24"/>
        </w:rPr>
        <w:t xml:space="preserve">    2、不以任何理由、任何形式向招标人相关工作人员或其亲戚、朋友等利益相关人提供宴请或馈赠礼金、购物卡、会员卡、电子礼卡、有价证券、贵重物品及好处费、感谢费等。</w:t>
      </w:r>
      <w:r>
        <w:rPr>
          <w:rFonts w:hint="eastAsia" w:ascii="宋体" w:hAnsi="宋体" w:cs="宋体"/>
          <w:sz w:val="24"/>
          <w:szCs w:val="24"/>
        </w:rPr>
        <w:br w:type="textWrapping"/>
      </w:r>
      <w:r>
        <w:rPr>
          <w:rFonts w:hint="eastAsia" w:ascii="宋体" w:hAnsi="宋体" w:cs="宋体"/>
          <w:sz w:val="24"/>
          <w:szCs w:val="24"/>
        </w:rPr>
        <w:t xml:space="preserve">    3、不以任何名义为招标人相关工作人员或其亲戚、朋友等利益相关人支付、报销应由其个人支付的费用。</w:t>
      </w:r>
      <w:r>
        <w:rPr>
          <w:rFonts w:hint="eastAsia" w:ascii="宋体" w:hAnsi="宋体" w:cs="宋体"/>
          <w:sz w:val="24"/>
          <w:szCs w:val="24"/>
        </w:rPr>
        <w:br w:type="textWrapping"/>
      </w:r>
      <w:r>
        <w:rPr>
          <w:rFonts w:hint="eastAsia" w:ascii="宋体" w:hAnsi="宋体" w:cs="宋体"/>
          <w:sz w:val="24"/>
          <w:szCs w:val="24"/>
        </w:rPr>
        <w:t xml:space="preserve">    4、不以任何理由安排招标人相关工作人员或其亲戚、朋友等利益相关人参加健身、娱乐和旅游等活动。</w:t>
      </w:r>
      <w:r>
        <w:rPr>
          <w:rFonts w:hint="eastAsia" w:ascii="宋体" w:hAnsi="宋体" w:cs="宋体"/>
          <w:sz w:val="24"/>
          <w:szCs w:val="24"/>
        </w:rPr>
        <w:br w:type="textWrapping"/>
      </w:r>
      <w:r>
        <w:rPr>
          <w:rFonts w:hint="eastAsia" w:ascii="宋体" w:hAnsi="宋体" w:cs="宋体"/>
          <w:sz w:val="24"/>
          <w:szCs w:val="24"/>
        </w:rPr>
        <w:t xml:space="preserve">    5、不为招标人的业务部门、关联企业或人员购置或提供通讯工具、交通工具、高档办公用品或为装修住房、配偶子女的工作安排以及出国（境）等提供方便。</w:t>
      </w:r>
      <w:r>
        <w:rPr>
          <w:rFonts w:hint="eastAsia" w:ascii="宋体" w:hAnsi="宋体" w:cs="宋体"/>
          <w:sz w:val="24"/>
          <w:szCs w:val="24"/>
        </w:rPr>
        <w:br w:type="textWrapping"/>
      </w:r>
      <w:r>
        <w:rPr>
          <w:rFonts w:hint="eastAsia" w:ascii="宋体" w:hAnsi="宋体" w:cs="宋体"/>
          <w:sz w:val="24"/>
          <w:szCs w:val="24"/>
        </w:rPr>
        <w:t xml:space="preserve">    6、不以贿赂之外的其他方式拉拢招标方相关工作人员，使其违背公平、公开、公正竞争原则，帮助实现中标目的。</w:t>
      </w:r>
      <w:r>
        <w:rPr>
          <w:rFonts w:hint="eastAsia" w:ascii="宋体" w:hAnsi="宋体" w:cs="宋体"/>
          <w:sz w:val="24"/>
          <w:szCs w:val="24"/>
        </w:rPr>
        <w:br w:type="textWrapping"/>
      </w:r>
      <w:r>
        <w:rPr>
          <w:rFonts w:hint="eastAsia" w:ascii="宋体" w:hAnsi="宋体" w:cs="宋体"/>
          <w:sz w:val="24"/>
          <w:szCs w:val="24"/>
        </w:rPr>
        <w:t xml:space="preserve">    7、不在非公务场合洽谈业务，不一对一洽谈业务，不许诺事后给予招标人相关工作人员利益。</w:t>
      </w:r>
      <w:r>
        <w:rPr>
          <w:rFonts w:hint="eastAsia" w:ascii="宋体" w:hAnsi="宋体" w:cs="宋体"/>
          <w:sz w:val="24"/>
          <w:szCs w:val="24"/>
        </w:rPr>
        <w:br w:type="textWrapping"/>
      </w:r>
      <w:r>
        <w:rPr>
          <w:rFonts w:hint="eastAsia" w:ascii="宋体" w:hAnsi="宋体" w:cs="宋体"/>
          <w:sz w:val="24"/>
          <w:szCs w:val="24"/>
        </w:rPr>
        <w:t xml:space="preserve">    8、如果招标人相关工作人员以帮助实现中标目的为对价向投标人索取贿赂或谋求其他个人利益，投标人应拒绝招标人相关工作人员的要求，或发现招标人相关工作人员向投标人透露商业秘密，一并向招标人监督部门举报。</w:t>
      </w:r>
      <w:r>
        <w:rPr>
          <w:rFonts w:hint="eastAsia" w:ascii="宋体" w:hAnsi="宋体" w:cs="宋体"/>
          <w:sz w:val="24"/>
          <w:szCs w:val="24"/>
        </w:rPr>
        <w:br w:type="textWrapping"/>
      </w:r>
      <w:r>
        <w:rPr>
          <w:rFonts w:hint="eastAsia" w:ascii="宋体" w:hAnsi="宋体" w:cs="宋体"/>
          <w:sz w:val="24"/>
          <w:szCs w:val="24"/>
        </w:rPr>
        <w:t xml:space="preserve">    如果承诺人违背上述承诺并中标，承诺人自愿承担宣告中标无效、与招标人签订的合同无效、招标人有权拒绝支付合同款、承诺人自身损失自己承担并赔偿招标人因此产生的一切损失的民事法律责任及因此产生的刑事责任。本承诺书随招标文件一并发布，随投标文件一并签订提交。</w:t>
      </w:r>
      <w:r>
        <w:rPr>
          <w:rFonts w:hint="eastAsia" w:ascii="宋体" w:hAnsi="宋体" w:cs="宋体"/>
          <w:sz w:val="24"/>
          <w:szCs w:val="24"/>
        </w:rPr>
        <w:br w:type="textWrapping"/>
      </w:r>
    </w:p>
    <w:p w14:paraId="07A91D04">
      <w:pPr>
        <w:snapToGrid w:val="0"/>
        <w:spacing w:before="120" w:beforeLines="50" w:after="120" w:afterLines="50" w:line="360" w:lineRule="auto"/>
        <w:ind w:left="420" w:leftChars="200"/>
        <w:rPr>
          <w:rFonts w:ascii="宋体" w:hAnsi="宋体" w:cs="宋体"/>
          <w:sz w:val="24"/>
          <w:szCs w:val="24"/>
        </w:rPr>
      </w:pPr>
      <w:r>
        <w:rPr>
          <w:rFonts w:hint="eastAsia" w:ascii="宋体" w:hAnsi="宋体" w:cs="宋体"/>
          <w:sz w:val="24"/>
          <w:szCs w:val="24"/>
        </w:rPr>
        <w:t>承 诺 人： （签字）</w:t>
      </w:r>
      <w:r>
        <w:rPr>
          <w:rFonts w:hint="eastAsia" w:ascii="宋体" w:hAnsi="宋体" w:cs="宋体"/>
          <w:sz w:val="24"/>
          <w:szCs w:val="24"/>
        </w:rPr>
        <w:br w:type="textWrapping"/>
      </w:r>
      <w:r>
        <w:rPr>
          <w:rFonts w:hint="eastAsia" w:ascii="宋体" w:hAnsi="宋体" w:cs="宋体"/>
          <w:sz w:val="24"/>
          <w:szCs w:val="24"/>
        </w:rPr>
        <w:t>承诺单位： （盖章）</w:t>
      </w:r>
      <w:r>
        <w:rPr>
          <w:rFonts w:hint="eastAsia" w:ascii="宋体" w:hAnsi="宋体" w:cs="宋体"/>
          <w:sz w:val="24"/>
          <w:szCs w:val="24"/>
        </w:rPr>
        <w:br w:type="textWrapping"/>
      </w:r>
      <w:r>
        <w:rPr>
          <w:rFonts w:hint="eastAsia" w:ascii="宋体" w:hAnsi="宋体" w:cs="宋体"/>
          <w:sz w:val="24"/>
          <w:szCs w:val="24"/>
        </w:rPr>
        <w:t xml:space="preserve">      年    月    日</w:t>
      </w:r>
    </w:p>
    <w:p w14:paraId="7A8F798E">
      <w:pPr>
        <w:pStyle w:val="3"/>
        <w:ind w:firstLine="562"/>
        <w:rPr>
          <w:rFonts w:ascii="宋体" w:hAnsi="宋体" w:eastAsia="宋体" w:cs="宋体"/>
        </w:rPr>
        <w:sectPr>
          <w:headerReference r:id="rId6" w:type="default"/>
          <w:footerReference r:id="rId7" w:type="default"/>
          <w:pgSz w:w="11906" w:h="16838"/>
          <w:pgMar w:top="1418" w:right="1134" w:bottom="1418" w:left="1134" w:header="851" w:footer="992" w:gutter="0"/>
          <w:cols w:space="720" w:num="1"/>
          <w:docGrid w:linePitch="312" w:charSpace="0"/>
        </w:sectPr>
      </w:pPr>
    </w:p>
    <w:p w14:paraId="4DAAE130">
      <w:pPr>
        <w:spacing w:line="360" w:lineRule="auto"/>
        <w:ind w:firstLine="482"/>
        <w:rPr>
          <w:rFonts w:ascii="宋体" w:hAnsi="宋体" w:cs="宋体"/>
        </w:rPr>
      </w:pPr>
      <w:r>
        <w:rPr>
          <w:rFonts w:hint="eastAsia" w:ascii="宋体" w:hAnsi="宋体" w:cs="宋体"/>
          <w:b/>
          <w:sz w:val="24"/>
        </w:rPr>
        <w:t>附件2：</w:t>
      </w:r>
    </w:p>
    <w:p w14:paraId="0797F6D3">
      <w:pPr>
        <w:ind w:firstLine="643"/>
        <w:jc w:val="center"/>
        <w:rPr>
          <w:rFonts w:ascii="宋体" w:hAnsi="宋体" w:cs="宋体"/>
          <w:b/>
          <w:bCs/>
          <w:sz w:val="32"/>
        </w:rPr>
      </w:pPr>
      <w:r>
        <w:rPr>
          <w:rFonts w:hint="eastAsia" w:ascii="宋体" w:hAnsi="宋体" w:cs="宋体"/>
          <w:b/>
          <w:bCs/>
          <w:sz w:val="32"/>
        </w:rPr>
        <w:t>施工人员名单及联系方式</w:t>
      </w:r>
    </w:p>
    <w:tbl>
      <w:tblPr>
        <w:tblStyle w:val="8"/>
        <w:tblpPr w:leftFromText="180" w:rightFromText="180" w:vertAnchor="page" w:horzAnchor="page" w:tblpX="1213" w:tblpY="3053"/>
        <w:tblOverlap w:val="never"/>
        <w:tblW w:w="9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2150"/>
        <w:gridCol w:w="2150"/>
        <w:gridCol w:w="2150"/>
        <w:gridCol w:w="2150"/>
      </w:tblGrid>
      <w:tr w14:paraId="6242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44317EF7">
            <w:pPr>
              <w:jc w:val="center"/>
              <w:rPr>
                <w:rFonts w:ascii="宋体" w:hAnsi="宋体" w:cs="宋体"/>
                <w:sz w:val="24"/>
              </w:rPr>
            </w:pPr>
            <w:r>
              <w:rPr>
                <w:rFonts w:hint="eastAsia" w:ascii="宋体" w:hAnsi="宋体" w:cs="宋体"/>
                <w:sz w:val="24"/>
              </w:rPr>
              <w:t>序号</w:t>
            </w:r>
          </w:p>
        </w:tc>
        <w:tc>
          <w:tcPr>
            <w:tcW w:w="2150" w:type="dxa"/>
            <w:vAlign w:val="center"/>
          </w:tcPr>
          <w:p w14:paraId="10D77537">
            <w:pPr>
              <w:jc w:val="center"/>
              <w:rPr>
                <w:rFonts w:ascii="宋体" w:hAnsi="宋体" w:cs="宋体"/>
                <w:sz w:val="24"/>
              </w:rPr>
            </w:pPr>
            <w:r>
              <w:rPr>
                <w:rFonts w:hint="eastAsia" w:ascii="宋体" w:hAnsi="宋体" w:cs="宋体"/>
                <w:sz w:val="24"/>
              </w:rPr>
              <w:t>设置岗位</w:t>
            </w:r>
          </w:p>
        </w:tc>
        <w:tc>
          <w:tcPr>
            <w:tcW w:w="2150" w:type="dxa"/>
            <w:vAlign w:val="center"/>
          </w:tcPr>
          <w:p w14:paraId="592EC7D6">
            <w:pPr>
              <w:jc w:val="center"/>
              <w:rPr>
                <w:rFonts w:ascii="宋体" w:hAnsi="宋体" w:cs="宋体"/>
                <w:sz w:val="24"/>
              </w:rPr>
            </w:pPr>
            <w:r>
              <w:rPr>
                <w:rFonts w:hint="eastAsia" w:ascii="宋体" w:hAnsi="宋体" w:cs="宋体"/>
                <w:sz w:val="24"/>
              </w:rPr>
              <w:t>姓  名</w:t>
            </w:r>
          </w:p>
        </w:tc>
        <w:tc>
          <w:tcPr>
            <w:tcW w:w="2150" w:type="dxa"/>
            <w:vAlign w:val="center"/>
          </w:tcPr>
          <w:p w14:paraId="4192A65F">
            <w:pPr>
              <w:jc w:val="center"/>
              <w:rPr>
                <w:rFonts w:ascii="宋体" w:hAnsi="宋体" w:cs="宋体"/>
                <w:sz w:val="24"/>
              </w:rPr>
            </w:pPr>
            <w:r>
              <w:rPr>
                <w:rFonts w:hint="eastAsia" w:ascii="宋体" w:hAnsi="宋体" w:cs="宋体"/>
                <w:sz w:val="24"/>
              </w:rPr>
              <w:t>技术职称</w:t>
            </w:r>
          </w:p>
        </w:tc>
        <w:tc>
          <w:tcPr>
            <w:tcW w:w="2150" w:type="dxa"/>
            <w:vAlign w:val="center"/>
          </w:tcPr>
          <w:p w14:paraId="031238BD">
            <w:pPr>
              <w:jc w:val="center"/>
              <w:rPr>
                <w:rFonts w:ascii="宋体" w:hAnsi="宋体" w:cs="宋体"/>
                <w:sz w:val="24"/>
              </w:rPr>
            </w:pPr>
            <w:r>
              <w:rPr>
                <w:rFonts w:hint="eastAsia" w:ascii="宋体" w:hAnsi="宋体" w:cs="宋体"/>
                <w:sz w:val="24"/>
              </w:rPr>
              <w:t>电  话</w:t>
            </w:r>
          </w:p>
        </w:tc>
      </w:tr>
      <w:tr w14:paraId="67DC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6664381B">
            <w:pPr>
              <w:jc w:val="center"/>
              <w:rPr>
                <w:rFonts w:ascii="宋体" w:hAnsi="宋体" w:cs="宋体"/>
                <w:sz w:val="24"/>
              </w:rPr>
            </w:pPr>
            <w:r>
              <w:rPr>
                <w:rFonts w:hint="eastAsia" w:ascii="宋体" w:hAnsi="宋体" w:cs="宋体"/>
                <w:sz w:val="24"/>
              </w:rPr>
              <w:t>1</w:t>
            </w:r>
          </w:p>
        </w:tc>
        <w:tc>
          <w:tcPr>
            <w:tcW w:w="2150" w:type="dxa"/>
            <w:vAlign w:val="center"/>
          </w:tcPr>
          <w:p w14:paraId="4903414C">
            <w:pPr>
              <w:jc w:val="center"/>
              <w:rPr>
                <w:rFonts w:ascii="宋体" w:hAnsi="宋体" w:cs="宋体"/>
                <w:sz w:val="24"/>
              </w:rPr>
            </w:pPr>
            <w:r>
              <w:rPr>
                <w:rFonts w:hint="eastAsia" w:ascii="宋体" w:hAnsi="宋体" w:cs="宋体"/>
                <w:sz w:val="24"/>
              </w:rPr>
              <w:t>项目负责人</w:t>
            </w:r>
          </w:p>
        </w:tc>
        <w:tc>
          <w:tcPr>
            <w:tcW w:w="2150" w:type="dxa"/>
            <w:vAlign w:val="center"/>
          </w:tcPr>
          <w:p w14:paraId="437B41FB">
            <w:pPr>
              <w:jc w:val="center"/>
              <w:rPr>
                <w:rFonts w:ascii="宋体" w:hAnsi="宋体" w:cs="宋体"/>
                <w:sz w:val="24"/>
              </w:rPr>
            </w:pPr>
          </w:p>
        </w:tc>
        <w:tc>
          <w:tcPr>
            <w:tcW w:w="2150" w:type="dxa"/>
            <w:vAlign w:val="center"/>
          </w:tcPr>
          <w:p w14:paraId="7BDE504F">
            <w:pPr>
              <w:jc w:val="center"/>
              <w:rPr>
                <w:rFonts w:ascii="宋体" w:hAnsi="宋体" w:cs="宋体"/>
                <w:sz w:val="24"/>
              </w:rPr>
            </w:pPr>
          </w:p>
        </w:tc>
        <w:tc>
          <w:tcPr>
            <w:tcW w:w="2150" w:type="dxa"/>
            <w:vAlign w:val="center"/>
          </w:tcPr>
          <w:p w14:paraId="4334C882">
            <w:pPr>
              <w:jc w:val="center"/>
              <w:rPr>
                <w:rFonts w:ascii="宋体" w:hAnsi="宋体" w:cs="宋体"/>
                <w:sz w:val="24"/>
              </w:rPr>
            </w:pPr>
          </w:p>
        </w:tc>
      </w:tr>
      <w:tr w14:paraId="2464F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5587F2D4">
            <w:pPr>
              <w:jc w:val="center"/>
              <w:rPr>
                <w:rFonts w:ascii="宋体" w:hAnsi="宋体" w:cs="宋体"/>
                <w:sz w:val="24"/>
              </w:rPr>
            </w:pPr>
            <w:r>
              <w:rPr>
                <w:rFonts w:hint="eastAsia" w:ascii="宋体" w:hAnsi="宋体" w:cs="宋体"/>
                <w:sz w:val="24"/>
              </w:rPr>
              <w:t>2</w:t>
            </w:r>
          </w:p>
        </w:tc>
        <w:tc>
          <w:tcPr>
            <w:tcW w:w="2150" w:type="dxa"/>
            <w:vAlign w:val="center"/>
          </w:tcPr>
          <w:p w14:paraId="6965A7F1">
            <w:pPr>
              <w:jc w:val="center"/>
              <w:rPr>
                <w:rFonts w:ascii="宋体" w:hAnsi="宋体" w:cs="宋体"/>
                <w:sz w:val="24"/>
              </w:rPr>
            </w:pPr>
            <w:r>
              <w:rPr>
                <w:rFonts w:hint="eastAsia" w:ascii="宋体" w:hAnsi="宋体" w:cs="宋体"/>
                <w:sz w:val="24"/>
              </w:rPr>
              <w:t>施工员</w:t>
            </w:r>
          </w:p>
        </w:tc>
        <w:tc>
          <w:tcPr>
            <w:tcW w:w="2150" w:type="dxa"/>
            <w:vAlign w:val="center"/>
          </w:tcPr>
          <w:p w14:paraId="7DCAC6A2">
            <w:pPr>
              <w:jc w:val="center"/>
              <w:rPr>
                <w:rFonts w:ascii="宋体" w:hAnsi="宋体" w:cs="宋体"/>
                <w:sz w:val="24"/>
              </w:rPr>
            </w:pPr>
          </w:p>
        </w:tc>
        <w:tc>
          <w:tcPr>
            <w:tcW w:w="2150" w:type="dxa"/>
            <w:vAlign w:val="center"/>
          </w:tcPr>
          <w:p w14:paraId="3360D6C6">
            <w:pPr>
              <w:jc w:val="center"/>
              <w:rPr>
                <w:rFonts w:ascii="宋体" w:hAnsi="宋体" w:cs="宋体"/>
                <w:sz w:val="24"/>
              </w:rPr>
            </w:pPr>
          </w:p>
        </w:tc>
        <w:tc>
          <w:tcPr>
            <w:tcW w:w="2150" w:type="dxa"/>
            <w:vAlign w:val="center"/>
          </w:tcPr>
          <w:p w14:paraId="0D367B37">
            <w:pPr>
              <w:jc w:val="center"/>
              <w:rPr>
                <w:rFonts w:ascii="宋体" w:hAnsi="宋体" w:cs="宋体"/>
                <w:sz w:val="24"/>
              </w:rPr>
            </w:pPr>
          </w:p>
        </w:tc>
      </w:tr>
      <w:tr w14:paraId="48A06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1389F083">
            <w:pPr>
              <w:jc w:val="center"/>
              <w:rPr>
                <w:rFonts w:ascii="宋体" w:hAnsi="宋体" w:cs="宋体"/>
                <w:sz w:val="24"/>
              </w:rPr>
            </w:pPr>
            <w:r>
              <w:rPr>
                <w:rFonts w:hint="eastAsia" w:ascii="宋体" w:hAnsi="宋体" w:cs="宋体"/>
                <w:sz w:val="24"/>
              </w:rPr>
              <w:t>3</w:t>
            </w:r>
          </w:p>
        </w:tc>
        <w:tc>
          <w:tcPr>
            <w:tcW w:w="2150" w:type="dxa"/>
            <w:vAlign w:val="center"/>
          </w:tcPr>
          <w:p w14:paraId="6EF2FB3A">
            <w:pPr>
              <w:jc w:val="center"/>
              <w:rPr>
                <w:rFonts w:ascii="宋体" w:hAnsi="宋体" w:cs="宋体"/>
                <w:sz w:val="24"/>
              </w:rPr>
            </w:pPr>
            <w:r>
              <w:rPr>
                <w:rFonts w:hint="eastAsia" w:ascii="宋体" w:hAnsi="宋体" w:cs="宋体"/>
                <w:sz w:val="24"/>
              </w:rPr>
              <w:t>资料员</w:t>
            </w:r>
          </w:p>
        </w:tc>
        <w:tc>
          <w:tcPr>
            <w:tcW w:w="2150" w:type="dxa"/>
            <w:vAlign w:val="center"/>
          </w:tcPr>
          <w:p w14:paraId="28553284">
            <w:pPr>
              <w:jc w:val="center"/>
              <w:rPr>
                <w:rFonts w:ascii="宋体" w:hAnsi="宋体" w:cs="宋体"/>
                <w:sz w:val="24"/>
              </w:rPr>
            </w:pPr>
          </w:p>
        </w:tc>
        <w:tc>
          <w:tcPr>
            <w:tcW w:w="2150" w:type="dxa"/>
            <w:vAlign w:val="center"/>
          </w:tcPr>
          <w:p w14:paraId="1C4C353D">
            <w:pPr>
              <w:jc w:val="center"/>
              <w:rPr>
                <w:rFonts w:ascii="宋体" w:hAnsi="宋体" w:cs="宋体"/>
                <w:sz w:val="24"/>
              </w:rPr>
            </w:pPr>
          </w:p>
        </w:tc>
        <w:tc>
          <w:tcPr>
            <w:tcW w:w="2150" w:type="dxa"/>
            <w:vAlign w:val="center"/>
          </w:tcPr>
          <w:p w14:paraId="7B8FAA28">
            <w:pPr>
              <w:jc w:val="center"/>
              <w:rPr>
                <w:rFonts w:ascii="宋体" w:hAnsi="宋体" w:cs="宋体"/>
                <w:sz w:val="24"/>
              </w:rPr>
            </w:pPr>
          </w:p>
        </w:tc>
      </w:tr>
      <w:tr w14:paraId="7DBD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1A73C454">
            <w:pPr>
              <w:jc w:val="center"/>
              <w:rPr>
                <w:rFonts w:ascii="宋体" w:hAnsi="宋体" w:cs="宋体"/>
                <w:sz w:val="24"/>
              </w:rPr>
            </w:pPr>
            <w:r>
              <w:rPr>
                <w:rFonts w:hint="eastAsia" w:ascii="宋体" w:hAnsi="宋体" w:cs="宋体"/>
                <w:sz w:val="24"/>
              </w:rPr>
              <w:t>4</w:t>
            </w:r>
          </w:p>
        </w:tc>
        <w:tc>
          <w:tcPr>
            <w:tcW w:w="2150" w:type="dxa"/>
            <w:vAlign w:val="center"/>
          </w:tcPr>
          <w:p w14:paraId="7D27B46D">
            <w:pPr>
              <w:jc w:val="center"/>
              <w:rPr>
                <w:rFonts w:ascii="宋体" w:hAnsi="宋体" w:cs="宋体"/>
                <w:sz w:val="24"/>
              </w:rPr>
            </w:pPr>
            <w:r>
              <w:rPr>
                <w:rFonts w:hint="eastAsia" w:ascii="宋体" w:hAnsi="宋体" w:cs="宋体"/>
                <w:sz w:val="24"/>
              </w:rPr>
              <w:t>安全员</w:t>
            </w:r>
          </w:p>
        </w:tc>
        <w:tc>
          <w:tcPr>
            <w:tcW w:w="2150" w:type="dxa"/>
            <w:vAlign w:val="center"/>
          </w:tcPr>
          <w:p w14:paraId="28DCDD65">
            <w:pPr>
              <w:jc w:val="center"/>
              <w:rPr>
                <w:rFonts w:ascii="宋体" w:hAnsi="宋体" w:cs="宋体"/>
                <w:sz w:val="24"/>
              </w:rPr>
            </w:pPr>
          </w:p>
        </w:tc>
        <w:tc>
          <w:tcPr>
            <w:tcW w:w="2150" w:type="dxa"/>
            <w:vAlign w:val="center"/>
          </w:tcPr>
          <w:p w14:paraId="684CEB71">
            <w:pPr>
              <w:jc w:val="center"/>
              <w:rPr>
                <w:rFonts w:ascii="宋体" w:hAnsi="宋体" w:cs="宋体"/>
                <w:sz w:val="24"/>
              </w:rPr>
            </w:pPr>
          </w:p>
        </w:tc>
        <w:tc>
          <w:tcPr>
            <w:tcW w:w="2150" w:type="dxa"/>
            <w:vAlign w:val="center"/>
          </w:tcPr>
          <w:p w14:paraId="4A0708E2">
            <w:pPr>
              <w:jc w:val="center"/>
              <w:rPr>
                <w:rFonts w:ascii="宋体" w:hAnsi="宋体" w:cs="宋体"/>
                <w:sz w:val="24"/>
              </w:rPr>
            </w:pPr>
          </w:p>
        </w:tc>
      </w:tr>
      <w:tr w14:paraId="69651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2715BBB5">
            <w:pPr>
              <w:jc w:val="center"/>
              <w:rPr>
                <w:rFonts w:ascii="宋体" w:hAnsi="宋体" w:cs="宋体"/>
                <w:sz w:val="24"/>
              </w:rPr>
            </w:pPr>
            <w:r>
              <w:rPr>
                <w:rFonts w:hint="eastAsia" w:ascii="宋体" w:hAnsi="宋体" w:cs="宋体"/>
                <w:sz w:val="24"/>
              </w:rPr>
              <w:t>5</w:t>
            </w:r>
          </w:p>
        </w:tc>
        <w:tc>
          <w:tcPr>
            <w:tcW w:w="2150" w:type="dxa"/>
            <w:vAlign w:val="center"/>
          </w:tcPr>
          <w:p w14:paraId="157B4F90">
            <w:pPr>
              <w:jc w:val="center"/>
              <w:rPr>
                <w:rFonts w:ascii="宋体" w:hAnsi="宋体" w:cs="宋体"/>
                <w:sz w:val="24"/>
              </w:rPr>
            </w:pPr>
            <w:r>
              <w:rPr>
                <w:rFonts w:hint="eastAsia" w:ascii="宋体" w:hAnsi="宋体" w:cs="宋体"/>
                <w:sz w:val="24"/>
              </w:rPr>
              <w:t>......</w:t>
            </w:r>
          </w:p>
        </w:tc>
        <w:tc>
          <w:tcPr>
            <w:tcW w:w="2150" w:type="dxa"/>
            <w:vAlign w:val="center"/>
          </w:tcPr>
          <w:p w14:paraId="34695730">
            <w:pPr>
              <w:jc w:val="center"/>
              <w:rPr>
                <w:rFonts w:ascii="宋体" w:hAnsi="宋体" w:cs="宋体"/>
                <w:sz w:val="24"/>
              </w:rPr>
            </w:pPr>
          </w:p>
        </w:tc>
        <w:tc>
          <w:tcPr>
            <w:tcW w:w="2150" w:type="dxa"/>
            <w:vAlign w:val="center"/>
          </w:tcPr>
          <w:p w14:paraId="08818133">
            <w:pPr>
              <w:jc w:val="center"/>
              <w:rPr>
                <w:rFonts w:ascii="宋体" w:hAnsi="宋体" w:cs="宋体"/>
                <w:sz w:val="24"/>
              </w:rPr>
            </w:pPr>
          </w:p>
        </w:tc>
        <w:tc>
          <w:tcPr>
            <w:tcW w:w="2150" w:type="dxa"/>
            <w:vAlign w:val="center"/>
          </w:tcPr>
          <w:p w14:paraId="740A1C93">
            <w:pPr>
              <w:jc w:val="center"/>
              <w:rPr>
                <w:rFonts w:ascii="宋体" w:hAnsi="宋体" w:cs="宋体"/>
                <w:sz w:val="24"/>
              </w:rPr>
            </w:pPr>
          </w:p>
        </w:tc>
      </w:tr>
      <w:tr w14:paraId="6085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4335F0AC">
            <w:pPr>
              <w:jc w:val="center"/>
              <w:rPr>
                <w:rFonts w:ascii="宋体" w:hAnsi="宋体" w:cs="宋体"/>
                <w:sz w:val="24"/>
              </w:rPr>
            </w:pPr>
            <w:r>
              <w:rPr>
                <w:rFonts w:hint="eastAsia" w:ascii="宋体" w:hAnsi="宋体" w:cs="宋体"/>
                <w:sz w:val="24"/>
              </w:rPr>
              <w:t>6</w:t>
            </w:r>
          </w:p>
        </w:tc>
        <w:tc>
          <w:tcPr>
            <w:tcW w:w="2150" w:type="dxa"/>
            <w:vAlign w:val="center"/>
          </w:tcPr>
          <w:p w14:paraId="46BDD10F">
            <w:pPr>
              <w:jc w:val="center"/>
              <w:rPr>
                <w:rFonts w:ascii="宋体" w:hAnsi="宋体" w:cs="宋体"/>
                <w:sz w:val="24"/>
              </w:rPr>
            </w:pPr>
          </w:p>
        </w:tc>
        <w:tc>
          <w:tcPr>
            <w:tcW w:w="2150" w:type="dxa"/>
            <w:vAlign w:val="center"/>
          </w:tcPr>
          <w:p w14:paraId="34381269">
            <w:pPr>
              <w:jc w:val="center"/>
              <w:rPr>
                <w:rFonts w:ascii="宋体" w:hAnsi="宋体" w:cs="宋体"/>
                <w:sz w:val="24"/>
              </w:rPr>
            </w:pPr>
          </w:p>
        </w:tc>
        <w:tc>
          <w:tcPr>
            <w:tcW w:w="2150" w:type="dxa"/>
            <w:vAlign w:val="center"/>
          </w:tcPr>
          <w:p w14:paraId="5E35BA67">
            <w:pPr>
              <w:jc w:val="center"/>
              <w:rPr>
                <w:rFonts w:ascii="宋体" w:hAnsi="宋体" w:cs="宋体"/>
                <w:sz w:val="24"/>
              </w:rPr>
            </w:pPr>
          </w:p>
        </w:tc>
        <w:tc>
          <w:tcPr>
            <w:tcW w:w="2150" w:type="dxa"/>
            <w:vAlign w:val="center"/>
          </w:tcPr>
          <w:p w14:paraId="032C256B">
            <w:pPr>
              <w:jc w:val="center"/>
              <w:rPr>
                <w:rFonts w:ascii="宋体" w:hAnsi="宋体" w:cs="宋体"/>
                <w:sz w:val="24"/>
              </w:rPr>
            </w:pPr>
          </w:p>
        </w:tc>
      </w:tr>
      <w:tr w14:paraId="7CCB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370D5982">
            <w:pPr>
              <w:jc w:val="center"/>
              <w:rPr>
                <w:rFonts w:ascii="宋体" w:hAnsi="宋体" w:cs="宋体"/>
                <w:sz w:val="24"/>
              </w:rPr>
            </w:pPr>
            <w:r>
              <w:rPr>
                <w:rFonts w:hint="eastAsia" w:ascii="宋体" w:hAnsi="宋体" w:cs="宋体"/>
                <w:sz w:val="24"/>
              </w:rPr>
              <w:t>7</w:t>
            </w:r>
          </w:p>
        </w:tc>
        <w:tc>
          <w:tcPr>
            <w:tcW w:w="2150" w:type="dxa"/>
            <w:vAlign w:val="center"/>
          </w:tcPr>
          <w:p w14:paraId="40C55AE7">
            <w:pPr>
              <w:jc w:val="center"/>
              <w:rPr>
                <w:rFonts w:ascii="宋体" w:hAnsi="宋体" w:cs="宋体"/>
                <w:sz w:val="24"/>
              </w:rPr>
            </w:pPr>
          </w:p>
        </w:tc>
        <w:tc>
          <w:tcPr>
            <w:tcW w:w="2150" w:type="dxa"/>
            <w:vAlign w:val="center"/>
          </w:tcPr>
          <w:p w14:paraId="1F1E80D9">
            <w:pPr>
              <w:jc w:val="center"/>
              <w:rPr>
                <w:rFonts w:ascii="宋体" w:hAnsi="宋体" w:cs="宋体"/>
                <w:sz w:val="24"/>
              </w:rPr>
            </w:pPr>
          </w:p>
        </w:tc>
        <w:tc>
          <w:tcPr>
            <w:tcW w:w="2150" w:type="dxa"/>
            <w:vAlign w:val="center"/>
          </w:tcPr>
          <w:p w14:paraId="6FBA42D6">
            <w:pPr>
              <w:jc w:val="center"/>
              <w:rPr>
                <w:rFonts w:ascii="宋体" w:hAnsi="宋体" w:cs="宋体"/>
                <w:sz w:val="24"/>
              </w:rPr>
            </w:pPr>
          </w:p>
        </w:tc>
        <w:tc>
          <w:tcPr>
            <w:tcW w:w="2150" w:type="dxa"/>
            <w:vAlign w:val="center"/>
          </w:tcPr>
          <w:p w14:paraId="7556C78E">
            <w:pPr>
              <w:jc w:val="center"/>
              <w:rPr>
                <w:rFonts w:ascii="宋体" w:hAnsi="宋体" w:cs="宋体"/>
                <w:sz w:val="24"/>
              </w:rPr>
            </w:pPr>
          </w:p>
        </w:tc>
      </w:tr>
      <w:tr w14:paraId="72E91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6E47051B">
            <w:pPr>
              <w:jc w:val="center"/>
              <w:rPr>
                <w:rFonts w:ascii="宋体" w:hAnsi="宋体" w:cs="宋体"/>
                <w:sz w:val="24"/>
              </w:rPr>
            </w:pPr>
            <w:r>
              <w:rPr>
                <w:rFonts w:hint="eastAsia" w:ascii="宋体" w:hAnsi="宋体" w:cs="宋体"/>
                <w:sz w:val="24"/>
              </w:rPr>
              <w:t>8</w:t>
            </w:r>
          </w:p>
        </w:tc>
        <w:tc>
          <w:tcPr>
            <w:tcW w:w="2150" w:type="dxa"/>
            <w:vAlign w:val="center"/>
          </w:tcPr>
          <w:p w14:paraId="58DA6171">
            <w:pPr>
              <w:jc w:val="center"/>
              <w:rPr>
                <w:rFonts w:ascii="宋体" w:hAnsi="宋体" w:cs="宋体"/>
                <w:sz w:val="24"/>
              </w:rPr>
            </w:pPr>
          </w:p>
        </w:tc>
        <w:tc>
          <w:tcPr>
            <w:tcW w:w="2150" w:type="dxa"/>
            <w:vAlign w:val="center"/>
          </w:tcPr>
          <w:p w14:paraId="6C5F645B">
            <w:pPr>
              <w:jc w:val="center"/>
              <w:rPr>
                <w:rFonts w:ascii="宋体" w:hAnsi="宋体" w:cs="宋体"/>
                <w:sz w:val="24"/>
              </w:rPr>
            </w:pPr>
          </w:p>
        </w:tc>
        <w:tc>
          <w:tcPr>
            <w:tcW w:w="2150" w:type="dxa"/>
            <w:vAlign w:val="center"/>
          </w:tcPr>
          <w:p w14:paraId="0435F46B">
            <w:pPr>
              <w:jc w:val="center"/>
              <w:rPr>
                <w:rFonts w:ascii="宋体" w:hAnsi="宋体" w:cs="宋体"/>
                <w:sz w:val="24"/>
              </w:rPr>
            </w:pPr>
          </w:p>
        </w:tc>
        <w:tc>
          <w:tcPr>
            <w:tcW w:w="2150" w:type="dxa"/>
            <w:vAlign w:val="center"/>
          </w:tcPr>
          <w:p w14:paraId="3823EF9B">
            <w:pPr>
              <w:jc w:val="center"/>
              <w:rPr>
                <w:rFonts w:ascii="宋体" w:hAnsi="宋体" w:cs="宋体"/>
                <w:sz w:val="24"/>
              </w:rPr>
            </w:pPr>
          </w:p>
        </w:tc>
      </w:tr>
      <w:tr w14:paraId="0E78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00E78525">
            <w:pPr>
              <w:jc w:val="center"/>
              <w:rPr>
                <w:rFonts w:ascii="宋体" w:hAnsi="宋体" w:cs="宋体"/>
                <w:sz w:val="24"/>
              </w:rPr>
            </w:pPr>
            <w:r>
              <w:rPr>
                <w:rFonts w:hint="eastAsia" w:ascii="宋体" w:hAnsi="宋体" w:cs="宋体"/>
                <w:sz w:val="24"/>
              </w:rPr>
              <w:t>9</w:t>
            </w:r>
          </w:p>
        </w:tc>
        <w:tc>
          <w:tcPr>
            <w:tcW w:w="2150" w:type="dxa"/>
            <w:vAlign w:val="center"/>
          </w:tcPr>
          <w:p w14:paraId="09B41834">
            <w:pPr>
              <w:jc w:val="center"/>
              <w:rPr>
                <w:rFonts w:ascii="宋体" w:hAnsi="宋体" w:cs="宋体"/>
                <w:sz w:val="24"/>
              </w:rPr>
            </w:pPr>
          </w:p>
        </w:tc>
        <w:tc>
          <w:tcPr>
            <w:tcW w:w="2150" w:type="dxa"/>
            <w:vAlign w:val="center"/>
          </w:tcPr>
          <w:p w14:paraId="2B1DDAD7">
            <w:pPr>
              <w:jc w:val="center"/>
              <w:rPr>
                <w:rFonts w:ascii="宋体" w:hAnsi="宋体" w:cs="宋体"/>
                <w:sz w:val="24"/>
              </w:rPr>
            </w:pPr>
          </w:p>
        </w:tc>
        <w:tc>
          <w:tcPr>
            <w:tcW w:w="2150" w:type="dxa"/>
            <w:vAlign w:val="center"/>
          </w:tcPr>
          <w:p w14:paraId="6DCC757A">
            <w:pPr>
              <w:jc w:val="center"/>
              <w:rPr>
                <w:rFonts w:ascii="宋体" w:hAnsi="宋体" w:cs="宋体"/>
                <w:sz w:val="24"/>
              </w:rPr>
            </w:pPr>
          </w:p>
        </w:tc>
        <w:tc>
          <w:tcPr>
            <w:tcW w:w="2150" w:type="dxa"/>
            <w:vAlign w:val="center"/>
          </w:tcPr>
          <w:p w14:paraId="7C3AE562">
            <w:pPr>
              <w:jc w:val="center"/>
              <w:rPr>
                <w:rFonts w:ascii="宋体" w:hAnsi="宋体" w:cs="宋体"/>
                <w:sz w:val="24"/>
              </w:rPr>
            </w:pPr>
          </w:p>
        </w:tc>
      </w:tr>
      <w:tr w14:paraId="0F5C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112" w:type="dxa"/>
            <w:vAlign w:val="center"/>
          </w:tcPr>
          <w:p w14:paraId="06F6C0A4">
            <w:pPr>
              <w:jc w:val="center"/>
              <w:rPr>
                <w:rFonts w:ascii="宋体" w:hAnsi="宋体" w:cs="宋体"/>
                <w:sz w:val="24"/>
              </w:rPr>
            </w:pPr>
            <w:r>
              <w:rPr>
                <w:rFonts w:hint="eastAsia" w:ascii="宋体" w:hAnsi="宋体" w:cs="宋体"/>
                <w:sz w:val="24"/>
              </w:rPr>
              <w:t>10</w:t>
            </w:r>
          </w:p>
        </w:tc>
        <w:tc>
          <w:tcPr>
            <w:tcW w:w="2150" w:type="dxa"/>
            <w:vAlign w:val="center"/>
          </w:tcPr>
          <w:p w14:paraId="39882EF2">
            <w:pPr>
              <w:jc w:val="center"/>
              <w:rPr>
                <w:rFonts w:ascii="宋体" w:hAnsi="宋体" w:cs="宋体"/>
                <w:sz w:val="24"/>
              </w:rPr>
            </w:pPr>
          </w:p>
        </w:tc>
        <w:tc>
          <w:tcPr>
            <w:tcW w:w="2150" w:type="dxa"/>
            <w:vAlign w:val="center"/>
          </w:tcPr>
          <w:p w14:paraId="1F07571E">
            <w:pPr>
              <w:jc w:val="center"/>
              <w:rPr>
                <w:rFonts w:ascii="宋体" w:hAnsi="宋体" w:cs="宋体"/>
                <w:sz w:val="24"/>
              </w:rPr>
            </w:pPr>
          </w:p>
        </w:tc>
        <w:tc>
          <w:tcPr>
            <w:tcW w:w="2150" w:type="dxa"/>
            <w:vAlign w:val="center"/>
          </w:tcPr>
          <w:p w14:paraId="0B7FFD7F">
            <w:pPr>
              <w:jc w:val="center"/>
              <w:rPr>
                <w:rFonts w:ascii="宋体" w:hAnsi="宋体" w:cs="宋体"/>
                <w:sz w:val="24"/>
              </w:rPr>
            </w:pPr>
          </w:p>
        </w:tc>
        <w:tc>
          <w:tcPr>
            <w:tcW w:w="2150" w:type="dxa"/>
            <w:vAlign w:val="center"/>
          </w:tcPr>
          <w:p w14:paraId="522BD236">
            <w:pPr>
              <w:jc w:val="center"/>
              <w:rPr>
                <w:rFonts w:ascii="宋体" w:hAnsi="宋体" w:cs="宋体"/>
                <w:sz w:val="24"/>
              </w:rPr>
            </w:pPr>
          </w:p>
        </w:tc>
      </w:tr>
    </w:tbl>
    <w:p w14:paraId="7D71B857">
      <w:pPr>
        <w:widowControl/>
        <w:ind w:firstLine="622"/>
        <w:rPr>
          <w:rFonts w:ascii="宋体" w:hAnsi="宋体" w:cs="宋体"/>
          <w:b/>
          <w:kern w:val="0"/>
          <w:sz w:val="31"/>
          <w:szCs w:val="31"/>
          <w:lang w:bidi="ar"/>
        </w:rPr>
        <w:sectPr>
          <w:pgSz w:w="11906" w:h="16838"/>
          <w:pgMar w:top="1417" w:right="1417" w:bottom="1417" w:left="1417" w:header="851" w:footer="992" w:gutter="0"/>
          <w:cols w:space="425" w:num="1"/>
          <w:docGrid w:type="lines" w:linePitch="312" w:charSpace="0"/>
        </w:sectPr>
      </w:pPr>
    </w:p>
    <w:p w14:paraId="5FA6218F">
      <w:pPr>
        <w:spacing w:line="360" w:lineRule="auto"/>
        <w:ind w:firstLine="482"/>
        <w:rPr>
          <w:rFonts w:ascii="宋体" w:hAnsi="宋体" w:cs="宋体"/>
          <w:b/>
          <w:sz w:val="24"/>
        </w:rPr>
      </w:pPr>
      <w:r>
        <w:rPr>
          <w:rFonts w:hint="eastAsia" w:ascii="宋体" w:hAnsi="宋体" w:cs="宋体"/>
          <w:b/>
          <w:sz w:val="24"/>
        </w:rPr>
        <w:t>附件 3 ：</w:t>
      </w:r>
    </w:p>
    <w:p w14:paraId="1475A0A4">
      <w:pPr>
        <w:spacing w:before="120" w:beforeLines="50" w:after="120" w:afterLines="50" w:line="440" w:lineRule="exact"/>
        <w:jc w:val="center"/>
        <w:rPr>
          <w:rFonts w:ascii="宋体" w:hAnsi="宋体" w:cs="宋体"/>
          <w:color w:val="231F20"/>
          <w:spacing w:val="-4"/>
        </w:rPr>
      </w:pPr>
      <w:r>
        <w:rPr>
          <w:rFonts w:hint="eastAsia" w:ascii="宋体" w:hAnsi="宋体" w:cs="宋体"/>
          <w:color w:val="000000"/>
          <w:sz w:val="30"/>
          <w:szCs w:val="30"/>
        </w:rPr>
        <w:t>工程质量保修书</w:t>
      </w:r>
    </w:p>
    <w:p w14:paraId="04A5CE21">
      <w:pPr>
        <w:pStyle w:val="2"/>
        <w:tabs>
          <w:tab w:val="left" w:pos="9188"/>
        </w:tabs>
        <w:spacing w:before="22"/>
        <w:ind w:left="557" w:right="209"/>
        <w:rPr>
          <w:rFonts w:cs="宋体"/>
          <w:color w:val="231F20"/>
        </w:rPr>
      </w:pPr>
      <w:r>
        <w:rPr>
          <w:rFonts w:hint="eastAsia" w:cs="宋体"/>
          <w:color w:val="231F20"/>
        </w:rPr>
        <w:t>采购人（全称</w:t>
      </w:r>
      <w:r>
        <w:rPr>
          <w:rFonts w:hint="eastAsia" w:cs="宋体"/>
          <w:color w:val="231F20"/>
          <w:spacing w:val="-28"/>
        </w:rPr>
        <w:t>）：</w:t>
      </w:r>
      <w:r>
        <w:rPr>
          <w:rFonts w:hint="eastAsia" w:cs="宋体"/>
          <w:color w:val="231F20"/>
        </w:rPr>
        <w:tab/>
      </w:r>
    </w:p>
    <w:p w14:paraId="29456CCA">
      <w:pPr>
        <w:pStyle w:val="2"/>
        <w:tabs>
          <w:tab w:val="left" w:pos="9188"/>
        </w:tabs>
        <w:spacing w:before="22"/>
        <w:ind w:left="557" w:right="209"/>
        <w:rPr>
          <w:rFonts w:cs="宋体"/>
        </w:rPr>
      </w:pPr>
      <w:r>
        <w:rPr>
          <w:rFonts w:hint="eastAsia" w:cs="宋体"/>
          <w:color w:val="231F20"/>
        </w:rPr>
        <w:t>供应商（全称</w:t>
      </w:r>
      <w:r>
        <w:rPr>
          <w:rFonts w:hint="eastAsia" w:cs="宋体"/>
          <w:color w:val="231F20"/>
          <w:spacing w:val="-28"/>
        </w:rPr>
        <w:t>）：</w:t>
      </w:r>
      <w:r>
        <w:rPr>
          <w:rFonts w:hint="eastAsia" w:cs="宋体"/>
          <w:color w:val="231F20"/>
          <w:spacing w:val="-28"/>
        </w:rPr>
        <w:tab/>
      </w:r>
    </w:p>
    <w:p w14:paraId="1F5C50CC">
      <w:pPr>
        <w:pStyle w:val="2"/>
        <w:tabs>
          <w:tab w:val="left" w:pos="1547"/>
        </w:tabs>
        <w:ind w:right="223" w:firstLine="440"/>
        <w:rPr>
          <w:rFonts w:cs="宋体"/>
        </w:rPr>
      </w:pPr>
      <w:r>
        <w:rPr>
          <w:rFonts w:hint="eastAsia" w:cs="宋体"/>
          <w:color w:val="231F20"/>
          <w:spacing w:val="2"/>
        </w:rPr>
        <w:t>采购人和供应商根</w:t>
      </w:r>
      <w:r>
        <w:rPr>
          <w:rFonts w:hint="eastAsia" w:cs="宋体"/>
          <w:color w:val="231F20"/>
        </w:rPr>
        <w:t>据</w:t>
      </w:r>
      <w:r>
        <w:rPr>
          <w:rFonts w:hint="eastAsia" w:cs="宋体"/>
          <w:color w:val="231F20"/>
          <w:spacing w:val="2"/>
        </w:rPr>
        <w:t>《中华人民共和国建筑法》</w:t>
      </w:r>
      <w:r>
        <w:rPr>
          <w:rFonts w:hint="eastAsia" w:cs="宋体"/>
          <w:color w:val="231F20"/>
        </w:rPr>
        <w:t>和</w:t>
      </w:r>
      <w:r>
        <w:rPr>
          <w:rFonts w:hint="eastAsia" w:cs="宋体"/>
          <w:color w:val="231F20"/>
          <w:spacing w:val="2"/>
        </w:rPr>
        <w:t>《建设工程质量管理条例</w:t>
      </w:r>
      <w:r>
        <w:rPr>
          <w:rFonts w:hint="eastAsia" w:cs="宋体"/>
          <w:color w:val="231F20"/>
          <w:spacing w:val="-110"/>
        </w:rPr>
        <w:t>》</w:t>
      </w:r>
      <w:r>
        <w:rPr>
          <w:rFonts w:hint="eastAsia" w:cs="宋体"/>
          <w:color w:val="231F20"/>
          <w:spacing w:val="2"/>
        </w:rPr>
        <w:t>，经协商一</w:t>
      </w:r>
      <w:r>
        <w:rPr>
          <w:rFonts w:hint="eastAsia" w:cs="宋体"/>
          <w:color w:val="231F20"/>
        </w:rPr>
        <w:t>致就</w:t>
      </w:r>
      <w:r>
        <w:rPr>
          <w:rFonts w:hint="eastAsia" w:cs="宋体"/>
          <w:color w:val="231F20"/>
          <w:u w:val="single" w:color="231F20"/>
        </w:rPr>
        <w:t xml:space="preserve"> </w:t>
      </w:r>
      <w:r>
        <w:rPr>
          <w:rFonts w:hint="eastAsia" w:cs="宋体"/>
          <w:color w:val="231F20"/>
          <w:u w:val="single" w:color="231F20"/>
        </w:rPr>
        <w:tab/>
      </w:r>
      <w:r>
        <w:rPr>
          <w:rFonts w:hint="eastAsia" w:cs="宋体"/>
          <w:color w:val="231F20"/>
          <w:u w:val="single" w:color="231F20"/>
        </w:rPr>
        <w:t>（</w:t>
      </w:r>
      <w:r>
        <w:rPr>
          <w:rFonts w:hint="eastAsia" w:cs="宋体"/>
          <w:color w:val="231F20"/>
        </w:rPr>
        <w:t>工程全称）签订工程质量保修书。</w:t>
      </w:r>
    </w:p>
    <w:p w14:paraId="52C352D6">
      <w:pPr>
        <w:pStyle w:val="4"/>
        <w:spacing w:before="176" w:line="360" w:lineRule="auto"/>
        <w:rPr>
          <w:rFonts w:ascii="宋体" w:hAnsi="宋体" w:eastAsia="宋体" w:cs="宋体"/>
        </w:rPr>
      </w:pPr>
      <w:r>
        <w:rPr>
          <w:rFonts w:hint="eastAsia" w:ascii="宋体" w:hAnsi="宋体" w:eastAsia="宋体" w:cs="宋体"/>
          <w:color w:val="231F20"/>
        </w:rPr>
        <w:t>一、工程质量保修范围和内容</w:t>
      </w:r>
    </w:p>
    <w:p w14:paraId="32F0D1C0">
      <w:pPr>
        <w:pStyle w:val="2"/>
        <w:spacing w:before="1"/>
        <w:ind w:left="557"/>
        <w:rPr>
          <w:rFonts w:cs="宋体"/>
        </w:rPr>
      </w:pPr>
      <w:r>
        <w:rPr>
          <w:rFonts w:hint="eastAsia" w:cs="宋体"/>
          <w:color w:val="231F20"/>
        </w:rPr>
        <w:t>供应商在质量保修期内，按照有关法律规定和合同约定，承担工程质量保修责任。</w:t>
      </w:r>
    </w:p>
    <w:p w14:paraId="7E4626B5">
      <w:pPr>
        <w:pStyle w:val="2"/>
        <w:ind w:right="223" w:firstLine="440"/>
        <w:rPr>
          <w:rFonts w:cs="宋体"/>
        </w:rPr>
      </w:pPr>
      <w:r>
        <w:rPr>
          <w:rFonts w:hint="eastAsia" w:cs="宋体"/>
          <w:color w:val="231F20"/>
        </w:rPr>
        <w:t>质量保修范围包括</w:t>
      </w:r>
      <w:r>
        <w:rPr>
          <w:rFonts w:hint="eastAsia" w:cs="宋体"/>
          <w:color w:val="231F20"/>
          <w:u w:val="single"/>
        </w:rPr>
        <w:t xml:space="preserve">                  </w:t>
      </w:r>
      <w:r>
        <w:rPr>
          <w:rFonts w:hint="eastAsia" w:cs="宋体"/>
          <w:color w:val="231F20"/>
        </w:rPr>
        <w:t>，以及双方约定的其他项目。具体保修的内容，双方约定如下：</w:t>
      </w:r>
    </w:p>
    <w:p w14:paraId="22D593D1">
      <w:pPr>
        <w:pStyle w:val="2"/>
        <w:tabs>
          <w:tab w:val="left" w:pos="9078"/>
        </w:tabs>
        <w:spacing w:before="25"/>
        <w:ind w:left="557"/>
        <w:rPr>
          <w:rFonts w:cs="宋体"/>
        </w:rPr>
      </w:pP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w:t>
      </w:r>
    </w:p>
    <w:p w14:paraId="332A866D">
      <w:pPr>
        <w:pStyle w:val="4"/>
        <w:spacing w:line="360" w:lineRule="auto"/>
        <w:rPr>
          <w:rFonts w:ascii="宋体" w:hAnsi="宋体" w:eastAsia="宋体" w:cs="宋体"/>
        </w:rPr>
      </w:pPr>
      <w:r>
        <w:rPr>
          <w:rFonts w:hint="eastAsia" w:ascii="宋体" w:hAnsi="宋体" w:eastAsia="宋体" w:cs="宋体"/>
          <w:color w:val="231F20"/>
        </w:rPr>
        <w:t>二、质量保修期</w:t>
      </w:r>
    </w:p>
    <w:p w14:paraId="7D1B26F8">
      <w:pPr>
        <w:pStyle w:val="2"/>
        <w:ind w:left="557" w:right="1903"/>
        <w:rPr>
          <w:rFonts w:cs="宋体"/>
        </w:rPr>
      </w:pPr>
      <w:r>
        <w:rPr>
          <w:rFonts w:hint="eastAsia" w:cs="宋体"/>
          <w:color w:val="231F20"/>
        </w:rPr>
        <w:t>根据《建设工程质量管理条例》及有关规定，工程的质量保修期如下： 1．地基基础工程和主体结构工程为设计文件规定的工程合理使用年限；</w:t>
      </w:r>
    </w:p>
    <w:p w14:paraId="6937BB1C">
      <w:pPr>
        <w:pStyle w:val="2"/>
        <w:tabs>
          <w:tab w:val="left" w:pos="7926"/>
        </w:tabs>
        <w:spacing w:before="25"/>
        <w:ind w:left="557"/>
        <w:rPr>
          <w:rFonts w:cs="宋体"/>
        </w:rPr>
      </w:pPr>
      <w:r>
        <w:rPr>
          <w:rFonts w:hint="eastAsia" w:cs="宋体"/>
          <w:color w:val="231F20"/>
        </w:rPr>
        <w:t>2．屋面防水工程、有防水要求的卫生间、房间和外墙面的防渗为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年；</w:t>
      </w:r>
    </w:p>
    <w:p w14:paraId="1E2270C0">
      <w:pPr>
        <w:pStyle w:val="2"/>
        <w:tabs>
          <w:tab w:val="left" w:pos="3306"/>
        </w:tabs>
        <w:spacing w:before="108"/>
        <w:ind w:left="557"/>
        <w:rPr>
          <w:rFonts w:cs="宋体"/>
        </w:rPr>
      </w:pPr>
      <w:r>
        <w:rPr>
          <w:rFonts w:hint="eastAsia" w:cs="宋体"/>
          <w:color w:val="231F20"/>
        </w:rPr>
        <w:t>3．装修工程为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年；</w:t>
      </w:r>
    </w:p>
    <w:p w14:paraId="2A5BACB7">
      <w:pPr>
        <w:pStyle w:val="2"/>
        <w:tabs>
          <w:tab w:val="left" w:pos="5946"/>
        </w:tabs>
        <w:spacing w:before="108"/>
        <w:ind w:left="557"/>
        <w:rPr>
          <w:rFonts w:cs="宋体"/>
        </w:rPr>
      </w:pPr>
      <w:r>
        <w:rPr>
          <w:rFonts w:hint="eastAsia" w:cs="宋体"/>
          <w:color w:val="231F20"/>
        </w:rPr>
        <w:t>4．电气管线、给排水管道、设备安装工程为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年；</w:t>
      </w:r>
    </w:p>
    <w:p w14:paraId="3D84DFF9">
      <w:pPr>
        <w:pStyle w:val="2"/>
        <w:tabs>
          <w:tab w:val="left" w:pos="3746"/>
        </w:tabs>
        <w:spacing w:before="108"/>
        <w:ind w:left="557"/>
        <w:rPr>
          <w:rFonts w:cs="宋体"/>
        </w:rPr>
      </w:pPr>
      <w:r>
        <w:rPr>
          <w:rFonts w:hint="eastAsia" w:cs="宋体"/>
          <w:color w:val="231F20"/>
        </w:rPr>
        <w:t>5．供热与供冷系统为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个采暖期、供冷期；</w:t>
      </w:r>
    </w:p>
    <w:p w14:paraId="175F1116">
      <w:pPr>
        <w:pStyle w:val="2"/>
        <w:tabs>
          <w:tab w:val="left" w:pos="6606"/>
        </w:tabs>
        <w:spacing w:before="108"/>
        <w:ind w:left="557"/>
        <w:rPr>
          <w:rFonts w:cs="宋体"/>
        </w:rPr>
      </w:pPr>
      <w:r>
        <w:rPr>
          <w:rFonts w:hint="eastAsia" w:cs="宋体"/>
          <w:color w:val="231F20"/>
        </w:rPr>
        <w:t>6．住宅小区内的给排水设施、道路等配套工程为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年；</w:t>
      </w:r>
    </w:p>
    <w:p w14:paraId="7023A77A">
      <w:pPr>
        <w:pStyle w:val="2"/>
        <w:spacing w:before="108"/>
        <w:ind w:left="557"/>
        <w:rPr>
          <w:rFonts w:cs="宋体"/>
        </w:rPr>
      </w:pPr>
      <w:r>
        <w:rPr>
          <w:rFonts w:hint="eastAsia" w:cs="宋体"/>
          <w:color w:val="231F20"/>
        </w:rPr>
        <w:t>7．其他项目保修期限约定如下：</w:t>
      </w:r>
    </w:p>
    <w:p w14:paraId="3792494B">
      <w:pPr>
        <w:pStyle w:val="2"/>
        <w:tabs>
          <w:tab w:val="left" w:pos="9078"/>
        </w:tabs>
        <w:spacing w:before="108"/>
        <w:ind w:left="557" w:right="105"/>
        <w:rPr>
          <w:rFonts w:cs="宋体"/>
        </w:rPr>
      </w:pP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。质量保修期自工程竣工验收合格之日起计算。</w:t>
      </w:r>
    </w:p>
    <w:p w14:paraId="52AA6B7D">
      <w:pPr>
        <w:pStyle w:val="4"/>
        <w:spacing w:before="175" w:line="360" w:lineRule="auto"/>
        <w:rPr>
          <w:rFonts w:ascii="宋体" w:hAnsi="宋体" w:eastAsia="宋体" w:cs="宋体"/>
        </w:rPr>
      </w:pPr>
      <w:r>
        <w:rPr>
          <w:rFonts w:hint="eastAsia" w:ascii="宋体" w:hAnsi="宋体" w:eastAsia="宋体" w:cs="宋体"/>
          <w:color w:val="231F20"/>
        </w:rPr>
        <w:t>三、缺陷责任期</w:t>
      </w:r>
    </w:p>
    <w:p w14:paraId="712D7803">
      <w:pPr>
        <w:pStyle w:val="2"/>
        <w:tabs>
          <w:tab w:val="left" w:pos="3428"/>
        </w:tabs>
        <w:ind w:right="215" w:firstLine="440"/>
        <w:rPr>
          <w:rFonts w:cs="宋体"/>
        </w:rPr>
      </w:pPr>
      <w:r>
        <w:rPr>
          <w:rFonts w:hint="eastAsia" w:cs="宋体"/>
          <w:color w:val="231F20"/>
        </w:rPr>
        <w:t>工程缺陷责任期为</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个月，缺陷责任期自工程通过竣工验收之日起计算。单位工 程先于全部工程进行验收，单位工程缺陷责任期自单位工程验收合格之日起算。</w:t>
      </w:r>
    </w:p>
    <w:p w14:paraId="235134C0">
      <w:pPr>
        <w:pStyle w:val="2"/>
        <w:spacing w:before="25"/>
        <w:ind w:left="557"/>
        <w:rPr>
          <w:rFonts w:cs="宋体"/>
        </w:rPr>
      </w:pPr>
      <w:r>
        <w:rPr>
          <w:rFonts w:hint="eastAsia" w:cs="宋体"/>
          <w:color w:val="231F20"/>
        </w:rPr>
        <w:t>缺陷责任期终止后，采购人应退还剩余的质量保证金。</w:t>
      </w:r>
    </w:p>
    <w:p w14:paraId="5F7DD091">
      <w:pPr>
        <w:pStyle w:val="4"/>
        <w:spacing w:before="4" w:line="360" w:lineRule="auto"/>
        <w:rPr>
          <w:rFonts w:ascii="宋体" w:hAnsi="宋体" w:eastAsia="宋体" w:cs="宋体"/>
        </w:rPr>
      </w:pPr>
      <w:r>
        <w:rPr>
          <w:rFonts w:hint="eastAsia" w:ascii="宋体" w:hAnsi="宋体" w:eastAsia="宋体" w:cs="宋体"/>
          <w:color w:val="231F20"/>
        </w:rPr>
        <w:t>四、质量保修责任</w:t>
      </w:r>
    </w:p>
    <w:p w14:paraId="46970BB6">
      <w:pPr>
        <w:pStyle w:val="2"/>
        <w:ind w:right="223" w:firstLine="440"/>
        <w:rPr>
          <w:rFonts w:cs="宋体"/>
        </w:rPr>
      </w:pPr>
      <w:r>
        <w:rPr>
          <w:rFonts w:hint="eastAsia" w:cs="宋体"/>
          <w:color w:val="231F20"/>
        </w:rPr>
        <w:t>1．属于保修范围、内容的项目，供应商应当在接到保修通知之日起 7 天内派人保修。供应商不在约定期限内派人保修的，采购人可以委托他人修理。</w:t>
      </w:r>
    </w:p>
    <w:p w14:paraId="0B157E41">
      <w:pPr>
        <w:pStyle w:val="2"/>
        <w:spacing w:before="25"/>
        <w:ind w:left="557"/>
        <w:rPr>
          <w:rFonts w:cs="宋体"/>
        </w:rPr>
      </w:pPr>
      <w:r>
        <w:rPr>
          <w:rFonts w:hint="eastAsia" w:cs="宋体"/>
          <w:color w:val="231F20"/>
        </w:rPr>
        <w:t>2．发生紧急事故需抢修的，供应商在接到事故通知后，应当立即到达事故现场抢修。</w:t>
      </w:r>
    </w:p>
    <w:p w14:paraId="6DDA1217">
      <w:pPr>
        <w:pStyle w:val="2"/>
        <w:ind w:right="207" w:firstLine="440"/>
        <w:rPr>
          <w:rFonts w:cs="宋体"/>
        </w:rPr>
      </w:pPr>
      <w:r>
        <w:rPr>
          <w:rFonts w:hint="eastAsia" w:cs="宋体"/>
          <w:color w:val="231F20"/>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0E6F6A7F">
      <w:pPr>
        <w:pStyle w:val="2"/>
        <w:spacing w:before="26"/>
        <w:ind w:left="557"/>
        <w:rPr>
          <w:rFonts w:cs="宋体"/>
        </w:rPr>
      </w:pPr>
      <w:r>
        <w:rPr>
          <w:rFonts w:hint="eastAsia" w:cs="宋体"/>
          <w:color w:val="231F20"/>
        </w:rPr>
        <w:t>4．质量保修完成后，由采购人组织验收。</w:t>
      </w:r>
    </w:p>
    <w:p w14:paraId="0DE0E4A2">
      <w:pPr>
        <w:pStyle w:val="4"/>
        <w:spacing w:line="360" w:lineRule="auto"/>
        <w:rPr>
          <w:rFonts w:ascii="宋体" w:hAnsi="宋体" w:eastAsia="宋体" w:cs="宋体"/>
        </w:rPr>
      </w:pPr>
      <w:r>
        <w:rPr>
          <w:rFonts w:hint="eastAsia" w:ascii="宋体" w:hAnsi="宋体" w:eastAsia="宋体" w:cs="宋体"/>
          <w:color w:val="231F20"/>
        </w:rPr>
        <w:t>五、保修费用</w:t>
      </w:r>
    </w:p>
    <w:p w14:paraId="4F8F7120">
      <w:pPr>
        <w:pStyle w:val="2"/>
        <w:spacing w:before="1"/>
        <w:ind w:left="557"/>
        <w:rPr>
          <w:rFonts w:cs="宋体"/>
        </w:rPr>
      </w:pPr>
      <w:r>
        <w:rPr>
          <w:rFonts w:hint="eastAsia" w:cs="宋体"/>
          <w:color w:val="231F20"/>
        </w:rPr>
        <w:t>保修费用由造成质量缺陷的责任方承担。</w:t>
      </w:r>
    </w:p>
    <w:p w14:paraId="75F88819">
      <w:pPr>
        <w:pStyle w:val="4"/>
        <w:tabs>
          <w:tab w:val="left" w:pos="9188"/>
        </w:tabs>
        <w:spacing w:line="360" w:lineRule="auto"/>
        <w:rPr>
          <w:rFonts w:ascii="宋体" w:hAnsi="宋体" w:eastAsia="宋体" w:cs="宋体"/>
        </w:rPr>
      </w:pPr>
      <w:r>
        <w:rPr>
          <w:rFonts w:hint="eastAsia" w:ascii="宋体" w:hAnsi="宋体" w:eastAsia="宋体" w:cs="宋体"/>
          <w:color w:val="231F20"/>
        </w:rPr>
        <w:t>六、双方约定的其他工程质量保修事项</w:t>
      </w:r>
      <w:r>
        <w:rPr>
          <w:rFonts w:hint="eastAsia" w:ascii="宋体" w:hAnsi="宋体" w:eastAsia="宋体" w:cs="宋体"/>
          <w:color w:val="231F20"/>
          <w:u w:val="single" w:color="231F20"/>
        </w:rPr>
        <w:t>：</w:t>
      </w:r>
      <w:r>
        <w:rPr>
          <w:rFonts w:hint="eastAsia" w:ascii="宋体" w:hAnsi="宋体" w:eastAsia="宋体" w:cs="宋体"/>
          <w:color w:val="231F20"/>
          <w:u w:val="single" w:color="231F20"/>
        </w:rPr>
        <w:tab/>
      </w:r>
    </w:p>
    <w:p w14:paraId="67629C04">
      <w:pPr>
        <w:pStyle w:val="2"/>
        <w:tabs>
          <w:tab w:val="left" w:pos="9078"/>
        </w:tabs>
        <w:spacing w:before="95"/>
        <w:ind w:left="442" w:right="108" w:hanging="442"/>
        <w:rPr>
          <w:rFonts w:cs="宋体"/>
        </w:rPr>
      </w:pPr>
      <w:r>
        <w:rPr>
          <w:rFonts w:hint="eastAsia" w:cs="宋体"/>
          <w:color w:val="231F20"/>
          <w:u w:val="single" w:color="231F20"/>
        </w:rPr>
        <w:t xml:space="preserve"> </w:t>
      </w:r>
      <w:r>
        <w:rPr>
          <w:rFonts w:hint="eastAsia" w:cs="宋体"/>
          <w:color w:val="231F20"/>
          <w:u w:val="single" w:color="231F20"/>
        </w:rPr>
        <w:tab/>
      </w:r>
      <w:r>
        <w:rPr>
          <w:rFonts w:hint="eastAsia" w:cs="宋体"/>
          <w:color w:val="231F20"/>
          <w:u w:val="single" w:color="231F20"/>
        </w:rPr>
        <w:tab/>
      </w:r>
      <w:r>
        <w:rPr>
          <w:rFonts w:hint="eastAsia" w:cs="宋体"/>
          <w:color w:val="231F20"/>
        </w:rPr>
        <w:t>。工程质量保修书由采购人、供应商在工程竣工验收前共同签署，作为施工合同附件，其有效期限至保修期满。</w:t>
      </w:r>
    </w:p>
    <w:p w14:paraId="56733EC7">
      <w:pPr>
        <w:pStyle w:val="2"/>
        <w:tabs>
          <w:tab w:val="left" w:pos="4242"/>
          <w:tab w:val="left" w:pos="5057"/>
          <w:tab w:val="left" w:pos="9188"/>
        </w:tabs>
        <w:spacing w:before="189"/>
        <w:ind w:left="557" w:right="215"/>
        <w:rPr>
          <w:rFonts w:cs="宋体"/>
          <w:color w:val="231F20"/>
        </w:rPr>
      </w:pPr>
      <w:r>
        <w:rPr>
          <w:rFonts w:hint="eastAsia" w:cs="宋体"/>
          <w:color w:val="231F20"/>
        </w:rPr>
        <w:t>采购人（公章</w:t>
      </w:r>
      <w:r>
        <w:rPr>
          <w:rFonts w:hint="eastAsia" w:cs="宋体"/>
          <w:color w:val="231F20"/>
          <w:spacing w:val="-28"/>
        </w:rPr>
        <w:t>）：</w:t>
      </w:r>
      <w:r>
        <w:rPr>
          <w:rFonts w:hint="eastAsia" w:cs="宋体"/>
          <w:color w:val="231F20"/>
          <w:spacing w:val="-28"/>
        </w:rPr>
        <w:tab/>
      </w:r>
      <w:r>
        <w:rPr>
          <w:rFonts w:hint="eastAsia" w:cs="宋体"/>
          <w:color w:val="231F20"/>
          <w:spacing w:val="-28"/>
        </w:rPr>
        <w:tab/>
      </w:r>
      <w:r>
        <w:rPr>
          <w:rFonts w:hint="eastAsia" w:cs="宋体"/>
          <w:color w:val="231F20"/>
        </w:rPr>
        <w:t>供应商（公章</w:t>
      </w:r>
      <w:r>
        <w:rPr>
          <w:rFonts w:hint="eastAsia" w:cs="宋体"/>
          <w:color w:val="231F20"/>
          <w:spacing w:val="-28"/>
        </w:rPr>
        <w:t>）：</w:t>
      </w:r>
      <w:r>
        <w:rPr>
          <w:rFonts w:hint="eastAsia" w:cs="宋体"/>
          <w:color w:val="231F20"/>
        </w:rPr>
        <w:tab/>
      </w:r>
      <w:r>
        <w:rPr>
          <w:rFonts w:hint="eastAsia" w:cs="宋体"/>
          <w:color w:val="231F20"/>
        </w:rPr>
        <w:t xml:space="preserve"> </w:t>
      </w:r>
    </w:p>
    <w:p w14:paraId="2626FC90">
      <w:pPr>
        <w:pStyle w:val="2"/>
        <w:tabs>
          <w:tab w:val="left" w:pos="4242"/>
          <w:tab w:val="left" w:pos="5057"/>
          <w:tab w:val="left" w:pos="9188"/>
        </w:tabs>
        <w:spacing w:before="189"/>
        <w:ind w:left="557" w:right="215"/>
        <w:rPr>
          <w:rFonts w:cs="宋体"/>
          <w:color w:val="231F20"/>
          <w:u w:val="single" w:color="231F20"/>
        </w:rPr>
      </w:pPr>
      <w:r>
        <w:rPr>
          <w:rFonts w:hint="eastAsia" w:cs="宋体"/>
          <w:color w:val="231F20"/>
        </w:rPr>
        <w:t xml:space="preserve">地       </w:t>
      </w:r>
      <w:r>
        <w:rPr>
          <w:rFonts w:hint="eastAsia" w:cs="宋体"/>
          <w:color w:val="231F20"/>
          <w:spacing w:val="5"/>
        </w:rPr>
        <w:t xml:space="preserve"> </w:t>
      </w:r>
      <w:r>
        <w:rPr>
          <w:rFonts w:hint="eastAsia" w:cs="宋体"/>
          <w:color w:val="231F20"/>
        </w:rPr>
        <w:t>址</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 xml:space="preserve">地       </w:t>
      </w:r>
      <w:r>
        <w:rPr>
          <w:rFonts w:hint="eastAsia" w:cs="宋体"/>
          <w:color w:val="231F20"/>
          <w:spacing w:val="5"/>
        </w:rPr>
        <w:t xml:space="preserve"> </w:t>
      </w:r>
      <w:r>
        <w:rPr>
          <w:rFonts w:hint="eastAsia" w:cs="宋体"/>
          <w:color w:val="231F20"/>
        </w:rPr>
        <w:t>址</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 xml:space="preserve"> </w:t>
      </w:r>
    </w:p>
    <w:p w14:paraId="4A78CBBB">
      <w:pPr>
        <w:pStyle w:val="2"/>
        <w:tabs>
          <w:tab w:val="left" w:pos="4242"/>
          <w:tab w:val="left" w:pos="5057"/>
          <w:tab w:val="left" w:pos="9188"/>
        </w:tabs>
        <w:spacing w:before="189"/>
        <w:ind w:left="557" w:right="215"/>
        <w:rPr>
          <w:rFonts w:cs="宋体"/>
          <w:color w:val="231F20"/>
        </w:rPr>
      </w:pPr>
      <w:r>
        <w:rPr>
          <w:rFonts w:hint="eastAsia" w:cs="宋体"/>
          <w:color w:val="231F20"/>
        </w:rPr>
        <w:t>法定代表人（签字</w:t>
      </w:r>
      <w:r>
        <w:rPr>
          <w:rFonts w:hint="eastAsia" w:cs="宋体"/>
          <w:color w:val="231F20"/>
          <w:spacing w:val="-28"/>
        </w:rPr>
        <w:t>）：</w:t>
      </w:r>
      <w:r>
        <w:rPr>
          <w:rFonts w:hint="eastAsia" w:cs="宋体"/>
          <w:color w:val="231F20"/>
          <w:spacing w:val="-28"/>
        </w:rPr>
        <w:tab/>
      </w:r>
      <w:r>
        <w:rPr>
          <w:rFonts w:hint="eastAsia" w:cs="宋体"/>
          <w:color w:val="231F20"/>
          <w:spacing w:val="-28"/>
        </w:rPr>
        <w:tab/>
      </w:r>
      <w:r>
        <w:rPr>
          <w:rFonts w:hint="eastAsia" w:cs="宋体"/>
          <w:color w:val="231F20"/>
        </w:rPr>
        <w:t>法定代表人（签字</w:t>
      </w:r>
      <w:r>
        <w:rPr>
          <w:rFonts w:hint="eastAsia" w:cs="宋体"/>
          <w:color w:val="231F20"/>
          <w:spacing w:val="-28"/>
        </w:rPr>
        <w:t>）：</w:t>
      </w:r>
      <w:r>
        <w:rPr>
          <w:rFonts w:hint="eastAsia" w:cs="宋体"/>
          <w:color w:val="231F20"/>
        </w:rPr>
        <w:tab/>
      </w:r>
      <w:r>
        <w:rPr>
          <w:rFonts w:hint="eastAsia" w:cs="宋体"/>
          <w:color w:val="231F20"/>
        </w:rPr>
        <w:t xml:space="preserve"> </w:t>
      </w:r>
    </w:p>
    <w:p w14:paraId="0BA62561">
      <w:pPr>
        <w:pStyle w:val="2"/>
        <w:tabs>
          <w:tab w:val="left" w:pos="4242"/>
          <w:tab w:val="left" w:pos="5057"/>
          <w:tab w:val="left" w:pos="9188"/>
        </w:tabs>
        <w:spacing w:before="189"/>
        <w:ind w:left="557" w:right="215"/>
        <w:rPr>
          <w:rFonts w:cs="宋体"/>
          <w:color w:val="231F20"/>
        </w:rPr>
      </w:pPr>
      <w:r>
        <w:rPr>
          <w:rFonts w:hint="eastAsia" w:cs="宋体"/>
          <w:color w:val="231F20"/>
        </w:rPr>
        <w:t>委托代理人（签字</w:t>
      </w:r>
      <w:r>
        <w:rPr>
          <w:rFonts w:hint="eastAsia" w:cs="宋体"/>
          <w:color w:val="231F20"/>
          <w:spacing w:val="-28"/>
        </w:rPr>
        <w:t>）：</w:t>
      </w:r>
      <w:r>
        <w:rPr>
          <w:rFonts w:hint="eastAsia" w:cs="宋体"/>
          <w:color w:val="231F20"/>
          <w:spacing w:val="-28"/>
        </w:rPr>
        <w:tab/>
      </w:r>
      <w:r>
        <w:rPr>
          <w:rFonts w:hint="eastAsia" w:cs="宋体"/>
          <w:color w:val="231F20"/>
          <w:spacing w:val="-28"/>
        </w:rPr>
        <w:tab/>
      </w:r>
      <w:r>
        <w:rPr>
          <w:rFonts w:hint="eastAsia" w:cs="宋体"/>
          <w:color w:val="231F20"/>
        </w:rPr>
        <w:t>委托代理人（签字</w:t>
      </w:r>
      <w:r>
        <w:rPr>
          <w:rFonts w:hint="eastAsia" w:cs="宋体"/>
          <w:color w:val="231F20"/>
          <w:spacing w:val="-28"/>
        </w:rPr>
        <w:t>）：</w:t>
      </w:r>
      <w:r>
        <w:rPr>
          <w:rFonts w:hint="eastAsia" w:cs="宋体"/>
          <w:color w:val="231F20"/>
        </w:rPr>
        <w:tab/>
      </w:r>
    </w:p>
    <w:p w14:paraId="01AABE24">
      <w:pPr>
        <w:pStyle w:val="2"/>
        <w:tabs>
          <w:tab w:val="left" w:pos="4242"/>
          <w:tab w:val="left" w:pos="5057"/>
          <w:tab w:val="left" w:pos="9188"/>
        </w:tabs>
        <w:spacing w:before="189"/>
        <w:ind w:left="557" w:right="215"/>
        <w:rPr>
          <w:rFonts w:cs="宋体"/>
          <w:color w:val="231F20"/>
          <w:u w:val="single" w:color="231F20"/>
        </w:rPr>
      </w:pPr>
      <w:r>
        <w:rPr>
          <w:rFonts w:hint="eastAsia" w:cs="宋体"/>
          <w:color w:val="231F20"/>
        </w:rPr>
        <w:t xml:space="preserve">电       </w:t>
      </w:r>
      <w:r>
        <w:rPr>
          <w:rFonts w:hint="eastAsia" w:cs="宋体"/>
          <w:color w:val="231F20"/>
          <w:spacing w:val="5"/>
        </w:rPr>
        <w:t xml:space="preserve"> </w:t>
      </w:r>
      <w:r>
        <w:rPr>
          <w:rFonts w:hint="eastAsia" w:cs="宋体"/>
          <w:color w:val="231F20"/>
        </w:rPr>
        <w:t>话</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 xml:space="preserve">电       </w:t>
      </w:r>
      <w:r>
        <w:rPr>
          <w:rFonts w:hint="eastAsia" w:cs="宋体"/>
          <w:color w:val="231F20"/>
          <w:spacing w:val="5"/>
        </w:rPr>
        <w:t xml:space="preserve"> </w:t>
      </w:r>
      <w:r>
        <w:rPr>
          <w:rFonts w:hint="eastAsia" w:cs="宋体"/>
          <w:color w:val="231F20"/>
        </w:rPr>
        <w:t>话</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 xml:space="preserve"> </w:t>
      </w:r>
    </w:p>
    <w:p w14:paraId="650D869D">
      <w:pPr>
        <w:pStyle w:val="2"/>
        <w:tabs>
          <w:tab w:val="left" w:pos="4242"/>
          <w:tab w:val="left" w:pos="5057"/>
          <w:tab w:val="left" w:pos="9188"/>
        </w:tabs>
        <w:spacing w:before="189"/>
        <w:ind w:left="557" w:right="215"/>
        <w:rPr>
          <w:rFonts w:cs="宋体"/>
          <w:color w:val="231F20"/>
          <w:u w:val="single" w:color="231F20"/>
        </w:rPr>
      </w:pPr>
      <w:r>
        <w:rPr>
          <w:rFonts w:hint="eastAsia" w:cs="宋体"/>
          <w:color w:val="231F20"/>
        </w:rPr>
        <w:t xml:space="preserve">传       </w:t>
      </w:r>
      <w:r>
        <w:rPr>
          <w:rFonts w:hint="eastAsia" w:cs="宋体"/>
          <w:color w:val="231F20"/>
          <w:spacing w:val="5"/>
        </w:rPr>
        <w:t xml:space="preserve"> </w:t>
      </w:r>
      <w:r>
        <w:rPr>
          <w:rFonts w:hint="eastAsia" w:cs="宋体"/>
          <w:color w:val="231F20"/>
        </w:rPr>
        <w:t>真</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 xml:space="preserve">传       </w:t>
      </w:r>
      <w:r>
        <w:rPr>
          <w:rFonts w:hint="eastAsia" w:cs="宋体"/>
          <w:color w:val="231F20"/>
          <w:spacing w:val="5"/>
        </w:rPr>
        <w:t xml:space="preserve"> </w:t>
      </w:r>
      <w:r>
        <w:rPr>
          <w:rFonts w:hint="eastAsia" w:cs="宋体"/>
          <w:color w:val="231F20"/>
        </w:rPr>
        <w:t>真</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 xml:space="preserve"> </w:t>
      </w:r>
    </w:p>
    <w:p w14:paraId="7FA051FA">
      <w:pPr>
        <w:pStyle w:val="2"/>
        <w:tabs>
          <w:tab w:val="left" w:pos="4242"/>
          <w:tab w:val="left" w:pos="5057"/>
          <w:tab w:val="left" w:pos="9188"/>
        </w:tabs>
        <w:spacing w:before="189"/>
        <w:ind w:left="557" w:right="215"/>
        <w:rPr>
          <w:rFonts w:cs="宋体"/>
          <w:color w:val="231F20"/>
          <w:u w:val="single" w:color="231F20"/>
        </w:rPr>
      </w:pPr>
      <w:r>
        <w:rPr>
          <w:rFonts w:hint="eastAsia" w:cs="宋体"/>
          <w:color w:val="231F20"/>
        </w:rPr>
        <w:t>开户银行</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开户银行</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 xml:space="preserve"> </w:t>
      </w:r>
    </w:p>
    <w:p w14:paraId="343F4E2F">
      <w:pPr>
        <w:pStyle w:val="2"/>
        <w:tabs>
          <w:tab w:val="left" w:pos="4242"/>
          <w:tab w:val="left" w:pos="5057"/>
          <w:tab w:val="left" w:pos="9188"/>
        </w:tabs>
        <w:spacing w:before="189"/>
        <w:ind w:left="557" w:right="215"/>
        <w:rPr>
          <w:rFonts w:cs="宋体"/>
          <w:color w:val="231F20"/>
          <w:u w:val="single" w:color="231F20"/>
        </w:rPr>
      </w:pPr>
      <w:r>
        <w:rPr>
          <w:rFonts w:hint="eastAsia" w:cs="宋体"/>
          <w:color w:val="231F20"/>
        </w:rPr>
        <w:t xml:space="preserve">账       </w:t>
      </w:r>
      <w:r>
        <w:rPr>
          <w:rFonts w:hint="eastAsia" w:cs="宋体"/>
          <w:color w:val="231F20"/>
          <w:spacing w:val="5"/>
        </w:rPr>
        <w:t xml:space="preserve"> </w:t>
      </w:r>
      <w:r>
        <w:rPr>
          <w:rFonts w:hint="eastAsia" w:cs="宋体"/>
          <w:color w:val="231F20"/>
        </w:rPr>
        <w:t>号</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 xml:space="preserve">账       </w:t>
      </w:r>
      <w:r>
        <w:rPr>
          <w:rFonts w:hint="eastAsia" w:cs="宋体"/>
          <w:color w:val="231F20"/>
          <w:spacing w:val="5"/>
        </w:rPr>
        <w:t xml:space="preserve"> </w:t>
      </w:r>
      <w:r>
        <w:rPr>
          <w:rFonts w:hint="eastAsia" w:cs="宋体"/>
          <w:color w:val="231F20"/>
        </w:rPr>
        <w:t>号</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 xml:space="preserve"> </w:t>
      </w:r>
    </w:p>
    <w:p w14:paraId="770D40DB">
      <w:pPr>
        <w:pStyle w:val="2"/>
        <w:tabs>
          <w:tab w:val="left" w:pos="4242"/>
          <w:tab w:val="left" w:pos="5057"/>
          <w:tab w:val="left" w:pos="9188"/>
        </w:tabs>
        <w:spacing w:before="189"/>
        <w:ind w:left="557" w:right="215"/>
      </w:pPr>
      <w:r>
        <w:rPr>
          <w:rFonts w:hint="eastAsia" w:cs="宋体"/>
          <w:color w:val="231F20"/>
        </w:rPr>
        <w:t>邮政编码</w:t>
      </w:r>
      <w:r>
        <w:rPr>
          <w:rFonts w:hint="eastAsia" w:cs="宋体"/>
          <w:color w:val="231F20"/>
          <w:u w:val="single" w:color="231F20"/>
        </w:rPr>
        <w:t>：</w:t>
      </w:r>
      <w:r>
        <w:rPr>
          <w:rFonts w:hint="eastAsia" w:cs="宋体"/>
          <w:color w:val="231F20"/>
          <w:u w:val="single" w:color="231F20"/>
        </w:rPr>
        <w:tab/>
      </w:r>
      <w:r>
        <w:rPr>
          <w:rFonts w:hint="eastAsia" w:cs="宋体"/>
          <w:color w:val="231F20"/>
        </w:rPr>
        <w:tab/>
      </w:r>
      <w:r>
        <w:rPr>
          <w:rFonts w:hint="eastAsia" w:cs="宋体"/>
          <w:color w:val="231F20"/>
        </w:rPr>
        <w:t>邮政编码</w:t>
      </w:r>
      <w:r>
        <w:rPr>
          <w:rFonts w:hint="eastAsia" w:cs="宋体"/>
          <w:color w:val="231F20"/>
          <w:u w:val="single" w:color="231F20"/>
        </w:rPr>
        <w:t>：</w:t>
      </w:r>
      <w:r>
        <w:rPr>
          <w:rFonts w:hint="eastAsia" w:cs="宋体"/>
          <w:color w:val="231F20"/>
          <w:u w:val="single" w:color="231F20"/>
        </w:rPr>
        <w:tab/>
      </w:r>
    </w:p>
    <w:p w14:paraId="617B679D">
      <w:pPr>
        <w:pStyle w:val="2"/>
        <w:spacing w:before="18"/>
        <w:rPr>
          <w:rFonts w:ascii="方正黑体_GBK" w:eastAsia="方正黑体_GBK"/>
          <w:color w:val="231F20"/>
        </w:rPr>
        <w:sectPr>
          <w:footerReference r:id="rId8" w:type="default"/>
          <w:footerReference r:id="rId9" w:type="even"/>
          <w:pgSz w:w="11910" w:h="16840"/>
          <w:pgMar w:top="1582" w:right="1300" w:bottom="1020" w:left="1300" w:header="0" w:footer="833" w:gutter="0"/>
          <w:cols w:space="425" w:num="1"/>
        </w:sectPr>
      </w:pPr>
    </w:p>
    <w:p w14:paraId="172AB346">
      <w:pPr>
        <w:spacing w:line="360" w:lineRule="auto"/>
        <w:ind w:firstLine="482"/>
        <w:rPr>
          <w:rFonts w:ascii="宋体" w:hAnsi="宋体" w:cs="宋体"/>
          <w:b/>
          <w:sz w:val="24"/>
        </w:rPr>
      </w:pPr>
      <w:r>
        <w:rPr>
          <w:rFonts w:hint="eastAsia" w:ascii="宋体" w:hAnsi="宋体" w:cs="宋体"/>
          <w:b/>
          <w:sz w:val="24"/>
        </w:rPr>
        <w:t xml:space="preserve">附件4： </w:t>
      </w:r>
    </w:p>
    <w:p w14:paraId="50086B44">
      <w:pPr>
        <w:pStyle w:val="2"/>
        <w:rPr>
          <w:rFonts w:ascii="方正黑体_GBK"/>
        </w:rPr>
      </w:pPr>
    </w:p>
    <w:p w14:paraId="4DF0B226">
      <w:pPr>
        <w:pStyle w:val="2"/>
        <w:tabs>
          <w:tab w:val="left" w:pos="1447"/>
        </w:tabs>
        <w:spacing w:before="209"/>
      </w:pPr>
      <w:r>
        <w:rPr>
          <w:rFonts w:eastAsia="Times New Roman"/>
          <w:color w:val="231F20"/>
          <w:u w:val="single" w:color="231F20"/>
        </w:rPr>
        <w:t xml:space="preserve"> </w:t>
      </w:r>
      <w:r>
        <w:rPr>
          <w:rFonts w:eastAsia="Times New Roman"/>
          <w:color w:val="231F20"/>
          <w:u w:val="single" w:color="231F20"/>
        </w:rPr>
        <w:tab/>
      </w:r>
      <w:r>
        <w:rPr>
          <w:color w:val="231F20"/>
          <w:u w:val="single" w:color="231F20"/>
        </w:rPr>
        <w:t>（</w:t>
      </w:r>
      <w:r>
        <w:rPr>
          <w:rFonts w:hint="eastAsia"/>
          <w:color w:val="231F20"/>
        </w:rPr>
        <w:t>采购人</w:t>
      </w:r>
      <w:r>
        <w:rPr>
          <w:color w:val="231F20"/>
        </w:rPr>
        <w:t>名称</w:t>
      </w:r>
      <w:r>
        <w:rPr>
          <w:color w:val="231F20"/>
          <w:spacing w:val="-28"/>
        </w:rPr>
        <w:t>）：</w:t>
      </w:r>
    </w:p>
    <w:p w14:paraId="6703EE2A">
      <w:pPr>
        <w:pStyle w:val="2"/>
        <w:spacing w:before="6"/>
        <w:rPr>
          <w:sz w:val="29"/>
        </w:rPr>
      </w:pPr>
      <w:r>
        <w:br w:type="column"/>
      </w:r>
    </w:p>
    <w:p w14:paraId="78DC1450">
      <w:pPr>
        <w:pStyle w:val="3"/>
        <w:spacing w:before="0"/>
        <w:ind w:left="117"/>
        <w:rPr>
          <w:rFonts w:ascii="宋体" w:hAnsi="宋体" w:eastAsia="宋体" w:cs="宋体"/>
        </w:rPr>
      </w:pPr>
      <w:r>
        <w:rPr>
          <w:rFonts w:hint="eastAsia" w:ascii="宋体" w:hAnsi="宋体" w:eastAsia="宋体" w:cs="宋体"/>
          <w:color w:val="231F20"/>
        </w:rPr>
        <w:t>履约担保</w:t>
      </w:r>
    </w:p>
    <w:p w14:paraId="2444CE74">
      <w:pPr>
        <w:rPr>
          <w:rFonts w:ascii="宋体" w:hAnsi="宋体" w:cs="宋体"/>
        </w:rPr>
        <w:sectPr>
          <w:footerReference r:id="rId10" w:type="default"/>
          <w:pgSz w:w="11910" w:h="16840"/>
          <w:pgMar w:top="1580" w:right="1200" w:bottom="1020" w:left="1300" w:header="0" w:footer="832" w:gutter="0"/>
          <w:cols w:equalWidth="0" w:num="2">
            <w:col w:w="3153" w:space="863"/>
            <w:col w:w="5394"/>
          </w:cols>
        </w:sectPr>
      </w:pPr>
    </w:p>
    <w:p w14:paraId="747B0E1F">
      <w:pPr>
        <w:pStyle w:val="2"/>
        <w:rPr>
          <w:rFonts w:cs="宋体"/>
          <w:sz w:val="20"/>
        </w:rPr>
      </w:pPr>
    </w:p>
    <w:p w14:paraId="441EF8DD">
      <w:pPr>
        <w:pStyle w:val="2"/>
        <w:spacing w:before="6"/>
        <w:rPr>
          <w:rFonts w:cs="宋体"/>
          <w:sz w:val="15"/>
        </w:rPr>
      </w:pPr>
    </w:p>
    <w:p w14:paraId="67EDC146">
      <w:pPr>
        <w:pStyle w:val="2"/>
        <w:tabs>
          <w:tab w:val="left" w:pos="2647"/>
          <w:tab w:val="left" w:pos="4094"/>
          <w:tab w:val="left" w:pos="4754"/>
          <w:tab w:val="left" w:pos="5414"/>
          <w:tab w:val="left" w:pos="7978"/>
          <w:tab w:val="left" w:pos="8528"/>
        </w:tabs>
        <w:spacing w:before="28" w:line="319" w:lineRule="auto"/>
        <w:ind w:right="105" w:firstLine="440"/>
        <w:rPr>
          <w:rFonts w:cs="宋体"/>
        </w:rPr>
      </w:pPr>
      <w:r>
        <w:rPr>
          <w:rFonts w:hint="eastAsia" w:cs="宋体"/>
          <w:color w:val="231F20"/>
        </w:rPr>
        <w:t>鉴于</w:t>
      </w:r>
      <w:r>
        <w:rPr>
          <w:rFonts w:hint="eastAsia" w:cs="宋体"/>
          <w:color w:val="231F20"/>
          <w:u w:val="single" w:color="231F20"/>
        </w:rPr>
        <w:t xml:space="preserve"> </w:t>
      </w:r>
      <w:r>
        <w:rPr>
          <w:rFonts w:hint="eastAsia" w:cs="宋体"/>
          <w:color w:val="231F20"/>
          <w:u w:val="single" w:color="231F20"/>
        </w:rPr>
        <w:tab/>
      </w:r>
      <w:r>
        <w:rPr>
          <w:rFonts w:hint="eastAsia" w:cs="宋体"/>
          <w:color w:val="231F20"/>
          <w:u w:val="single" w:color="231F20"/>
        </w:rPr>
        <w:t>（</w:t>
      </w:r>
      <w:r>
        <w:rPr>
          <w:rFonts w:hint="eastAsia" w:cs="宋体"/>
          <w:color w:val="231F20"/>
        </w:rPr>
        <w:t>采购人名称，以下简称“采购人</w:t>
      </w:r>
      <w:r>
        <w:rPr>
          <w:rFonts w:hint="eastAsia" w:cs="宋体"/>
          <w:color w:val="231F20"/>
          <w:spacing w:val="-28"/>
        </w:rPr>
        <w:t>”）</w:t>
      </w:r>
      <w:r>
        <w:rPr>
          <w:rFonts w:hint="eastAsia" w:cs="宋体"/>
          <w:color w:val="231F20"/>
        </w:rPr>
        <w:t>与</w:t>
      </w:r>
      <w:r>
        <w:rPr>
          <w:rFonts w:hint="eastAsia" w:cs="宋体"/>
          <w:color w:val="231F20"/>
          <w:u w:val="single" w:color="231F20"/>
        </w:rPr>
        <w:t xml:space="preserve"> </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w:t>
      </w:r>
      <w:r>
        <w:rPr>
          <w:rFonts w:hint="eastAsia" w:cs="宋体"/>
          <w:color w:val="231F20"/>
        </w:rPr>
        <w:t>供应商名称</w:t>
      </w:r>
      <w:r>
        <w:rPr>
          <w:rFonts w:hint="eastAsia" w:cs="宋体"/>
          <w:color w:val="231F20"/>
          <w:spacing w:val="-123"/>
        </w:rPr>
        <w:t>）</w:t>
      </w:r>
      <w:r>
        <w:rPr>
          <w:rFonts w:hint="eastAsia" w:cs="宋体"/>
          <w:color w:val="231F20"/>
        </w:rPr>
        <w:t>（以下</w:t>
      </w:r>
      <w:r>
        <w:rPr>
          <w:rFonts w:hint="eastAsia" w:cs="宋体"/>
          <w:color w:val="231F20"/>
          <w:spacing w:val="-13"/>
        </w:rPr>
        <w:t>称</w:t>
      </w:r>
      <w:r>
        <w:rPr>
          <w:rFonts w:hint="eastAsia" w:cs="宋体"/>
          <w:color w:val="231F20"/>
        </w:rPr>
        <w:t>“供应商</w:t>
      </w:r>
      <w:r>
        <w:rPr>
          <w:rFonts w:hint="eastAsia" w:cs="宋体"/>
          <w:color w:val="231F20"/>
          <w:spacing w:val="-55"/>
        </w:rPr>
        <w:t>”</w:t>
      </w:r>
      <w:r>
        <w:rPr>
          <w:rFonts w:hint="eastAsia" w:cs="宋体"/>
          <w:color w:val="231F20"/>
          <w:spacing w:val="-13"/>
        </w:rPr>
        <w:t>）</w:t>
      </w:r>
      <w:r>
        <w:rPr>
          <w:rFonts w:hint="eastAsia" w:cs="宋体"/>
          <w:color w:val="231F20"/>
          <w:spacing w:val="-1"/>
        </w:rPr>
        <w:t>于</w:t>
      </w:r>
      <w:r>
        <w:rPr>
          <w:rFonts w:hint="eastAsia" w:cs="宋体"/>
          <w:color w:val="231F20"/>
          <w:u w:val="single" w:color="231F20"/>
        </w:rPr>
        <w:t xml:space="preserve"> </w:t>
      </w:r>
      <w:r>
        <w:rPr>
          <w:rFonts w:hint="eastAsia" w:cs="宋体"/>
          <w:color w:val="231F20"/>
          <w:u w:val="single" w:color="231F20"/>
        </w:rPr>
        <w:tab/>
      </w:r>
      <w:r>
        <w:rPr>
          <w:rFonts w:hint="eastAsia" w:cs="宋体"/>
          <w:color w:val="231F20"/>
          <w:spacing w:val="-1"/>
        </w:rPr>
        <w:t>年</w:t>
      </w:r>
      <w:r>
        <w:rPr>
          <w:rFonts w:hint="eastAsia" w:cs="宋体"/>
          <w:color w:val="231F20"/>
          <w:u w:val="single" w:color="231F20"/>
        </w:rPr>
        <w:t xml:space="preserve"> </w:t>
      </w:r>
      <w:r>
        <w:rPr>
          <w:rFonts w:hint="eastAsia" w:cs="宋体"/>
          <w:color w:val="231F20"/>
          <w:u w:val="single" w:color="231F20"/>
        </w:rPr>
        <w:tab/>
      </w:r>
      <w:r>
        <w:rPr>
          <w:rFonts w:hint="eastAsia" w:cs="宋体"/>
          <w:color w:val="231F20"/>
          <w:spacing w:val="-1"/>
        </w:rPr>
        <w:t>月</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日</w:t>
      </w:r>
      <w:r>
        <w:rPr>
          <w:rFonts w:hint="eastAsia" w:cs="宋体"/>
          <w:color w:val="231F20"/>
          <w:spacing w:val="-1"/>
        </w:rPr>
        <w:t>就</w:t>
      </w:r>
      <w:r>
        <w:rPr>
          <w:rFonts w:hint="eastAsia" w:cs="宋体"/>
          <w:color w:val="231F20"/>
          <w:u w:val="single" w:color="231F20"/>
        </w:rPr>
        <w:t xml:space="preserve"> </w:t>
      </w:r>
      <w:r>
        <w:rPr>
          <w:rFonts w:hint="eastAsia" w:cs="宋体"/>
          <w:color w:val="231F20"/>
          <w:u w:val="single" w:color="231F20"/>
        </w:rPr>
        <w:tab/>
      </w:r>
      <w:r>
        <w:rPr>
          <w:rFonts w:hint="eastAsia" w:cs="宋体"/>
          <w:color w:val="231F20"/>
          <w:u w:val="single" w:color="231F20"/>
        </w:rPr>
        <w:t>（</w:t>
      </w:r>
      <w:r>
        <w:rPr>
          <w:rFonts w:hint="eastAsia" w:cs="宋体"/>
          <w:color w:val="231F20"/>
        </w:rPr>
        <w:t>工程名称）施工及有关事项协商一致共同签订《建设工程施工合同</w:t>
      </w:r>
      <w:r>
        <w:rPr>
          <w:rFonts w:hint="eastAsia" w:cs="宋体"/>
          <w:color w:val="231F20"/>
          <w:spacing w:val="-83"/>
        </w:rPr>
        <w:t>》</w:t>
      </w:r>
      <w:r>
        <w:rPr>
          <w:rFonts w:hint="eastAsia" w:cs="宋体"/>
          <w:color w:val="231F20"/>
        </w:rPr>
        <w:t>。我方愿意无条件地、不可撤销地就 供应商履行与你方签订的合同，向你方提供连带责任担保。</w:t>
      </w:r>
    </w:p>
    <w:p w14:paraId="147AD06D">
      <w:pPr>
        <w:pStyle w:val="12"/>
        <w:numPr>
          <w:ilvl w:val="0"/>
          <w:numId w:val="2"/>
        </w:numPr>
        <w:tabs>
          <w:tab w:val="left" w:pos="775"/>
          <w:tab w:val="left" w:pos="6218"/>
          <w:tab w:val="left" w:pos="8022"/>
        </w:tabs>
        <w:spacing w:before="26"/>
        <w:ind w:firstLine="440"/>
        <w:rPr>
          <w:rFonts w:ascii="宋体" w:hAnsi="宋体" w:eastAsia="宋体" w:cs="宋体"/>
          <w:sz w:val="22"/>
        </w:rPr>
      </w:pPr>
      <w:r>
        <w:rPr>
          <w:rFonts w:hint="eastAsia" w:ascii="宋体" w:hAnsi="宋体" w:eastAsia="宋体" w:cs="宋体"/>
          <w:color w:val="231F20"/>
          <w:sz w:val="22"/>
        </w:rPr>
        <w:t>担保金额人民币（大写</w:t>
      </w:r>
      <w:r>
        <w:rPr>
          <w:rFonts w:hint="eastAsia" w:ascii="宋体" w:hAnsi="宋体" w:eastAsia="宋体" w:cs="宋体"/>
          <w:color w:val="231F20"/>
          <w:sz w:val="22"/>
          <w:u w:val="single" w:color="231F20"/>
        </w:rPr>
        <w:t>）</w:t>
      </w:r>
      <w:r>
        <w:rPr>
          <w:rFonts w:hint="eastAsia" w:ascii="宋体" w:hAnsi="宋体" w:eastAsia="宋体" w:cs="宋体"/>
          <w:color w:val="231F20"/>
          <w:sz w:val="22"/>
          <w:u w:val="single" w:color="231F20"/>
        </w:rPr>
        <w:tab/>
      </w:r>
      <w:r>
        <w:rPr>
          <w:rFonts w:hint="eastAsia" w:ascii="宋体" w:hAnsi="宋体" w:eastAsia="宋体" w:cs="宋体"/>
          <w:color w:val="231F20"/>
          <w:sz w:val="22"/>
        </w:rPr>
        <w:t>元（￥</w:t>
      </w:r>
      <w:r>
        <w:rPr>
          <w:rFonts w:hint="eastAsia" w:ascii="宋体" w:hAnsi="宋体" w:eastAsia="宋体" w:cs="宋体"/>
          <w:color w:val="231F20"/>
          <w:sz w:val="22"/>
          <w:u w:val="single" w:color="231F20"/>
        </w:rPr>
        <w:t xml:space="preserve"> </w:t>
      </w:r>
      <w:r>
        <w:rPr>
          <w:rFonts w:hint="eastAsia" w:ascii="宋体" w:hAnsi="宋体" w:eastAsia="宋体" w:cs="宋体"/>
          <w:color w:val="231F20"/>
          <w:sz w:val="22"/>
          <w:u w:val="single" w:color="231F20"/>
        </w:rPr>
        <w:tab/>
      </w:r>
      <w:r>
        <w:rPr>
          <w:rFonts w:hint="eastAsia" w:ascii="宋体" w:hAnsi="宋体" w:eastAsia="宋体" w:cs="宋体"/>
          <w:color w:val="231F20"/>
          <w:spacing w:val="-83"/>
          <w:sz w:val="22"/>
        </w:rPr>
        <w:t>）。</w:t>
      </w:r>
    </w:p>
    <w:p w14:paraId="69F5A581">
      <w:pPr>
        <w:pStyle w:val="12"/>
        <w:numPr>
          <w:ilvl w:val="0"/>
          <w:numId w:val="2"/>
        </w:numPr>
        <w:tabs>
          <w:tab w:val="left" w:pos="794"/>
        </w:tabs>
        <w:spacing w:line="319" w:lineRule="auto"/>
        <w:ind w:right="216" w:firstLine="440"/>
        <w:rPr>
          <w:rFonts w:ascii="宋体" w:hAnsi="宋体" w:eastAsia="宋体" w:cs="宋体"/>
          <w:sz w:val="22"/>
        </w:rPr>
      </w:pPr>
      <w:r>
        <w:rPr>
          <w:rFonts w:hint="eastAsia" w:ascii="宋体" w:hAnsi="宋体" w:eastAsia="宋体" w:cs="宋体"/>
          <w:color w:val="231F20"/>
          <w:sz w:val="22"/>
        </w:rPr>
        <w:t>担保有效期自你方与供应商签订的合同生效之日起至你方签发或应签发工程接收证书之日止。</w:t>
      </w:r>
    </w:p>
    <w:p w14:paraId="51C804CF">
      <w:pPr>
        <w:pStyle w:val="12"/>
        <w:numPr>
          <w:ilvl w:val="0"/>
          <w:numId w:val="2"/>
        </w:numPr>
        <w:tabs>
          <w:tab w:val="left" w:pos="794"/>
        </w:tabs>
        <w:spacing w:before="25" w:line="319" w:lineRule="auto"/>
        <w:ind w:right="215" w:firstLine="440"/>
        <w:rPr>
          <w:rFonts w:ascii="宋体" w:hAnsi="宋体" w:eastAsia="宋体" w:cs="宋体"/>
          <w:sz w:val="22"/>
        </w:rPr>
      </w:pPr>
      <w:r>
        <w:rPr>
          <w:rFonts w:hint="eastAsia" w:ascii="宋体" w:hAnsi="宋体" w:eastAsia="宋体" w:cs="宋体"/>
          <w:color w:val="231F20"/>
          <w:sz w:val="22"/>
        </w:rPr>
        <w:t>在本担保有效期内，因供应商违反合同约定的义务给你方造成经济损失时，我方在收到你方以书面形式提出的在担保金额内的赔偿要求后，在 7 天内无条件支付。</w:t>
      </w:r>
    </w:p>
    <w:p w14:paraId="7F3FFCE6">
      <w:pPr>
        <w:pStyle w:val="12"/>
        <w:numPr>
          <w:ilvl w:val="0"/>
          <w:numId w:val="2"/>
        </w:numPr>
        <w:tabs>
          <w:tab w:val="left" w:pos="775"/>
        </w:tabs>
        <w:spacing w:before="25"/>
        <w:ind w:firstLine="440"/>
        <w:rPr>
          <w:rFonts w:ascii="宋体" w:hAnsi="宋体" w:eastAsia="宋体" w:cs="宋体"/>
          <w:sz w:val="22"/>
        </w:rPr>
      </w:pPr>
      <w:r>
        <w:rPr>
          <w:rFonts w:hint="eastAsia" w:ascii="宋体" w:hAnsi="宋体" w:eastAsia="宋体" w:cs="宋体"/>
          <w:color w:val="231F20"/>
          <w:sz w:val="22"/>
        </w:rPr>
        <w:t>你方和供应商按合同约定变更合同时，我方承担本担保规定的义务不变。</w:t>
      </w:r>
    </w:p>
    <w:p w14:paraId="540917FE">
      <w:pPr>
        <w:pStyle w:val="12"/>
        <w:numPr>
          <w:ilvl w:val="0"/>
          <w:numId w:val="2"/>
        </w:numPr>
        <w:tabs>
          <w:tab w:val="left" w:pos="782"/>
          <w:tab w:val="left" w:pos="8968"/>
        </w:tabs>
        <w:spacing w:line="319" w:lineRule="auto"/>
        <w:ind w:right="215" w:firstLine="440"/>
        <w:rPr>
          <w:rFonts w:ascii="宋体" w:hAnsi="宋体" w:eastAsia="宋体" w:cs="宋体"/>
          <w:sz w:val="22"/>
        </w:rPr>
      </w:pPr>
      <w:r>
        <w:rPr>
          <w:rFonts w:hint="eastAsia" w:ascii="宋体" w:hAnsi="宋体" w:eastAsia="宋体" w:cs="宋体"/>
          <w:color w:val="231F20"/>
          <w:sz w:val="22"/>
        </w:rPr>
        <w:t>因本保函发生的纠纷，可由双方协商解决，协商不成的，任何一方均可提请</w:t>
      </w:r>
      <w:r>
        <w:rPr>
          <w:rFonts w:hint="eastAsia" w:ascii="宋体" w:hAnsi="宋体" w:eastAsia="宋体" w:cs="宋体"/>
          <w:color w:val="231F20"/>
          <w:sz w:val="22"/>
          <w:u w:val="single" w:color="231F20"/>
        </w:rPr>
        <w:t xml:space="preserve"> </w:t>
      </w:r>
      <w:r>
        <w:rPr>
          <w:rFonts w:hint="eastAsia" w:ascii="宋体" w:hAnsi="宋体" w:eastAsia="宋体" w:cs="宋体"/>
          <w:color w:val="231F20"/>
          <w:sz w:val="22"/>
          <w:u w:val="single" w:color="231F20"/>
        </w:rPr>
        <w:tab/>
      </w:r>
      <w:r>
        <w:rPr>
          <w:rFonts w:hint="eastAsia" w:ascii="宋体" w:hAnsi="宋体" w:eastAsia="宋体" w:cs="宋体"/>
          <w:color w:val="231F20"/>
          <w:sz w:val="22"/>
        </w:rPr>
        <w:t>仲裁委员会仲裁。</w:t>
      </w:r>
    </w:p>
    <w:p w14:paraId="0D019E8B">
      <w:pPr>
        <w:pStyle w:val="12"/>
        <w:numPr>
          <w:ilvl w:val="0"/>
          <w:numId w:val="2"/>
        </w:numPr>
        <w:tabs>
          <w:tab w:val="left" w:pos="775"/>
        </w:tabs>
        <w:spacing w:before="26"/>
        <w:ind w:firstLine="440"/>
        <w:rPr>
          <w:rFonts w:ascii="宋体" w:hAnsi="宋体" w:eastAsia="宋体" w:cs="宋体"/>
          <w:sz w:val="22"/>
        </w:rPr>
      </w:pPr>
      <w:r>
        <w:rPr>
          <w:rFonts w:hint="eastAsia" w:ascii="宋体" w:hAnsi="宋体" w:eastAsia="宋体" w:cs="宋体"/>
          <w:color w:val="231F20"/>
          <w:sz w:val="22"/>
        </w:rPr>
        <w:t>本保函自我方法定代表人（或其授权代理人）签字并加盖公章之日起生效。</w:t>
      </w:r>
    </w:p>
    <w:p w14:paraId="2878A276">
      <w:pPr>
        <w:pStyle w:val="2"/>
        <w:rPr>
          <w:rFonts w:cs="宋体"/>
        </w:rPr>
      </w:pPr>
    </w:p>
    <w:p w14:paraId="3770B99D">
      <w:pPr>
        <w:pStyle w:val="2"/>
        <w:tabs>
          <w:tab w:val="left" w:pos="1217"/>
          <w:tab w:val="left" w:pos="4767"/>
          <w:tab w:val="left" w:pos="5109"/>
          <w:tab w:val="left" w:pos="5877"/>
        </w:tabs>
        <w:spacing w:before="188" w:line="319" w:lineRule="auto"/>
        <w:ind w:left="557" w:right="3316"/>
        <w:rPr>
          <w:rFonts w:cs="宋体"/>
        </w:rPr>
      </w:pPr>
      <w:r>
        <w:rPr>
          <w:rFonts w:hint="eastAsia" w:cs="宋体"/>
          <w:color w:val="231F20"/>
          <w:spacing w:val="52"/>
        </w:rPr>
        <w:t>担保</w:t>
      </w:r>
      <w:r>
        <w:rPr>
          <w:rFonts w:hint="eastAsia" w:cs="宋体"/>
          <w:color w:val="231F20"/>
        </w:rPr>
        <w:t>人</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w:t>
      </w:r>
      <w:r>
        <w:rPr>
          <w:rFonts w:hint="eastAsia" w:cs="宋体"/>
          <w:color w:val="231F20"/>
        </w:rPr>
        <w:t>盖单位章）法定代表人或其委托代理人</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w:t>
      </w:r>
      <w:r>
        <w:rPr>
          <w:rFonts w:hint="eastAsia" w:cs="宋体"/>
          <w:color w:val="231F20"/>
        </w:rPr>
        <w:t>签字）地</w:t>
      </w:r>
      <w:r>
        <w:rPr>
          <w:rFonts w:hint="eastAsia" w:cs="宋体"/>
          <w:color w:val="231F20"/>
        </w:rPr>
        <w:tab/>
      </w:r>
      <w:r>
        <w:rPr>
          <w:rFonts w:hint="eastAsia" w:cs="宋体"/>
          <w:color w:val="231F20"/>
        </w:rPr>
        <w:t>址</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 xml:space="preserve"> </w:t>
      </w:r>
      <w:r>
        <w:rPr>
          <w:rFonts w:hint="eastAsia" w:cs="宋体"/>
          <w:color w:val="231F20"/>
        </w:rPr>
        <w:t>邮政编码</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 xml:space="preserve"> </w:t>
      </w:r>
      <w:r>
        <w:rPr>
          <w:rFonts w:hint="eastAsia" w:cs="宋体"/>
          <w:color w:val="231F20"/>
        </w:rPr>
        <w:t>电</w:t>
      </w:r>
      <w:r>
        <w:rPr>
          <w:rFonts w:hint="eastAsia" w:cs="宋体"/>
          <w:color w:val="231F20"/>
        </w:rPr>
        <w:tab/>
      </w:r>
      <w:r>
        <w:rPr>
          <w:rFonts w:hint="eastAsia" w:cs="宋体"/>
          <w:color w:val="231F20"/>
        </w:rPr>
        <w:t>话</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 xml:space="preserve"> </w:t>
      </w:r>
      <w:r>
        <w:rPr>
          <w:rFonts w:hint="eastAsia" w:cs="宋体"/>
          <w:color w:val="231F20"/>
        </w:rPr>
        <w:t>传</w:t>
      </w:r>
      <w:r>
        <w:rPr>
          <w:rFonts w:hint="eastAsia" w:cs="宋体"/>
          <w:color w:val="231F20"/>
        </w:rPr>
        <w:tab/>
      </w:r>
      <w:r>
        <w:rPr>
          <w:rFonts w:hint="eastAsia" w:cs="宋体"/>
          <w:color w:val="231F20"/>
        </w:rPr>
        <w:t>真</w:t>
      </w:r>
      <w:r>
        <w:rPr>
          <w:rFonts w:hint="eastAsia" w:cs="宋体"/>
          <w:color w:val="231F20"/>
          <w:u w:val="single" w:color="231F20"/>
        </w:rPr>
        <w:t>：</w:t>
      </w:r>
      <w:r>
        <w:rPr>
          <w:rFonts w:hint="eastAsia" w:cs="宋体"/>
          <w:color w:val="231F20"/>
          <w:u w:val="single" w:color="231F20"/>
        </w:rPr>
        <w:tab/>
      </w:r>
      <w:r>
        <w:rPr>
          <w:rFonts w:hint="eastAsia" w:cs="宋体"/>
          <w:color w:val="231F20"/>
          <w:u w:val="single" w:color="231F20"/>
        </w:rPr>
        <w:tab/>
      </w:r>
      <w:r>
        <w:rPr>
          <w:rFonts w:hint="eastAsia" w:cs="宋体"/>
          <w:color w:val="231F20"/>
          <w:u w:val="single" w:color="231F20"/>
        </w:rPr>
        <w:tab/>
      </w:r>
    </w:p>
    <w:p w14:paraId="35203350">
      <w:pPr>
        <w:pStyle w:val="2"/>
        <w:spacing w:before="14"/>
        <w:rPr>
          <w:rFonts w:cs="宋体"/>
          <w:sz w:val="30"/>
        </w:rPr>
      </w:pPr>
    </w:p>
    <w:p w14:paraId="0301A4E9">
      <w:pPr>
        <w:pStyle w:val="2"/>
        <w:tabs>
          <w:tab w:val="left" w:pos="879"/>
          <w:tab w:val="left" w:pos="1533"/>
          <w:tab w:val="left" w:pos="2186"/>
        </w:tabs>
        <w:ind w:right="215"/>
        <w:jc w:val="right"/>
      </w:pP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年</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月</w:t>
      </w:r>
      <w:r>
        <w:rPr>
          <w:rFonts w:hint="eastAsia" w:cs="宋体"/>
          <w:color w:val="231F20"/>
          <w:u w:val="single" w:color="231F20"/>
        </w:rPr>
        <w:t xml:space="preserve"> </w:t>
      </w:r>
      <w:r>
        <w:rPr>
          <w:rFonts w:hint="eastAsia" w:cs="宋体"/>
          <w:color w:val="231F20"/>
          <w:u w:val="single" w:color="231F20"/>
        </w:rPr>
        <w:tab/>
      </w:r>
      <w:r>
        <w:rPr>
          <w:rFonts w:hint="eastAsia" w:cs="宋体"/>
          <w:color w:val="231F20"/>
        </w:rPr>
        <w:t>日</w:t>
      </w:r>
    </w:p>
    <w:p w14:paraId="27C3210B">
      <w:pPr>
        <w:jc w:val="right"/>
        <w:sectPr>
          <w:type w:val="continuous"/>
          <w:pgSz w:w="11910" w:h="16840"/>
          <w:pgMar w:top="1580" w:right="1200" w:bottom="1020" w:left="1300" w:header="720" w:footer="720" w:gutter="0"/>
          <w:cols w:space="720" w:num="1"/>
        </w:sectPr>
      </w:pPr>
    </w:p>
    <w:p w14:paraId="022A4B43">
      <w:pPr>
        <w:pStyle w:val="2"/>
        <w:spacing w:before="18" w:after="156"/>
        <w:ind w:left="557"/>
        <w:rPr>
          <w:rFonts w:cs="宋体"/>
          <w:b/>
          <w:bCs/>
          <w:sz w:val="28"/>
          <w:szCs w:val="28"/>
        </w:rPr>
      </w:pPr>
      <w:r>
        <w:rPr>
          <w:rFonts w:hint="eastAsia" w:cs="宋体"/>
          <w:b/>
        </w:rPr>
        <w:t>附件 6 ：</w:t>
      </w:r>
    </w:p>
    <w:p w14:paraId="1902341C">
      <w:pPr>
        <w:spacing w:before="156" w:beforeLines="50" w:after="156" w:afterLines="50" w:line="400" w:lineRule="exact"/>
        <w:jc w:val="center"/>
        <w:outlineLvl w:val="1"/>
        <w:rPr>
          <w:rFonts w:ascii="宋体" w:hAnsi="宋体" w:cs="宋体"/>
          <w:b/>
          <w:bCs/>
          <w:color w:val="000000"/>
          <w:sz w:val="28"/>
          <w:szCs w:val="28"/>
        </w:rPr>
      </w:pPr>
      <w:r>
        <w:rPr>
          <w:rFonts w:hint="eastAsia" w:ascii="宋体" w:hAnsi="宋体" w:cs="宋体"/>
          <w:b/>
          <w:bCs/>
          <w:color w:val="000000"/>
          <w:sz w:val="28"/>
          <w:szCs w:val="28"/>
        </w:rPr>
        <w:t>安全施工协议书</w:t>
      </w:r>
    </w:p>
    <w:p w14:paraId="0C1D1570">
      <w:pPr>
        <w:spacing w:line="400" w:lineRule="exact"/>
        <w:ind w:firstLine="420" w:firstLineChars="200"/>
        <w:rPr>
          <w:rFonts w:ascii="宋体" w:hAnsi="宋体" w:cs="宋体"/>
        </w:rPr>
      </w:pPr>
      <w:r>
        <w:rPr>
          <w:rFonts w:hint="eastAsia" w:ascii="宋体" w:hAnsi="宋体" w:cs="宋体"/>
        </w:rPr>
        <w:t xml:space="preserve">                                                           </w:t>
      </w:r>
    </w:p>
    <w:p w14:paraId="0EAC0322">
      <w:pPr>
        <w:spacing w:line="360" w:lineRule="auto"/>
        <w:ind w:firstLine="480" w:firstLineChars="200"/>
        <w:rPr>
          <w:rFonts w:ascii="宋体" w:hAnsi="宋体" w:cs="宋体"/>
          <w:sz w:val="24"/>
          <w:szCs w:val="24"/>
          <w:u w:val="single"/>
        </w:rPr>
      </w:pPr>
      <w:r>
        <w:rPr>
          <w:rFonts w:hint="eastAsia" w:ascii="宋体" w:hAnsi="宋体" w:cs="宋体"/>
          <w:sz w:val="24"/>
          <w:szCs w:val="24"/>
        </w:rPr>
        <w:t xml:space="preserve">采购人（全称）  </w:t>
      </w:r>
      <w:r>
        <w:rPr>
          <w:rFonts w:hint="eastAsia" w:ascii="宋体" w:hAnsi="宋体" w:cs="宋体"/>
          <w:sz w:val="24"/>
          <w:szCs w:val="24"/>
          <w:u w:val="single"/>
        </w:rPr>
        <w:t xml:space="preserve">                         </w:t>
      </w:r>
    </w:p>
    <w:p w14:paraId="68AF9159">
      <w:pPr>
        <w:spacing w:line="360" w:lineRule="auto"/>
        <w:ind w:firstLine="480" w:firstLineChars="200"/>
        <w:rPr>
          <w:rFonts w:ascii="宋体" w:hAnsi="宋体" w:cs="宋体"/>
          <w:sz w:val="24"/>
          <w:szCs w:val="24"/>
        </w:rPr>
      </w:pPr>
      <w:r>
        <w:rPr>
          <w:rFonts w:hint="eastAsia" w:ascii="宋体" w:hAnsi="宋体" w:cs="宋体"/>
          <w:sz w:val="24"/>
          <w:szCs w:val="24"/>
        </w:rPr>
        <w:t xml:space="preserve">供应商（全称）  </w:t>
      </w:r>
      <w:r>
        <w:rPr>
          <w:rFonts w:hint="eastAsia" w:ascii="宋体" w:hAnsi="宋体" w:cs="宋体"/>
          <w:sz w:val="24"/>
          <w:szCs w:val="24"/>
          <w:u w:val="single"/>
        </w:rPr>
        <w:t xml:space="preserve">                         </w:t>
      </w:r>
    </w:p>
    <w:p w14:paraId="34635507">
      <w:pPr>
        <w:spacing w:line="360" w:lineRule="auto"/>
        <w:ind w:firstLine="480" w:firstLineChars="200"/>
        <w:rPr>
          <w:rFonts w:ascii="宋体" w:hAnsi="宋体" w:cs="宋体"/>
          <w:sz w:val="24"/>
          <w:szCs w:val="24"/>
        </w:rPr>
      </w:pPr>
      <w:r>
        <w:rPr>
          <w:rFonts w:hint="eastAsia" w:ascii="宋体" w:hAnsi="宋体" w:cs="宋体"/>
          <w:sz w:val="24"/>
          <w:szCs w:val="24"/>
        </w:rPr>
        <w:t>采购人委托供应商自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日完成</w:t>
      </w:r>
      <w:r>
        <w:rPr>
          <w:rFonts w:hint="eastAsia" w:ascii="宋体" w:hAnsi="宋体" w:cs="宋体"/>
          <w:sz w:val="24"/>
          <w:szCs w:val="24"/>
          <w:u w:val="single"/>
        </w:rPr>
        <w:t xml:space="preserve">             </w:t>
      </w:r>
      <w:r>
        <w:rPr>
          <w:rFonts w:hint="eastAsia" w:ascii="宋体" w:hAnsi="宋体" w:cs="宋体"/>
          <w:sz w:val="24"/>
          <w:szCs w:val="24"/>
        </w:rPr>
        <w:t>。为了贯彻“安全第一，预防为主”的方针，明确合同各方的安全责任，保证工程施工安全，防止事故的发生，经协商，达成以下协议，合同各方共同遵守。</w:t>
      </w:r>
    </w:p>
    <w:p w14:paraId="269C928A">
      <w:pPr>
        <w:numPr>
          <w:ilvl w:val="0"/>
          <w:numId w:val="3"/>
        </w:numPr>
        <w:spacing w:line="360" w:lineRule="auto"/>
        <w:rPr>
          <w:rFonts w:ascii="宋体" w:hAnsi="宋体" w:cs="宋体"/>
          <w:b/>
          <w:bCs/>
          <w:sz w:val="24"/>
          <w:szCs w:val="24"/>
        </w:rPr>
      </w:pPr>
      <w:r>
        <w:rPr>
          <w:rFonts w:hint="eastAsia" w:ascii="宋体" w:hAnsi="宋体" w:cs="宋体"/>
          <w:b/>
          <w:bCs/>
          <w:sz w:val="24"/>
          <w:szCs w:val="24"/>
        </w:rPr>
        <w:t>采购人的安全责任</w:t>
      </w:r>
    </w:p>
    <w:p w14:paraId="060C7D68">
      <w:pPr>
        <w:spacing w:line="360" w:lineRule="auto"/>
        <w:ind w:firstLine="480" w:firstLineChars="200"/>
        <w:rPr>
          <w:rFonts w:ascii="宋体" w:hAnsi="宋体" w:cs="宋体"/>
          <w:sz w:val="24"/>
          <w:szCs w:val="24"/>
        </w:rPr>
      </w:pPr>
      <w:r>
        <w:rPr>
          <w:rFonts w:hint="eastAsia" w:ascii="宋体" w:hAnsi="宋体" w:cs="宋体"/>
          <w:sz w:val="24"/>
          <w:szCs w:val="24"/>
        </w:rPr>
        <w:t>1.1 对供应商的安全资质进行审查，确认符合各项安全要求；</w:t>
      </w:r>
    </w:p>
    <w:p w14:paraId="4689F8FC">
      <w:pPr>
        <w:spacing w:line="360" w:lineRule="auto"/>
        <w:ind w:firstLine="480" w:firstLineChars="200"/>
        <w:rPr>
          <w:rFonts w:ascii="宋体" w:hAnsi="宋体" w:cs="宋体"/>
          <w:sz w:val="24"/>
          <w:szCs w:val="24"/>
        </w:rPr>
      </w:pPr>
      <w:r>
        <w:rPr>
          <w:rFonts w:hint="eastAsia" w:ascii="宋体" w:hAnsi="宋体" w:cs="宋体"/>
          <w:sz w:val="24"/>
          <w:szCs w:val="24"/>
        </w:rPr>
        <w:t>1.2 落实合同中规定由采购人承担的有关安全、劳动保护等其他事宜。</w:t>
      </w:r>
    </w:p>
    <w:p w14:paraId="3F3A10EC">
      <w:pPr>
        <w:spacing w:line="360" w:lineRule="auto"/>
        <w:ind w:firstLine="480" w:firstLineChars="200"/>
        <w:rPr>
          <w:rFonts w:ascii="宋体" w:hAnsi="宋体" w:cs="宋体"/>
          <w:sz w:val="24"/>
          <w:szCs w:val="24"/>
        </w:rPr>
      </w:pPr>
      <w:r>
        <w:rPr>
          <w:rFonts w:hint="eastAsia" w:ascii="宋体" w:hAnsi="宋体" w:cs="宋体"/>
          <w:sz w:val="24"/>
          <w:szCs w:val="24"/>
        </w:rPr>
        <w:t>1.3 若供应商不按规定进行安全规范要求做好安全工作，采购人有权停止供应商承包工程项目，对在做的项目下令停工，由此造成的工期延误及经济损失由供应商完全承担。</w:t>
      </w:r>
    </w:p>
    <w:p w14:paraId="35F24173">
      <w:pPr>
        <w:spacing w:line="360" w:lineRule="auto"/>
        <w:rPr>
          <w:rFonts w:ascii="宋体" w:hAnsi="宋体" w:cs="宋体"/>
          <w:b/>
          <w:bCs/>
          <w:sz w:val="24"/>
          <w:szCs w:val="24"/>
        </w:rPr>
      </w:pPr>
      <w:r>
        <w:rPr>
          <w:rFonts w:hint="eastAsia" w:ascii="宋体" w:hAnsi="宋体" w:cs="宋体"/>
          <w:b/>
          <w:bCs/>
          <w:sz w:val="24"/>
          <w:szCs w:val="24"/>
        </w:rPr>
        <w:t>2. 供应商的安全责任</w:t>
      </w:r>
    </w:p>
    <w:p w14:paraId="5278B95B">
      <w:pPr>
        <w:spacing w:line="360" w:lineRule="auto"/>
        <w:ind w:firstLine="480" w:firstLineChars="200"/>
        <w:rPr>
          <w:rFonts w:ascii="宋体" w:hAnsi="宋体" w:cs="宋体"/>
          <w:sz w:val="24"/>
          <w:szCs w:val="24"/>
        </w:rPr>
      </w:pPr>
      <w:r>
        <w:rPr>
          <w:rFonts w:hint="eastAsia" w:ascii="宋体" w:hAnsi="宋体" w:cs="宋体"/>
          <w:sz w:val="24"/>
          <w:szCs w:val="24"/>
        </w:rPr>
        <w:t>2.1 供应商应对施工现场的安全负责，确保人员、机具、建筑物以及设备的安全。</w:t>
      </w:r>
    </w:p>
    <w:p w14:paraId="3C7D1523">
      <w:pPr>
        <w:spacing w:line="360" w:lineRule="auto"/>
        <w:ind w:firstLine="480" w:firstLineChars="200"/>
        <w:rPr>
          <w:rFonts w:ascii="宋体" w:hAnsi="宋体" w:cs="宋体"/>
          <w:sz w:val="24"/>
          <w:szCs w:val="24"/>
        </w:rPr>
      </w:pPr>
      <w:r>
        <w:rPr>
          <w:rFonts w:hint="eastAsia" w:ascii="宋体" w:hAnsi="宋体" w:cs="宋体"/>
          <w:sz w:val="24"/>
          <w:szCs w:val="24"/>
        </w:rPr>
        <w:t>2.2 开工前必须自上而下进行安全技术交底。全体施工人员均掌握工程特点及施工安全措施。</w:t>
      </w:r>
    </w:p>
    <w:p w14:paraId="1F535A84">
      <w:pPr>
        <w:spacing w:line="360" w:lineRule="auto"/>
        <w:ind w:firstLine="480" w:firstLineChars="200"/>
        <w:rPr>
          <w:rFonts w:ascii="宋体" w:hAnsi="宋体" w:cs="宋体"/>
          <w:sz w:val="24"/>
          <w:szCs w:val="24"/>
        </w:rPr>
      </w:pPr>
      <w:r>
        <w:rPr>
          <w:rFonts w:hint="eastAsia" w:ascii="宋体" w:hAnsi="宋体" w:cs="宋体"/>
          <w:sz w:val="24"/>
          <w:szCs w:val="24"/>
        </w:rPr>
        <w:t>2.3 复杂的和危险性较大的工程，应制订单独的施工安全技术措施。</w:t>
      </w:r>
    </w:p>
    <w:p w14:paraId="07E85362">
      <w:pPr>
        <w:spacing w:line="360" w:lineRule="auto"/>
        <w:ind w:firstLine="480" w:firstLineChars="200"/>
        <w:rPr>
          <w:rFonts w:ascii="宋体" w:hAnsi="宋体" w:cs="宋体"/>
          <w:sz w:val="24"/>
          <w:szCs w:val="24"/>
        </w:rPr>
      </w:pPr>
      <w:r>
        <w:rPr>
          <w:rFonts w:hint="eastAsia" w:ascii="宋体" w:hAnsi="宋体" w:cs="宋体"/>
          <w:sz w:val="24"/>
          <w:szCs w:val="24"/>
        </w:rPr>
        <w:t>2.4 现场施工中，必须严格执行政府有关安全的法律法规，严格执行《电业安全工作规程》、《电力建设安全工作规程》、《安全生产工作规定》和采购人发布的安全、消防、文明生产（施工）管理标准的有关内容。开工前应组织施工人员学习上述规程、规定、标准，并经考试合格后方可进行工作。</w:t>
      </w:r>
    </w:p>
    <w:p w14:paraId="4D4E46D6">
      <w:pPr>
        <w:spacing w:line="360" w:lineRule="auto"/>
        <w:ind w:firstLine="480" w:firstLineChars="200"/>
        <w:rPr>
          <w:rFonts w:ascii="宋体" w:hAnsi="宋体" w:cs="宋体"/>
          <w:sz w:val="24"/>
          <w:szCs w:val="24"/>
        </w:rPr>
      </w:pPr>
      <w:r>
        <w:rPr>
          <w:rFonts w:hint="eastAsia" w:ascii="宋体" w:hAnsi="宋体" w:cs="宋体"/>
          <w:sz w:val="24"/>
          <w:szCs w:val="24"/>
        </w:rPr>
        <w:t>2.5 进入电力生产区域内施工，还必须按规定严格执行工作票制度。工作票要实行“双签发”，供应商工作票签发人对工作负责人和参加工作人员是否胜任称职负责，并应经常亲自或委派工程监理人员到现场检查工作是否安全的进行。对规定可以不使用工作票的工作，开工前应得到采购人值班负责人的同意。</w:t>
      </w:r>
    </w:p>
    <w:p w14:paraId="2B60C663">
      <w:pPr>
        <w:spacing w:line="360" w:lineRule="auto"/>
        <w:ind w:firstLine="480" w:firstLineChars="200"/>
        <w:rPr>
          <w:rFonts w:ascii="宋体" w:hAnsi="宋体" w:cs="宋体"/>
          <w:sz w:val="24"/>
          <w:szCs w:val="24"/>
        </w:rPr>
      </w:pPr>
      <w:r>
        <w:rPr>
          <w:rFonts w:hint="eastAsia" w:ascii="宋体" w:hAnsi="宋体" w:cs="宋体"/>
          <w:sz w:val="24"/>
          <w:szCs w:val="24"/>
        </w:rPr>
        <w:t>2.6 开工前应对施工机械、工器具及安全防护设施进行一次检查，确保符合安全规定并不超过检验周期。</w:t>
      </w:r>
    </w:p>
    <w:p w14:paraId="19976420">
      <w:pPr>
        <w:spacing w:line="360" w:lineRule="auto"/>
        <w:ind w:firstLine="480" w:firstLineChars="200"/>
        <w:rPr>
          <w:rFonts w:ascii="宋体" w:hAnsi="宋体" w:cs="宋体"/>
          <w:sz w:val="24"/>
          <w:szCs w:val="24"/>
        </w:rPr>
      </w:pPr>
      <w:r>
        <w:rPr>
          <w:rFonts w:hint="eastAsia" w:ascii="宋体" w:hAnsi="宋体" w:cs="宋体"/>
          <w:sz w:val="24"/>
          <w:szCs w:val="24"/>
        </w:rPr>
        <w:t>2.7 开工前，供应商负责人应填写《施工项目风险清单》，并经采购人审核后，方可开工。</w:t>
      </w:r>
    </w:p>
    <w:p w14:paraId="01D64B7A">
      <w:pPr>
        <w:spacing w:line="360" w:lineRule="auto"/>
        <w:ind w:firstLine="480" w:firstLineChars="200"/>
        <w:rPr>
          <w:rFonts w:ascii="宋体" w:hAnsi="宋体" w:cs="宋体"/>
          <w:sz w:val="24"/>
          <w:szCs w:val="24"/>
        </w:rPr>
      </w:pPr>
      <w:r>
        <w:rPr>
          <w:rFonts w:hint="eastAsia" w:ascii="宋体" w:hAnsi="宋体" w:cs="宋体"/>
          <w:sz w:val="24"/>
          <w:szCs w:val="24"/>
        </w:rPr>
        <w:t>2.8 供应商在施工中应符合下列安全要求：</w:t>
      </w:r>
    </w:p>
    <w:p w14:paraId="2492C9E1">
      <w:pPr>
        <w:spacing w:line="360" w:lineRule="auto"/>
        <w:ind w:firstLine="480" w:firstLineChars="200"/>
        <w:rPr>
          <w:rFonts w:ascii="宋体" w:hAnsi="宋体" w:cs="宋体"/>
          <w:sz w:val="24"/>
          <w:szCs w:val="24"/>
        </w:rPr>
      </w:pPr>
      <w:r>
        <w:rPr>
          <w:rFonts w:hint="eastAsia" w:ascii="宋体" w:hAnsi="宋体" w:cs="宋体"/>
          <w:sz w:val="24"/>
          <w:szCs w:val="24"/>
        </w:rPr>
        <w:t>2.8.1 有合格的、数量足够的安全装备、劳动保护用具和个人安全防护用具。</w:t>
      </w:r>
    </w:p>
    <w:p w14:paraId="5751D38B">
      <w:pPr>
        <w:spacing w:line="360" w:lineRule="auto"/>
        <w:ind w:firstLine="480" w:firstLineChars="200"/>
        <w:rPr>
          <w:rFonts w:ascii="宋体" w:hAnsi="宋体" w:cs="宋体"/>
          <w:sz w:val="24"/>
          <w:szCs w:val="24"/>
        </w:rPr>
      </w:pPr>
      <w:r>
        <w:rPr>
          <w:rFonts w:hint="eastAsia" w:ascii="宋体" w:hAnsi="宋体" w:cs="宋体"/>
          <w:sz w:val="24"/>
          <w:szCs w:val="24"/>
        </w:rPr>
        <w:t>2.8.2 危险地带及开口部位施工应设置临时围栏并挂警告牌。</w:t>
      </w:r>
    </w:p>
    <w:p w14:paraId="405D601B">
      <w:pPr>
        <w:spacing w:line="360" w:lineRule="auto"/>
        <w:ind w:firstLine="480" w:firstLineChars="200"/>
        <w:rPr>
          <w:rFonts w:ascii="宋体" w:hAnsi="宋体" w:cs="宋体"/>
          <w:sz w:val="24"/>
          <w:szCs w:val="24"/>
        </w:rPr>
      </w:pPr>
      <w:r>
        <w:rPr>
          <w:rFonts w:hint="eastAsia" w:ascii="宋体" w:hAnsi="宋体" w:cs="宋体"/>
          <w:sz w:val="24"/>
          <w:szCs w:val="24"/>
        </w:rPr>
        <w:t>2.8.3 进入生产现场及施工场所必须戴安全帽，穿符合要求的工作服，严禁赤膊、赤脚或穿拖鞋进入生产及施工现场。</w:t>
      </w:r>
    </w:p>
    <w:p w14:paraId="72D3391B">
      <w:pPr>
        <w:spacing w:line="360" w:lineRule="auto"/>
        <w:ind w:firstLine="480" w:firstLineChars="200"/>
        <w:rPr>
          <w:rFonts w:ascii="宋体" w:hAnsi="宋体" w:cs="宋体"/>
          <w:sz w:val="24"/>
          <w:szCs w:val="24"/>
        </w:rPr>
      </w:pPr>
      <w:r>
        <w:rPr>
          <w:rFonts w:hint="eastAsia" w:ascii="宋体" w:hAnsi="宋体" w:cs="宋体"/>
          <w:sz w:val="24"/>
          <w:szCs w:val="24"/>
        </w:rPr>
        <w:t>2.8.4 高处作业必须使用安全带，在作业场所搭设的脚手架应符合有关要求，并按规定履行验收手续。</w:t>
      </w:r>
    </w:p>
    <w:p w14:paraId="3B9E3B17">
      <w:pPr>
        <w:spacing w:line="360" w:lineRule="auto"/>
        <w:ind w:firstLine="480" w:firstLineChars="200"/>
        <w:rPr>
          <w:rFonts w:ascii="宋体" w:hAnsi="宋体" w:cs="宋体"/>
          <w:sz w:val="24"/>
          <w:szCs w:val="24"/>
        </w:rPr>
      </w:pPr>
      <w:r>
        <w:rPr>
          <w:rFonts w:hint="eastAsia" w:ascii="宋体" w:hAnsi="宋体" w:cs="宋体"/>
          <w:sz w:val="24"/>
          <w:szCs w:val="24"/>
        </w:rPr>
        <w:t>2.8.5 禁止乱动采购人的电气设备（如开关、按钮、刀闸、接地线等）、机械设备及管路系统（如阀门等），未经采购人有关工程管理人员或现场值班人员同意，不得擅自接驳电源、管路。</w:t>
      </w:r>
    </w:p>
    <w:p w14:paraId="0F961986">
      <w:pPr>
        <w:spacing w:line="360" w:lineRule="auto"/>
        <w:ind w:firstLine="480" w:firstLineChars="200"/>
        <w:rPr>
          <w:rFonts w:ascii="宋体" w:hAnsi="宋体" w:cs="宋体"/>
          <w:sz w:val="24"/>
          <w:szCs w:val="24"/>
        </w:rPr>
      </w:pPr>
      <w:r>
        <w:rPr>
          <w:rFonts w:hint="eastAsia" w:ascii="宋体" w:hAnsi="宋体" w:cs="宋体"/>
          <w:sz w:val="24"/>
          <w:szCs w:val="24"/>
        </w:rPr>
        <w:t>2.8.6 严禁火灾，在进行有可能引起火灾的作业时，必须自备灭火器材。</w:t>
      </w:r>
    </w:p>
    <w:p w14:paraId="7D73E6A8">
      <w:pPr>
        <w:spacing w:line="360" w:lineRule="auto"/>
        <w:ind w:firstLine="480" w:firstLineChars="200"/>
        <w:rPr>
          <w:rFonts w:ascii="宋体" w:hAnsi="宋体" w:cs="宋体"/>
          <w:sz w:val="24"/>
          <w:szCs w:val="24"/>
        </w:rPr>
      </w:pPr>
      <w:r>
        <w:rPr>
          <w:rFonts w:hint="eastAsia" w:ascii="宋体" w:hAnsi="宋体" w:cs="宋体"/>
          <w:sz w:val="24"/>
          <w:szCs w:val="24"/>
        </w:rPr>
        <w:t>2.9 必须严格遵守执行“三不开工”的规定，即：没有经过审批安全措施的工作不开工，安全措施不完善不开工，安全措施不落实不开工。</w:t>
      </w:r>
    </w:p>
    <w:p w14:paraId="0773FE07">
      <w:pPr>
        <w:spacing w:line="360" w:lineRule="auto"/>
        <w:ind w:firstLine="480" w:firstLineChars="200"/>
        <w:rPr>
          <w:rFonts w:ascii="宋体" w:hAnsi="宋体" w:cs="宋体"/>
          <w:sz w:val="24"/>
          <w:szCs w:val="24"/>
        </w:rPr>
      </w:pPr>
      <w:r>
        <w:rPr>
          <w:rFonts w:hint="eastAsia" w:ascii="宋体" w:hAnsi="宋体" w:cs="宋体"/>
          <w:sz w:val="24"/>
          <w:szCs w:val="24"/>
        </w:rPr>
        <w:t>2.10 对有可能造成触电、机械伤害、高处坠落、中毒、窒息、烧烫伤和坍塌伤人等事故的作业，应制定安全防护措施，并逐条落实。对只有采购人才能采取的安全措施（例如：停电、送电操作，汽水隔离、消防措施等）应在安全措施中，明确分工及职责，在具体实施前及时主动与采购人联系，并查清采购人是否已落实稳妥。</w:t>
      </w:r>
    </w:p>
    <w:p w14:paraId="14B9EF2C">
      <w:pPr>
        <w:spacing w:line="360" w:lineRule="auto"/>
        <w:ind w:firstLine="480" w:firstLineChars="200"/>
        <w:rPr>
          <w:rFonts w:ascii="宋体" w:hAnsi="宋体" w:cs="宋体"/>
          <w:sz w:val="24"/>
          <w:szCs w:val="24"/>
        </w:rPr>
      </w:pPr>
      <w:r>
        <w:rPr>
          <w:rFonts w:hint="eastAsia" w:ascii="宋体" w:hAnsi="宋体" w:cs="宋体"/>
          <w:sz w:val="24"/>
          <w:szCs w:val="24"/>
        </w:rPr>
        <w:t>2.11 供应商的特种作业(操作)人员,必须持有政府授权部门(单位)签发的有效的合格证，并接受采购人的考核确认。</w:t>
      </w:r>
    </w:p>
    <w:p w14:paraId="51CEBC77">
      <w:pPr>
        <w:spacing w:line="360" w:lineRule="auto"/>
        <w:ind w:firstLine="480" w:firstLineChars="200"/>
        <w:rPr>
          <w:rFonts w:ascii="宋体" w:hAnsi="宋体" w:cs="宋体"/>
          <w:sz w:val="24"/>
          <w:szCs w:val="24"/>
        </w:rPr>
      </w:pPr>
      <w:r>
        <w:rPr>
          <w:rFonts w:hint="eastAsia" w:ascii="宋体" w:hAnsi="宋体" w:cs="宋体"/>
          <w:sz w:val="24"/>
          <w:szCs w:val="24"/>
        </w:rPr>
        <w:t>2.12 供应商必须接受采购人的安全监督、管理和指导，对违反安全措施或有关安全生产、施工规章制度的行为，采购人有权下令停止供应商的工作，供应商经过内部整顿，得到采购人或监理方审查同意，供应商方可重新开工。情况严重者，采购人有权即时中止施工合同并将有关个人或承包单位清退出场，由此造成的工期延误和经济损失由供应商负责。</w:t>
      </w:r>
    </w:p>
    <w:p w14:paraId="0F751E1A">
      <w:pPr>
        <w:spacing w:line="360" w:lineRule="auto"/>
        <w:ind w:firstLine="480" w:firstLineChars="200"/>
        <w:rPr>
          <w:rFonts w:ascii="宋体" w:hAnsi="宋体" w:cs="宋体"/>
          <w:sz w:val="24"/>
          <w:szCs w:val="24"/>
        </w:rPr>
      </w:pPr>
      <w:r>
        <w:rPr>
          <w:rFonts w:hint="eastAsia" w:ascii="宋体" w:hAnsi="宋体" w:cs="宋体"/>
          <w:sz w:val="24"/>
          <w:szCs w:val="24"/>
        </w:rPr>
        <w:t>2.13 供应商在施工过程中，发生人身事故或危及其他的不安全情况，必须立即报告采购人或监理方。供应商的负责人(安全施工第一责任者)对采购人或监理方提出安全隐患整改意见必须及时完成整改。</w:t>
      </w:r>
    </w:p>
    <w:p w14:paraId="61A73C1F">
      <w:pPr>
        <w:spacing w:line="360" w:lineRule="auto"/>
        <w:ind w:firstLine="480" w:firstLineChars="200"/>
        <w:rPr>
          <w:rFonts w:ascii="宋体" w:hAnsi="宋体" w:cs="宋体"/>
          <w:sz w:val="24"/>
          <w:szCs w:val="24"/>
        </w:rPr>
      </w:pPr>
      <w:r>
        <w:rPr>
          <w:rFonts w:hint="eastAsia" w:ascii="宋体" w:hAnsi="宋体" w:cs="宋体"/>
          <w:sz w:val="24"/>
          <w:szCs w:val="24"/>
        </w:rPr>
        <w:t>2.14 采购人根据工程的危险程度有权要求供应商设置专职安全监督员在现场做安全监督。</w:t>
      </w:r>
    </w:p>
    <w:p w14:paraId="532AFA6E">
      <w:pPr>
        <w:spacing w:line="360" w:lineRule="auto"/>
        <w:rPr>
          <w:rFonts w:ascii="宋体" w:hAnsi="宋体" w:cs="宋体"/>
          <w:b/>
          <w:bCs/>
          <w:sz w:val="24"/>
          <w:szCs w:val="24"/>
        </w:rPr>
      </w:pPr>
      <w:r>
        <w:rPr>
          <w:rFonts w:hint="eastAsia" w:ascii="宋体" w:hAnsi="宋体" w:cs="宋体"/>
          <w:b/>
          <w:bCs/>
          <w:sz w:val="24"/>
          <w:szCs w:val="24"/>
        </w:rPr>
        <w:t>3. 采购人对供应商发生不安全行为的处罚</w:t>
      </w:r>
    </w:p>
    <w:p w14:paraId="79E734FA">
      <w:pPr>
        <w:spacing w:line="360" w:lineRule="auto"/>
        <w:ind w:firstLine="480" w:firstLineChars="200"/>
        <w:rPr>
          <w:rFonts w:ascii="宋体" w:hAnsi="宋体" w:cs="宋体"/>
          <w:sz w:val="24"/>
          <w:szCs w:val="24"/>
        </w:rPr>
      </w:pPr>
      <w:r>
        <w:rPr>
          <w:rFonts w:hint="eastAsia" w:ascii="宋体" w:hAnsi="宋体" w:cs="宋体"/>
          <w:sz w:val="24"/>
          <w:szCs w:val="24"/>
        </w:rPr>
        <w:t>3.1 一旦合同签订，供应商即预留出合同总价的10％作为供应商履行施工安全责任的保证金（在支付施工进度款时暂扣），并承诺可作如下处理:</w:t>
      </w:r>
    </w:p>
    <w:p w14:paraId="148881EC">
      <w:pPr>
        <w:spacing w:line="360" w:lineRule="auto"/>
        <w:ind w:firstLine="480" w:firstLineChars="200"/>
        <w:rPr>
          <w:rFonts w:ascii="宋体" w:hAnsi="宋体" w:cs="宋体"/>
          <w:sz w:val="24"/>
          <w:szCs w:val="24"/>
        </w:rPr>
      </w:pPr>
      <w:r>
        <w:rPr>
          <w:rFonts w:hint="eastAsia" w:ascii="宋体" w:hAnsi="宋体" w:cs="宋体"/>
          <w:sz w:val="24"/>
          <w:szCs w:val="24"/>
        </w:rPr>
        <w:t>3.1.1 由于供应商责任造成人身死亡事故，扣除全部预留保证金。</w:t>
      </w:r>
    </w:p>
    <w:p w14:paraId="2E379BE5">
      <w:pPr>
        <w:spacing w:line="360" w:lineRule="auto"/>
        <w:ind w:firstLine="480" w:firstLineChars="200"/>
        <w:rPr>
          <w:rFonts w:ascii="宋体" w:hAnsi="宋体" w:cs="宋体"/>
          <w:sz w:val="24"/>
          <w:szCs w:val="24"/>
        </w:rPr>
      </w:pPr>
      <w:r>
        <w:rPr>
          <w:rFonts w:hint="eastAsia" w:ascii="宋体" w:hAnsi="宋体" w:cs="宋体"/>
          <w:sz w:val="24"/>
          <w:szCs w:val="24"/>
        </w:rPr>
        <w:t>3.1.2 由于供应商责任造成人身重伤事故，扣除全部预留保证金的50％。</w:t>
      </w:r>
    </w:p>
    <w:p w14:paraId="13DE58C5">
      <w:pPr>
        <w:spacing w:line="360" w:lineRule="auto"/>
        <w:ind w:firstLine="480" w:firstLineChars="200"/>
        <w:rPr>
          <w:rFonts w:ascii="宋体" w:hAnsi="宋体" w:cs="宋体"/>
          <w:sz w:val="24"/>
          <w:szCs w:val="24"/>
        </w:rPr>
      </w:pPr>
      <w:r>
        <w:rPr>
          <w:rFonts w:hint="eastAsia" w:ascii="宋体" w:hAnsi="宋体" w:cs="宋体"/>
          <w:sz w:val="24"/>
          <w:szCs w:val="24"/>
        </w:rPr>
        <w:t>3.1.3 由于供应商责任而造成火灾事故或重大设备事故，扣除全部预留保证金的50％。</w:t>
      </w:r>
    </w:p>
    <w:p w14:paraId="38E27F62">
      <w:pPr>
        <w:spacing w:line="360" w:lineRule="auto"/>
        <w:ind w:firstLine="480" w:firstLineChars="200"/>
        <w:rPr>
          <w:rFonts w:ascii="宋体" w:hAnsi="宋体" w:cs="宋体"/>
          <w:sz w:val="24"/>
          <w:szCs w:val="24"/>
        </w:rPr>
      </w:pPr>
      <w:r>
        <w:rPr>
          <w:rFonts w:hint="eastAsia" w:ascii="宋体" w:hAnsi="宋体" w:cs="宋体"/>
          <w:sz w:val="24"/>
          <w:szCs w:val="24"/>
        </w:rPr>
        <w:t>3.1.4 由于供应商责任而造成主设备停运、机组负荷降低及人身轻伤事故，扣除全部预留保证金的30％。</w:t>
      </w:r>
    </w:p>
    <w:p w14:paraId="511E37BF">
      <w:pPr>
        <w:spacing w:line="360" w:lineRule="auto"/>
        <w:ind w:firstLine="480" w:firstLineChars="200"/>
        <w:rPr>
          <w:rFonts w:ascii="宋体" w:hAnsi="宋体" w:cs="宋体"/>
          <w:sz w:val="24"/>
          <w:szCs w:val="24"/>
        </w:rPr>
      </w:pPr>
      <w:r>
        <w:rPr>
          <w:rFonts w:hint="eastAsia" w:ascii="宋体" w:hAnsi="宋体" w:cs="宋体"/>
          <w:sz w:val="24"/>
          <w:szCs w:val="24"/>
        </w:rPr>
        <w:t>3.1.5 如供应商发生上述两种以上的安全事故，预留保证金不足以扣减的，未扣减部分应在工程完工结算时扣除。</w:t>
      </w:r>
    </w:p>
    <w:p w14:paraId="0060E129">
      <w:pPr>
        <w:spacing w:line="360" w:lineRule="auto"/>
        <w:ind w:firstLine="480" w:firstLineChars="200"/>
        <w:rPr>
          <w:rFonts w:ascii="宋体" w:hAnsi="宋体" w:cs="宋体"/>
          <w:sz w:val="24"/>
          <w:szCs w:val="24"/>
        </w:rPr>
      </w:pPr>
      <w:r>
        <w:rPr>
          <w:rFonts w:hint="eastAsia" w:ascii="宋体" w:hAnsi="宋体" w:cs="宋体"/>
          <w:sz w:val="24"/>
          <w:szCs w:val="24"/>
        </w:rPr>
        <w:t>3.2 工程完工结算时，未被扣除的预留保证金退还给供应商。</w:t>
      </w:r>
    </w:p>
    <w:p w14:paraId="3DE139D8">
      <w:pPr>
        <w:spacing w:line="360" w:lineRule="auto"/>
        <w:ind w:firstLine="480" w:firstLineChars="200"/>
        <w:rPr>
          <w:rFonts w:ascii="宋体" w:hAnsi="宋体" w:cs="宋体"/>
          <w:sz w:val="24"/>
          <w:szCs w:val="24"/>
        </w:rPr>
      </w:pPr>
      <w:r>
        <w:rPr>
          <w:rFonts w:hint="eastAsia" w:ascii="宋体" w:hAnsi="宋体" w:cs="宋体"/>
          <w:sz w:val="24"/>
          <w:szCs w:val="24"/>
        </w:rPr>
        <w:t>3.3 供应商施工人员违反国家及行业有关安全生产方面的法律、法规、规定及由采购人发布的有关安全、消防、文明生产方面的标准，根据情节轻重，给予每人次200--5000元的处罚，并应在罚款通知单发出的2个工作日内到采购人财务部门缴清罚款，对逾期不交者，将在原罚款基础上加倍处罚。</w:t>
      </w:r>
    </w:p>
    <w:p w14:paraId="732E4F39">
      <w:pPr>
        <w:spacing w:line="360" w:lineRule="auto"/>
        <w:ind w:firstLine="480" w:firstLineChars="200"/>
        <w:rPr>
          <w:rFonts w:ascii="宋体" w:hAnsi="宋体" w:cs="宋体"/>
          <w:sz w:val="24"/>
          <w:szCs w:val="24"/>
        </w:rPr>
      </w:pPr>
      <w:r>
        <w:rPr>
          <w:rFonts w:hint="eastAsia" w:ascii="宋体" w:hAnsi="宋体" w:cs="宋体"/>
          <w:sz w:val="24"/>
          <w:szCs w:val="24"/>
        </w:rPr>
        <w:t>3.4 任何情况下,不能因为供应商已预留、被扣除全部或部分安全保证金而免除其应负的安全责任。</w:t>
      </w:r>
    </w:p>
    <w:p w14:paraId="01F9483D">
      <w:pPr>
        <w:spacing w:line="360" w:lineRule="auto"/>
        <w:rPr>
          <w:rFonts w:ascii="宋体" w:hAnsi="宋体" w:cs="宋体"/>
          <w:b/>
          <w:bCs/>
          <w:sz w:val="24"/>
          <w:szCs w:val="24"/>
        </w:rPr>
      </w:pPr>
      <w:r>
        <w:rPr>
          <w:rFonts w:hint="eastAsia" w:ascii="宋体" w:hAnsi="宋体" w:cs="宋体"/>
          <w:b/>
          <w:bCs/>
          <w:sz w:val="24"/>
          <w:szCs w:val="24"/>
        </w:rPr>
        <w:t>4. 此安全协议书作为发包工程主合同附件，与主合同具有同等法律效力。</w:t>
      </w:r>
    </w:p>
    <w:p w14:paraId="0237A842">
      <w:pPr>
        <w:spacing w:line="360" w:lineRule="auto"/>
        <w:rPr>
          <w:rFonts w:ascii="宋体" w:hAnsi="宋体" w:cs="宋体"/>
          <w:b/>
          <w:bCs/>
          <w:sz w:val="24"/>
          <w:szCs w:val="24"/>
        </w:rPr>
      </w:pPr>
    </w:p>
    <w:p w14:paraId="7C94CDB5">
      <w:pPr>
        <w:spacing w:line="360" w:lineRule="auto"/>
        <w:rPr>
          <w:rFonts w:ascii="宋体" w:hAnsi="宋体" w:cs="宋体"/>
          <w:sz w:val="24"/>
          <w:szCs w:val="24"/>
        </w:rPr>
      </w:pPr>
      <w:r>
        <w:rPr>
          <w:rFonts w:hint="eastAsia" w:ascii="宋体" w:hAnsi="宋体" w:cs="宋体"/>
          <w:sz w:val="24"/>
          <w:szCs w:val="24"/>
        </w:rPr>
        <w:t>采购人（盖章）：                            供应商（盖章）：</w:t>
      </w:r>
    </w:p>
    <w:p w14:paraId="7E4237DE">
      <w:pPr>
        <w:spacing w:line="360" w:lineRule="auto"/>
        <w:ind w:firstLine="410" w:firstLineChars="171"/>
        <w:rPr>
          <w:rFonts w:ascii="宋体" w:hAnsi="宋体" w:cs="宋体"/>
          <w:sz w:val="24"/>
          <w:szCs w:val="24"/>
        </w:rPr>
      </w:pPr>
    </w:p>
    <w:p w14:paraId="5C9C0AFA">
      <w:pPr>
        <w:spacing w:line="360" w:lineRule="auto"/>
        <w:ind w:firstLine="410" w:firstLineChars="171"/>
        <w:rPr>
          <w:rFonts w:ascii="宋体" w:hAnsi="宋体" w:cs="宋体"/>
          <w:sz w:val="24"/>
          <w:szCs w:val="24"/>
        </w:rPr>
      </w:pPr>
    </w:p>
    <w:p w14:paraId="68F5E5C5">
      <w:pPr>
        <w:spacing w:line="360" w:lineRule="auto"/>
        <w:rPr>
          <w:rFonts w:ascii="宋体" w:hAnsi="宋体" w:cs="宋体"/>
          <w:sz w:val="24"/>
          <w:szCs w:val="24"/>
        </w:rPr>
      </w:pPr>
      <w:r>
        <w:rPr>
          <w:rFonts w:hint="eastAsia" w:ascii="宋体" w:hAnsi="宋体" w:cs="宋体"/>
          <w:sz w:val="24"/>
          <w:szCs w:val="24"/>
        </w:rPr>
        <w:t>法定代表人（签字或盖章）：                  法定代表人（签字或盖章）：</w:t>
      </w:r>
    </w:p>
    <w:p w14:paraId="1CF83F14">
      <w:pPr>
        <w:spacing w:line="360" w:lineRule="auto"/>
        <w:ind w:firstLine="410" w:firstLineChars="171"/>
        <w:rPr>
          <w:rFonts w:ascii="宋体" w:hAnsi="宋体" w:cs="宋体"/>
          <w:sz w:val="24"/>
          <w:szCs w:val="24"/>
        </w:rPr>
      </w:pPr>
      <w:r>
        <w:rPr>
          <w:rFonts w:hint="eastAsia" w:ascii="宋体" w:hAnsi="宋体" w:cs="宋体"/>
          <w:sz w:val="24"/>
          <w:szCs w:val="24"/>
        </w:rPr>
        <w:t xml:space="preserve">    </w:t>
      </w:r>
    </w:p>
    <w:p w14:paraId="4CD7F320">
      <w:pPr>
        <w:rPr>
          <w:rFonts w:ascii="仿宋_GB2312" w:hAnsi="仿宋_GB2312" w:eastAsia="仿宋_GB2312" w:cs="仿宋_GB2312"/>
          <w:lang w:eastAsia="zh-Hans"/>
        </w:rPr>
      </w:pPr>
      <w:r>
        <w:rPr>
          <w:rFonts w:hint="eastAsia" w:ascii="宋体" w:hAnsi="宋体" w:cs="宋体"/>
          <w:kern w:val="0"/>
          <w:sz w:val="24"/>
          <w:szCs w:val="24"/>
        </w:rPr>
        <w:t>_____年_____月_____日                      _____ 年_____月_____日</w:t>
      </w:r>
    </w:p>
    <w:p w14:paraId="788E8F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00000"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54A70">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1106B8">
                          <w:pPr>
                            <w:pStyle w:val="6"/>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11106B8">
                    <w:pPr>
                      <w:pStyle w:val="6"/>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8DEAF">
    <w:pPr>
      <w:pStyle w:val="6"/>
      <w:rPr>
        <w:lang w:val="zh-CN"/>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02F185">
                          <w:pPr>
                            <w:pStyle w:val="6"/>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402F185">
                    <w:pPr>
                      <w:pStyle w:val="6"/>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C06B1">
    <w:pPr>
      <w:pStyle w:val="2"/>
      <w:spacing w:line="14" w:lineRule="auto"/>
      <w:rPr>
        <w:sz w:val="20"/>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4059EF">
                          <w:pPr>
                            <w:pStyle w:val="6"/>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24059EF">
                    <w:pPr>
                      <w:pStyle w:val="6"/>
                    </w:pPr>
                    <w:r>
                      <w:fldChar w:fldCharType="begin"/>
                    </w:r>
                    <w:r>
                      <w:instrText xml:space="preserve"> PAGE  \* MERGEFORMAT </w:instrText>
                    </w:r>
                    <w:r>
                      <w:fldChar w:fldCharType="separate"/>
                    </w:r>
                    <w:r>
                      <w:t>83</w:t>
                    </w:r>
                    <w:r>
                      <w:fldChar w:fldCharType="end"/>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640E4E50">
                          <w:pPr>
                            <w:spacing w:before="11"/>
                            <w:ind w:left="40"/>
                            <w:jc w:val="left"/>
                            <w:rPr>
                              <w:sz w:val="20"/>
                            </w:rPr>
                          </w:pPr>
                          <w:r>
                            <w:rPr>
                              <w:color w:val="231F20"/>
                              <w:sz w:val="20"/>
                            </w:rPr>
                            <w:t>91</w:t>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56192;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CNiaCdugEAAHMDAAAOAAAAAAAAAAEAIAAAACoBAABkcnMvZTJvRG9jLnht&#10;bFBLBQYAAAAABgAGAFkBAABWBQAAAAA=&#10;">
              <v:fill on="f" focussize="0,0"/>
              <v:stroke on="f"/>
              <v:imagedata o:title=""/>
              <o:lock v:ext="edit" aspectratio="f"/>
              <v:textbox inset="0mm,0mm,0mm,0mm">
                <w:txbxContent>
                  <w:p w14:paraId="640E4E50">
                    <w:pPr>
                      <w:spacing w:before="11"/>
                      <w:ind w:left="40"/>
                      <w:jc w:val="left"/>
                      <w:rPr>
                        <w:sz w:val="20"/>
                      </w:rPr>
                    </w:pPr>
                    <w:r>
                      <w:rPr>
                        <w:color w:val="231F20"/>
                        <w:sz w:val="20"/>
                      </w:rPr>
                      <w:t>91</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6D0BC">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7FF9F289">
                          <w:pPr>
                            <w:spacing w:before="11"/>
                            <w:ind w:left="20"/>
                            <w:jc w:val="left"/>
                            <w:rPr>
                              <w:sz w:val="20"/>
                            </w:rPr>
                          </w:pPr>
                          <w:r>
                            <w:rPr>
                              <w:color w:val="231F20"/>
                              <w:sz w:val="20"/>
                            </w:rPr>
                            <w:t>90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2pt;mso-position-horizontal-relative:page;mso-position-vertical-relative:page;z-index:-251657216;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LP1ZwNkAAAANAQAADwAAAAAAAAABACAAAAAiAAAAZHJzL2Rvd25yZXYueG1sUEsB&#10;AhQAFAAAAAgAh07iQMoVMtq7AQAAcwMAAA4AAAAAAAAAAQAgAAAAKAEAAGRycy9lMm9Eb2MueG1s&#10;UEsFBgAAAAAGAAYAWQEAAFUFAAAAAA==&#10;">
              <v:fill on="f" focussize="0,0"/>
              <v:stroke on="f"/>
              <v:imagedata o:title=""/>
              <o:lock v:ext="edit" aspectratio="f"/>
              <v:textbox inset="0mm,0mm,0mm,0mm">
                <w:txbxContent>
                  <w:p w14:paraId="7FF9F289">
                    <w:pPr>
                      <w:spacing w:before="11"/>
                      <w:ind w:left="20"/>
                      <w:jc w:val="left"/>
                      <w:rPr>
                        <w:sz w:val="20"/>
                      </w:rPr>
                    </w:pPr>
                    <w:r>
                      <w:rPr>
                        <w:color w:val="231F20"/>
                        <w:sz w:val="20"/>
                      </w:rPr>
                      <w:t>90</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400B2">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E1DA68">
                          <w:pPr>
                            <w:pStyle w:val="6"/>
                          </w:pPr>
                          <w:r>
                            <w:fldChar w:fldCharType="begin"/>
                          </w:r>
                          <w:r>
                            <w:instrText xml:space="preserve"> PAGE  \* MERGEFORMAT </w:instrText>
                          </w:r>
                          <w:r>
                            <w:fldChar w:fldCharType="separate"/>
                          </w:r>
                          <w:r>
                            <w:t>88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0E1DA68">
                    <w:pPr>
                      <w:pStyle w:val="6"/>
                    </w:pPr>
                    <w:r>
                      <w:fldChar w:fldCharType="begin"/>
                    </w:r>
                    <w:r>
                      <w:instrText xml:space="preserve"> PAGE  \* MERGEFORMAT </w:instrText>
                    </w:r>
                    <w:r>
                      <w:fldChar w:fldCharType="separate"/>
                    </w:r>
                    <w:r>
                      <w:t>88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2E1BD">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2FFF0">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729B5">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3A854"/>
    <w:multiLevelType w:val="multilevel"/>
    <w:tmpl w:val="DAD3A854"/>
    <w:lvl w:ilvl="0" w:tentative="0">
      <w:start w:val="1"/>
      <w:numFmt w:val="decimal"/>
      <w:lvlText w:val="%1."/>
      <w:lvlJc w:val="left"/>
      <w:pPr>
        <w:ind w:left="117" w:hanging="218"/>
        <w:jc w:val="left"/>
      </w:pPr>
      <w:rPr>
        <w:rFonts w:hint="default" w:ascii="方正书宋_GBK" w:hAnsi="方正书宋_GBK" w:eastAsia="方正书宋_GBK" w:cs="方正书宋_GBK"/>
        <w:color w:val="231F20"/>
        <w:spacing w:val="-1"/>
        <w:w w:val="100"/>
        <w:sz w:val="22"/>
        <w:szCs w:val="22"/>
      </w:rPr>
    </w:lvl>
    <w:lvl w:ilvl="1" w:tentative="0">
      <w:start w:val="1"/>
      <w:numFmt w:val="decimal"/>
      <w:lvlText w:val="%2."/>
      <w:lvlJc w:val="left"/>
      <w:pPr>
        <w:ind w:left="217" w:hanging="218"/>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240" w:hanging="218"/>
      </w:pPr>
      <w:rPr>
        <w:rFonts w:hint="default"/>
      </w:rPr>
    </w:lvl>
    <w:lvl w:ilvl="3" w:tentative="0">
      <w:start w:val="0"/>
      <w:numFmt w:val="bullet"/>
      <w:lvlText w:val="•"/>
      <w:lvlJc w:val="left"/>
      <w:pPr>
        <w:ind w:left="2261" w:hanging="218"/>
      </w:pPr>
      <w:rPr>
        <w:rFonts w:hint="default"/>
      </w:rPr>
    </w:lvl>
    <w:lvl w:ilvl="4" w:tentative="0">
      <w:start w:val="0"/>
      <w:numFmt w:val="bullet"/>
      <w:lvlText w:val="•"/>
      <w:lvlJc w:val="left"/>
      <w:pPr>
        <w:ind w:left="3281" w:hanging="218"/>
      </w:pPr>
      <w:rPr>
        <w:rFonts w:hint="default"/>
      </w:rPr>
    </w:lvl>
    <w:lvl w:ilvl="5" w:tentative="0">
      <w:start w:val="0"/>
      <w:numFmt w:val="bullet"/>
      <w:lvlText w:val="•"/>
      <w:lvlJc w:val="left"/>
      <w:pPr>
        <w:ind w:left="4302" w:hanging="218"/>
      </w:pPr>
      <w:rPr>
        <w:rFonts w:hint="default"/>
      </w:rPr>
    </w:lvl>
    <w:lvl w:ilvl="6" w:tentative="0">
      <w:start w:val="0"/>
      <w:numFmt w:val="bullet"/>
      <w:lvlText w:val="•"/>
      <w:lvlJc w:val="left"/>
      <w:pPr>
        <w:ind w:left="5323" w:hanging="218"/>
      </w:pPr>
      <w:rPr>
        <w:rFonts w:hint="default"/>
      </w:rPr>
    </w:lvl>
    <w:lvl w:ilvl="7" w:tentative="0">
      <w:start w:val="0"/>
      <w:numFmt w:val="bullet"/>
      <w:lvlText w:val="•"/>
      <w:lvlJc w:val="left"/>
      <w:pPr>
        <w:ind w:left="6343" w:hanging="218"/>
      </w:pPr>
      <w:rPr>
        <w:rFonts w:hint="default"/>
      </w:rPr>
    </w:lvl>
    <w:lvl w:ilvl="8" w:tentative="0">
      <w:start w:val="0"/>
      <w:numFmt w:val="bullet"/>
      <w:lvlText w:val="•"/>
      <w:lvlJc w:val="left"/>
      <w:pPr>
        <w:ind w:left="7364" w:hanging="218"/>
      </w:pPr>
      <w:rPr>
        <w:rFonts w:hint="default"/>
      </w:rPr>
    </w:lvl>
  </w:abstractNum>
  <w:abstractNum w:abstractNumId="1">
    <w:nsid w:val="DE46ACBF"/>
    <w:multiLevelType w:val="singleLevel"/>
    <w:tmpl w:val="DE46ACBF"/>
    <w:lvl w:ilvl="0" w:tentative="0">
      <w:start w:val="1"/>
      <w:numFmt w:val="decimal"/>
      <w:suff w:val="space"/>
      <w:lvlText w:val="%1."/>
      <w:lvlJc w:val="left"/>
    </w:lvl>
  </w:abstractNum>
  <w:abstractNum w:abstractNumId="2">
    <w:nsid w:val="00000003"/>
    <w:multiLevelType w:val="singleLevel"/>
    <w:tmpl w:val="00000003"/>
    <w:lvl w:ilvl="0" w:tentative="0">
      <w:start w:val="1"/>
      <w:numFmt w:val="decimal"/>
      <w:suff w:val="nothing"/>
      <w:lvlText w:val="%1."/>
      <w:lvlJc w:val="left"/>
      <w:pPr>
        <w:tabs>
          <w:tab w:val="left" w:pos="0"/>
        </w:tabs>
        <w:ind w:left="0" w:firstLine="0"/>
      </w:pPr>
      <w:rPr>
        <w:sz w:val="28"/>
        <w:szCs w:val="28"/>
      </w:rPr>
    </w:lvl>
  </w:abstractNum>
  <w:num w:numId="1">
    <w:abstractNumId w:val="2"/>
    <w:lvlOverride w:ilvl="0">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F72FB6"/>
    <w:rsid w:val="07F72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1"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2"/>
    <w:basedOn w:val="1"/>
    <w:qFormat/>
    <w:uiPriority w:val="0"/>
    <w:pPr>
      <w:keepNext/>
      <w:keepLines/>
      <w:spacing w:before="260" w:after="260" w:line="500" w:lineRule="exact"/>
      <w:outlineLvl w:val="1"/>
    </w:pPr>
    <w:rPr>
      <w:rFonts w:ascii="Arial" w:hAnsi="Arial" w:eastAsia="黑体"/>
      <w:b/>
      <w:sz w:val="28"/>
    </w:rPr>
  </w:style>
  <w:style w:type="paragraph" w:styleId="4">
    <w:name w:val="heading 3"/>
    <w:basedOn w:val="1"/>
    <w:qFormat/>
    <w:uiPriority w:val="1"/>
    <w:pPr>
      <w:ind w:left="557"/>
      <w:outlineLvl w:val="2"/>
    </w:pPr>
    <w:rPr>
      <w:rFonts w:ascii="方正小标宋_GBK" w:hAnsi="方正小标宋_GBK" w:eastAsia="方正小标宋_GBK" w:cs="方正小标宋_GBK"/>
      <w:sz w:val="24"/>
      <w:szCs w:val="24"/>
    </w:rPr>
  </w:style>
  <w:style w:type="paragraph" w:styleId="5">
    <w:name w:val="heading 4"/>
    <w:basedOn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6">
    <w:name w:val="footer"/>
    <w:basedOn w:val="1"/>
    <w:qFormat/>
    <w:uiPriority w:val="0"/>
    <w:pPr>
      <w:tabs>
        <w:tab w:val="center" w:pos="4153"/>
        <w:tab w:val="right" w:pos="8306"/>
      </w:tabs>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Table Text"/>
    <w:basedOn w:val="1"/>
    <w:autoRedefine/>
    <w:semiHidden/>
    <w:qFormat/>
    <w:uiPriority w:val="0"/>
    <w:rPr>
      <w:rFonts w:ascii="宋体" w:hAnsi="宋体" w:cs="宋体"/>
      <w:sz w:val="24"/>
      <w:szCs w:val="24"/>
      <w:lang w:eastAsia="en-US"/>
    </w:rPr>
  </w:style>
  <w:style w:type="paragraph" w:styleId="12">
    <w:name w:val="List Paragraph"/>
    <w:basedOn w:val="1"/>
    <w:qFormat/>
    <w:uiPriority w:val="1"/>
    <w:pPr>
      <w:spacing w:before="109"/>
      <w:ind w:left="117" w:firstLine="440"/>
    </w:pPr>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2026-06-18T09:08:00Z</dcterms:created>
  <dc:creator>星河</dc:creator>
  <cp:lastModifiedBy>星河</cp:lastModifiedBy>
  <dcterms:modified xsi:type="dcterms:W3CDTF">2026-06-18T09:08:57Z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69BA3040FE224EA19CB98BE9B425A714_11</vt:lpwstr>
  </property>
  <property fmtid="{D5CDD505-2E9C-101B-9397-08002B2CF9AE}" pid="4" name="KSOTemplateDocerSaveRecord">
    <vt:lpwstr>eyJoZGlkIjoiZDU5ZmJiYzU5ZWNiMjJlNzU3NjA5YTkyMjlhNTY4OTUiLCJ1c2VySWQiOiI0MzYyODkyMTgifQ==</vt:lpwstr>
  </property>
</Properties>
</file>