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版本号：0617-2624FZ153220260629001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50岁以上职工专项健康检查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0617-2624FZ1532</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50岁以上职工专项健康检查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0617-2624FZ1532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50岁以上职工专项健康检查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西安铁路职业技术学院 2026 年 50 岁以上教职工消化道专项（无痛胃镜、无痛肠镜）检查及冠脉 CTA（冠状动脉 CT 血管成像）检查。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或提供法定代表人身份证明及身份证复印件（法定代表人直接参加投标（响应）)。</w:t>
      </w:r>
    </w:p>
    <w:p>
      <w:pPr>
        <w:pStyle w:val="null3"/>
      </w:pPr>
      <w:r>
        <w:rPr>
          <w:rFonts w:ascii="仿宋_GB2312" w:hAnsi="仿宋_GB2312" w:cs="仿宋_GB2312" w:eastAsia="仿宋_GB2312"/>
        </w:rPr>
        <w:t>2、医疗机构执业许可证书及放射诊疗许可证：供应商具有有效期内的医疗机构执业许可证书及放射诊疗许可证。</w:t>
      </w:r>
    </w:p>
    <w:p>
      <w:pPr>
        <w:pStyle w:val="null3"/>
      </w:pPr>
      <w:r>
        <w:rPr>
          <w:rFonts w:ascii="仿宋_GB2312" w:hAnsi="仿宋_GB2312" w:cs="仿宋_GB2312" w:eastAsia="仿宋_GB2312"/>
        </w:rPr>
        <w:t>3、信用要求：“信用中国”网站（www.creditchina.gov.cn）和“中国政府采购网”（ccgp.gov.cn）为供应商信用信息查询渠道，如果供应商被查实在投标（响应）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4、本项目不接受联合体磋商：本项目不接受联合体磋商（提供声明文件）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王崇博 李建飞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乙方应在签订合同前向甲方交纳合同价5%的履约保证金。 (2) 乙方无正当理由不与甲方订立合同，或签订合同时向甲方提出附加条件，或不按照采购文件要求提交履约保证金的，取消其成交资格。 (3) 项目验收合格后，乙方持《申请支付履约保证金的函》及完整申请资料到甲方办理退履约保证金手续，甲方30天内无息退还给乙方。 注：履约保证金转账信息 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20%收取。成交供应商在领取成交通知书前，须向采购代理机构一次性支付代理服务费。 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 2026 年 50 岁以上教职工消化道专项（无痛胃镜、无痛肠镜）检查及冠脉 CTA（冠状动脉 CT 血管成像）检查项目，预算21.19万。体检教职工约163人，每人仅可选择其中一项，以实际检查人数结算。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211,900.00</w:t>
      </w:r>
    </w:p>
    <w:p>
      <w:pPr>
        <w:pStyle w:val="null3"/>
      </w:pPr>
      <w:r>
        <w:rPr>
          <w:rFonts w:ascii="仿宋_GB2312" w:hAnsi="仿宋_GB2312" w:cs="仿宋_GB2312" w:eastAsia="仿宋_GB2312"/>
        </w:rPr>
        <w:t>采购包最高限价（元）: 211,900.00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 岁以上职工专项健康检查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211,900.00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 岁以上职工专项健康检查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服务内容</w:t>
            </w:r>
          </w:p>
          <w:p>
            <w:pPr>
              <w:pStyle w:val="null3"/>
            </w:pPr>
            <w:r>
              <w:rPr>
                <w:rFonts w:ascii="仿宋_GB2312" w:hAnsi="仿宋_GB2312" w:cs="仿宋_GB2312" w:eastAsia="仿宋_GB2312"/>
                <w:sz w:val="24"/>
                <w:color w:val="000000"/>
              </w:rPr>
              <w:t>1 、消化道专项（无痛胃镜、无痛肠镜）检查</w:t>
            </w:r>
          </w:p>
          <w:p>
            <w:pPr>
              <w:pStyle w:val="null3"/>
            </w:pPr>
            <w:r>
              <w:rPr>
                <w:rFonts w:ascii="仿宋_GB2312" w:hAnsi="仿宋_GB2312" w:cs="仿宋_GB2312" w:eastAsia="仿宋_GB2312"/>
                <w:sz w:val="24"/>
                <w:color w:val="000000"/>
              </w:rPr>
              <w:t>2 、冠脉 CTA（冠状动脉 CT 血管成像）检查</w:t>
            </w:r>
          </w:p>
          <w:p>
            <w:pPr>
              <w:pStyle w:val="null3"/>
            </w:pPr>
            <w:r>
              <w:rPr>
                <w:rFonts w:ascii="仿宋_GB2312" w:hAnsi="仿宋_GB2312" w:cs="仿宋_GB2312" w:eastAsia="仿宋_GB2312"/>
                <w:sz w:val="24"/>
              </w:rPr>
              <w:t>注：每人仅可选择以上其中一项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技术要求</w:t>
            </w:r>
          </w:p>
          <w:p>
            <w:pPr>
              <w:pStyle w:val="null3"/>
            </w:pPr>
            <w:r>
              <w:rPr>
                <w:rFonts w:ascii="仿宋_GB2312" w:hAnsi="仿宋_GB2312" w:cs="仿宋_GB2312" w:eastAsia="仿宋_GB2312"/>
                <w:sz w:val="24"/>
                <w:color w:val="000000"/>
              </w:rPr>
              <w:t>（一）</w:t>
            </w:r>
            <w:r>
              <w:rPr>
                <w:rFonts w:ascii="仿宋_GB2312" w:hAnsi="仿宋_GB2312" w:cs="仿宋_GB2312" w:eastAsia="仿宋_GB2312"/>
                <w:sz w:val="24"/>
                <w:color w:val="000000"/>
              </w:rPr>
              <w:t>消化道专项检查（无痛胃镜</w:t>
            </w:r>
            <w:r>
              <w:rPr>
                <w:rFonts w:ascii="仿宋_GB2312" w:hAnsi="仿宋_GB2312" w:cs="仿宋_GB2312" w:eastAsia="仿宋_GB2312"/>
                <w:sz w:val="24"/>
                <w:color w:val="000000"/>
              </w:rPr>
              <w:t>/肠镜早癌筛查）</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检查过程中支持病理活检</w:t>
            </w:r>
          </w:p>
          <w:p>
            <w:pPr>
              <w:pStyle w:val="null3"/>
            </w:pPr>
            <w:r>
              <w:rPr>
                <w:rFonts w:ascii="仿宋_GB2312" w:hAnsi="仿宋_GB2312" w:cs="仿宋_GB2312" w:eastAsia="仿宋_GB2312"/>
                <w:sz w:val="24"/>
                <w:color w:val="000000"/>
              </w:rPr>
              <w:t>1.  设备配置要求</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内镜系统：必须配备高清电子胃肠镜系统，具备电子染色和光学放大功能，以确保微小病变和早期癌症的检出率。</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麻醉监护：检查室须配备多功能生命体征监护仪（监测心率、血压、血氧饱和度等）、麻醉机及除颤仪等急救设备。</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洗消设施：具备符合规范的内镜清洗消毒追溯系统，确保院感安全。</w:t>
            </w:r>
          </w:p>
          <w:p>
            <w:pPr>
              <w:pStyle w:val="null3"/>
            </w:pPr>
            <w:r>
              <w:rPr>
                <w:rFonts w:ascii="仿宋_GB2312" w:hAnsi="仿宋_GB2312" w:cs="仿宋_GB2312" w:eastAsia="仿宋_GB2312"/>
                <w:sz w:val="24"/>
                <w:color w:val="000000"/>
              </w:rPr>
              <w:t>2.  检查前准备技术</w:t>
            </w:r>
          </w:p>
          <w:p>
            <w:pPr>
              <w:pStyle w:val="null3"/>
            </w:pPr>
            <w:r>
              <w:rPr>
                <w:rFonts w:ascii="仿宋_GB2312" w:hAnsi="仿宋_GB2312" w:cs="仿宋_GB2312" w:eastAsia="仿宋_GB2312"/>
                <w:sz w:val="24"/>
                <w:color w:val="000000"/>
              </w:rPr>
              <w:t>风险评估：检查前必须进行麻醉风险评估（包括心肺功能、过敏史等），签署知情同意书。</w:t>
            </w:r>
          </w:p>
          <w:p>
            <w:pPr>
              <w:pStyle w:val="null3"/>
            </w:pPr>
            <w:r>
              <w:rPr>
                <w:rFonts w:ascii="仿宋_GB2312" w:hAnsi="仿宋_GB2312" w:cs="仿宋_GB2312" w:eastAsia="仿宋_GB2312"/>
                <w:sz w:val="24"/>
                <w:color w:val="000000"/>
              </w:rPr>
              <w:t>3.  检查过程技术要求</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麻醉实施：</w:t>
            </w:r>
            <w:r>
              <w:rPr>
                <w:rFonts w:ascii="仿宋_GB2312" w:hAnsi="仿宋_GB2312" w:cs="仿宋_GB2312" w:eastAsia="仿宋_GB2312"/>
                <w:sz w:val="24"/>
                <w:color w:val="000000"/>
              </w:rPr>
              <w:t>由专业麻醉医师实施静脉麻醉，确保受检者在无痛苦、无记忆状态下完成检查。</w:t>
            </w:r>
          </w:p>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规范化操作：</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胃镜：必须观察食管、</w:t>
            </w:r>
            <w:r>
              <w:rPr>
                <w:rFonts w:ascii="仿宋_GB2312" w:hAnsi="仿宋_GB2312" w:cs="仿宋_GB2312" w:eastAsia="仿宋_GB2312"/>
                <w:sz w:val="24"/>
                <w:color w:val="000000"/>
              </w:rPr>
              <w:t>胃（贲门、</w:t>
            </w:r>
            <w:r>
              <w:rPr>
                <w:rFonts w:ascii="仿宋_GB2312" w:hAnsi="仿宋_GB2312" w:cs="仿宋_GB2312" w:eastAsia="仿宋_GB2312"/>
                <w:sz w:val="24"/>
                <w:color w:val="000000"/>
              </w:rPr>
              <w:t>胃底、</w:t>
            </w:r>
            <w:r>
              <w:rPr>
                <w:rFonts w:ascii="仿宋_GB2312" w:hAnsi="仿宋_GB2312" w:cs="仿宋_GB2312" w:eastAsia="仿宋_GB2312"/>
                <w:sz w:val="24"/>
                <w:color w:val="000000"/>
              </w:rPr>
              <w:t>胃体、</w:t>
            </w:r>
            <w:r>
              <w:rPr>
                <w:rFonts w:ascii="仿宋_GB2312" w:hAnsi="仿宋_GB2312" w:cs="仿宋_GB2312" w:eastAsia="仿宋_GB2312"/>
                <w:sz w:val="24"/>
                <w:color w:val="000000"/>
              </w:rPr>
              <w:t>胃角、窦部）、十二指肠球部及降部。对可疑病变需进行染色或放大观察。</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肠镜：必须插镜至回盲部（需拍摄回盲瓣及阑尾开口照片），退镜时间不少于</w:t>
            </w:r>
            <w:r>
              <w:rPr>
                <w:rFonts w:ascii="仿宋_GB2312" w:hAnsi="仿宋_GB2312" w:cs="仿宋_GB2312" w:eastAsia="仿宋_GB2312"/>
                <w:sz w:val="24"/>
                <w:color w:val="000000"/>
              </w:rPr>
              <w:t>6分钟，以确保腺瘤检出率。</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color w:val="000000"/>
              </w:rPr>
              <w:t>早癌筛查技术：对可疑病灶（如黏膜色泽改变、微血管形态异常）必须使用电子染色或化学染色技术进行精细观察。</w:t>
            </w:r>
          </w:p>
          <w:p>
            <w:pPr>
              <w:pStyle w:val="null3"/>
            </w:pPr>
            <w:r>
              <w:rPr>
                <w:rFonts w:ascii="仿宋_GB2312" w:hAnsi="仿宋_GB2312" w:cs="仿宋_GB2312" w:eastAsia="仿宋_GB2312"/>
                <w:sz w:val="24"/>
                <w:color w:val="000000"/>
              </w:rPr>
              <w:t>4.  诊断与处置</w:t>
            </w:r>
          </w:p>
          <w:p>
            <w:pPr>
              <w:pStyle w:val="null3"/>
            </w:pPr>
            <w:r>
              <w:rPr>
                <w:rFonts w:ascii="仿宋_GB2312" w:hAnsi="仿宋_GB2312" w:cs="仿宋_GB2312" w:eastAsia="仿宋_GB2312"/>
                <w:sz w:val="24"/>
                <w:color w:val="000000"/>
              </w:rPr>
              <w:t>4.1</w:t>
            </w:r>
            <w:r>
              <w:rPr>
                <w:rFonts w:ascii="仿宋_GB2312" w:hAnsi="仿宋_GB2312" w:cs="仿宋_GB2312" w:eastAsia="仿宋_GB2312"/>
                <w:sz w:val="24"/>
                <w:color w:val="000000"/>
              </w:rPr>
              <w:t>活检与病理：发现可疑病变必须进行组织活检，病理诊断是确诊的金标准。</w:t>
            </w:r>
          </w:p>
          <w:p>
            <w:pPr>
              <w:pStyle w:val="null3"/>
            </w:pPr>
            <w:r>
              <w:rPr>
                <w:rFonts w:ascii="仿宋_GB2312" w:hAnsi="仿宋_GB2312" w:cs="仿宋_GB2312" w:eastAsia="仿宋_GB2312"/>
                <w:sz w:val="24"/>
                <w:color w:val="000000"/>
              </w:rPr>
              <w:t>4.2</w:t>
            </w:r>
            <w:r>
              <w:rPr>
                <w:rFonts w:ascii="仿宋_GB2312" w:hAnsi="仿宋_GB2312" w:cs="仿宋_GB2312" w:eastAsia="仿宋_GB2312"/>
                <w:sz w:val="24"/>
                <w:color w:val="000000"/>
              </w:rPr>
              <w:t>镜下治疗：具备内镜下微创治疗能力（如</w:t>
            </w:r>
            <w:r>
              <w:rPr>
                <w:rFonts w:ascii="仿宋_GB2312" w:hAnsi="仿宋_GB2312" w:cs="仿宋_GB2312" w:eastAsia="仿宋_GB2312"/>
                <w:sz w:val="24"/>
                <w:color w:val="000000"/>
              </w:rPr>
              <w:t xml:space="preserve"> EMR/ESD），对于发现的息肉或早期癌变，在征得同意，签订知情同意书后，应能直接进行内镜下切除。</w:t>
            </w:r>
          </w:p>
          <w:p>
            <w:pPr>
              <w:pStyle w:val="null3"/>
            </w:pPr>
            <w:r>
              <w:rPr>
                <w:rFonts w:ascii="仿宋_GB2312" w:hAnsi="仿宋_GB2312" w:cs="仿宋_GB2312" w:eastAsia="仿宋_GB2312"/>
                <w:sz w:val="24"/>
                <w:color w:val="000000"/>
              </w:rPr>
              <w:t>（二）冠脉</w:t>
            </w:r>
            <w:r>
              <w:rPr>
                <w:rFonts w:ascii="仿宋_GB2312" w:hAnsi="仿宋_GB2312" w:cs="仿宋_GB2312" w:eastAsia="仿宋_GB2312"/>
                <w:sz w:val="24"/>
                <w:color w:val="000000"/>
              </w:rPr>
              <w:t xml:space="preserve"> CTA 检查</w:t>
            </w:r>
          </w:p>
          <w:p>
            <w:pPr>
              <w:pStyle w:val="null3"/>
            </w:pPr>
            <w:r>
              <w:rPr>
                <w:rFonts w:ascii="仿宋_GB2312" w:hAnsi="仿宋_GB2312" w:cs="仿宋_GB2312" w:eastAsia="仿宋_GB2312"/>
                <w:sz w:val="24"/>
                <w:color w:val="000000"/>
              </w:rPr>
              <w:t>1.  设备硬件要求</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CT 扫描仪：必须使用64 排及以上螺旋 CT 扫描仪。</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高压注射器：配备双筒高压注射器，以确保造影剂注射流速和血管强化效果。</w:t>
            </w:r>
          </w:p>
          <w:p>
            <w:pPr>
              <w:pStyle w:val="null3"/>
            </w:pPr>
            <w:r>
              <w:rPr>
                <w:rFonts w:ascii="仿宋_GB2312" w:hAnsi="仿宋_GB2312" w:cs="仿宋_GB2312" w:eastAsia="仿宋_GB2312"/>
                <w:sz w:val="24"/>
                <w:color w:val="000000"/>
              </w:rPr>
              <w:t>2.  检查前准备技术</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心率控制：检查前需对受检者进行心率评估。对于心率过快（通常</w:t>
            </w:r>
            <w:r>
              <w:rPr>
                <w:rFonts w:ascii="仿宋_GB2312" w:hAnsi="仿宋_GB2312" w:cs="仿宋_GB2312" w:eastAsia="仿宋_GB2312"/>
                <w:sz w:val="24"/>
                <w:color w:val="000000"/>
              </w:rPr>
              <w:t>&gt;70次/分）或心律不齐者，需使用β-受体阻滞剂（如倍他乐克）进行心率控制，确保扫描期间心率稳定。</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呼吸训练：扫描前必须对受检者进行吸气</w:t>
            </w:r>
            <w:r>
              <w:rPr>
                <w:rFonts w:ascii="仿宋_GB2312" w:hAnsi="仿宋_GB2312" w:cs="仿宋_GB2312" w:eastAsia="仿宋_GB2312"/>
                <w:sz w:val="24"/>
                <w:color w:val="000000"/>
              </w:rPr>
              <w:t>-屏气训练，确保屏气时间达到 5-10 秒以上且配合良好。</w:t>
            </w:r>
          </w:p>
          <w:p>
            <w:pPr>
              <w:pStyle w:val="null3"/>
            </w:pPr>
            <w:r>
              <w:rPr>
                <w:rFonts w:ascii="仿宋_GB2312" w:hAnsi="仿宋_GB2312" w:cs="仿宋_GB2312" w:eastAsia="仿宋_GB2312"/>
                <w:sz w:val="24"/>
                <w:color w:val="000000"/>
              </w:rPr>
              <w:t>2.3</w:t>
            </w:r>
            <w:r>
              <w:rPr>
                <w:rFonts w:ascii="仿宋_GB2312" w:hAnsi="仿宋_GB2312" w:cs="仿宋_GB2312" w:eastAsia="仿宋_GB2312"/>
                <w:sz w:val="24"/>
                <w:color w:val="000000"/>
              </w:rPr>
              <w:t>去除伪影：去除扫描范围内的金属物品（如项链、带钢圈内衣等）。</w:t>
            </w:r>
          </w:p>
          <w:p>
            <w:pPr>
              <w:pStyle w:val="null3"/>
            </w:pPr>
            <w:r>
              <w:rPr>
                <w:rFonts w:ascii="仿宋_GB2312" w:hAnsi="仿宋_GB2312" w:cs="仿宋_GB2312" w:eastAsia="仿宋_GB2312"/>
                <w:sz w:val="24"/>
                <w:color w:val="000000"/>
              </w:rPr>
              <w:t>3.  扫描与成像技术</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造影剂使用：使用非离子型碘造影剂，根据受检者体重和血管情况设定注射流速（通常</w:t>
            </w:r>
            <w:r>
              <w:rPr>
                <w:rFonts w:ascii="仿宋_GB2312" w:hAnsi="仿宋_GB2312" w:cs="仿宋_GB2312" w:eastAsia="仿宋_GB2312"/>
                <w:sz w:val="24"/>
                <w:color w:val="000000"/>
              </w:rPr>
              <w:t xml:space="preserve"> 4.0-5.0ml/s ）和用量，并采用盐水追踪技术。</w:t>
            </w:r>
          </w:p>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心电编辑：具备心电编辑功能，对于偶发早搏等心律不齐产生的伪影进行修正。</w:t>
            </w:r>
          </w:p>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图像重建：必须采用回顾性心电门控或前瞻性心电门控技术进行扫描，并进行多平面重建（</w:t>
            </w:r>
            <w:r>
              <w:rPr>
                <w:rFonts w:ascii="仿宋_GB2312" w:hAnsi="仿宋_GB2312" w:cs="仿宋_GB2312" w:eastAsia="仿宋_GB2312"/>
                <w:sz w:val="24"/>
                <w:color w:val="000000"/>
              </w:rPr>
              <w:t>MPR）、最大密度投影（MIP）和容积再现（VR）等后处理。</w:t>
            </w:r>
          </w:p>
          <w:p>
            <w:pPr>
              <w:pStyle w:val="null3"/>
            </w:pPr>
            <w:r>
              <w:rPr>
                <w:rFonts w:ascii="仿宋_GB2312" w:hAnsi="仿宋_GB2312" w:cs="仿宋_GB2312" w:eastAsia="仿宋_GB2312"/>
                <w:sz w:val="24"/>
                <w:color w:val="000000"/>
              </w:rPr>
              <w:t>4.  诊断标准</w:t>
            </w:r>
          </w:p>
          <w:p>
            <w:pPr>
              <w:pStyle w:val="null3"/>
            </w:pPr>
            <w:r>
              <w:rPr>
                <w:rFonts w:ascii="仿宋_GB2312" w:hAnsi="仿宋_GB2312" w:cs="仿宋_GB2312" w:eastAsia="仿宋_GB2312"/>
                <w:sz w:val="24"/>
                <w:color w:val="000000"/>
              </w:rPr>
              <w:t>4.1</w:t>
            </w:r>
            <w:r>
              <w:rPr>
                <w:rFonts w:ascii="仿宋_GB2312" w:hAnsi="仿宋_GB2312" w:cs="仿宋_GB2312" w:eastAsia="仿宋_GB2312"/>
                <w:sz w:val="24"/>
                <w:color w:val="000000"/>
              </w:rPr>
              <w:t>图像质量：冠状动脉各段显示清晰，无明显运动伪影，对比度满足诊断需求。</w:t>
            </w:r>
          </w:p>
          <w:p>
            <w:pPr>
              <w:pStyle w:val="null3"/>
            </w:pPr>
            <w:r>
              <w:rPr>
                <w:rFonts w:ascii="仿宋_GB2312" w:hAnsi="仿宋_GB2312" w:cs="仿宋_GB2312" w:eastAsia="仿宋_GB2312"/>
                <w:sz w:val="24"/>
              </w:rPr>
              <w:t>4.2</w:t>
            </w:r>
            <w:r>
              <w:rPr>
                <w:rFonts w:ascii="仿宋_GB2312" w:hAnsi="仿宋_GB2312" w:cs="仿宋_GB2312" w:eastAsia="仿宋_GB2312"/>
                <w:sz w:val="24"/>
              </w:rPr>
              <w:t>报告内容：报告需详细描述冠状动脉起源、走行、管壁斑块性质（钙化、非钙化、混合斑块）及管腔狭窄程度，并给出明确的诊断结论。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服务要求</w:t>
            </w:r>
          </w:p>
          <w:p>
            <w:pPr>
              <w:pStyle w:val="null3"/>
            </w:pPr>
            <w:r>
              <w:rPr>
                <w:rFonts w:ascii="仿宋_GB2312" w:hAnsi="仿宋_GB2312" w:cs="仿宋_GB2312" w:eastAsia="仿宋_GB2312"/>
                <w:sz w:val="24"/>
                <w:color w:val="000000"/>
              </w:rPr>
              <w:t>1 、人员配置要求</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项目总负责人</w:t>
            </w:r>
          </w:p>
          <w:p>
            <w:pPr>
              <w:pStyle w:val="null3"/>
            </w:pPr>
            <w:r>
              <w:rPr>
                <w:rFonts w:ascii="仿宋_GB2312" w:hAnsi="仿宋_GB2312" w:cs="仿宋_GB2312" w:eastAsia="仿宋_GB2312"/>
                <w:sz w:val="24"/>
                <w:color w:val="000000"/>
              </w:rPr>
              <w:t>供应商须指定一名具有高级职称（副主任医师及以上）的专家作为项目总负责人，负责整体服务的协调、质量监控和应急处理。</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消化内镜团队</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内镜医师：须配备至少</w:t>
            </w:r>
            <w:r>
              <w:rPr>
                <w:rFonts w:ascii="仿宋_GB2312" w:hAnsi="仿宋_GB2312" w:cs="仿宋_GB2312" w:eastAsia="仿宋_GB2312"/>
                <w:sz w:val="24"/>
                <w:color w:val="000000"/>
              </w:rPr>
              <w:t xml:space="preserve"> 2 名具有 5 年以上消化内镜诊疗经验的主治医师及以上职称的医师。具备丰富的早癌精查经验，熟练掌握染色及放大内镜技术。</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②</w:t>
            </w:r>
            <w:r>
              <w:rPr>
                <w:rFonts w:ascii="仿宋_GB2312" w:hAnsi="仿宋_GB2312" w:cs="仿宋_GB2312" w:eastAsia="仿宋_GB2312"/>
                <w:sz w:val="24"/>
                <w:color w:val="000000"/>
              </w:rPr>
              <w:t>麻醉医师：须配备至少</w:t>
            </w:r>
            <w:r>
              <w:rPr>
                <w:rFonts w:ascii="仿宋_GB2312" w:hAnsi="仿宋_GB2312" w:cs="仿宋_GB2312" w:eastAsia="仿宋_GB2312"/>
                <w:sz w:val="24"/>
                <w:color w:val="000000"/>
              </w:rPr>
              <w:t xml:space="preserve"> 1 名专职麻醉医师，负责无痛胃肠镜检查的麻醉实施与生命体征监护，并具备处理麻醉意外及心肺复苏等急救能力。</w:t>
            </w:r>
            <w:r>
              <w:rPr>
                <w:rFonts w:ascii="仿宋_GB2312" w:hAnsi="仿宋_GB2312" w:cs="仿宋_GB2312" w:eastAsia="仿宋_GB2312"/>
                <w:sz w:val="24"/>
                <w:color w:val="000000"/>
              </w:rPr>
              <w:t>提供有效的《医师执业证书》和相关职称证明材料</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color w:val="000000"/>
              </w:rPr>
              <w:t>内镜护士：须配备至少</w:t>
            </w:r>
            <w:r>
              <w:rPr>
                <w:rFonts w:ascii="仿宋_GB2312" w:hAnsi="仿宋_GB2312" w:cs="仿宋_GB2312" w:eastAsia="仿宋_GB2312"/>
                <w:sz w:val="24"/>
                <w:color w:val="000000"/>
              </w:rPr>
              <w:t xml:space="preserve"> 2 名经过专业培训的内镜护士，负责受检者引导、术前准备、术中配合及术后复苏观察。</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冠脉</w:t>
            </w:r>
            <w:r>
              <w:rPr>
                <w:rFonts w:ascii="仿宋_GB2312" w:hAnsi="仿宋_GB2312" w:cs="仿宋_GB2312" w:eastAsia="仿宋_GB2312"/>
                <w:sz w:val="24"/>
                <w:color w:val="000000"/>
              </w:rPr>
              <w:t xml:space="preserve"> CTA 团队</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诊断医师：须配备至少</w:t>
            </w:r>
            <w:r>
              <w:rPr>
                <w:rFonts w:ascii="仿宋_GB2312" w:hAnsi="仿宋_GB2312" w:cs="仿宋_GB2312" w:eastAsia="仿宋_GB2312"/>
                <w:sz w:val="24"/>
                <w:color w:val="000000"/>
              </w:rPr>
              <w:t xml:space="preserve"> 2 名具有心血管影像诊断经验的放射科或心内科医师（主治医师及以上职称），负责冠脉 CTA 图像的分析与报告签发。</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CT 技师：须配备至少2 名熟练掌握冠脉 CTA 扫描技术的专职技师，负责心率控制、呼吸训练、扫描操作及图像后处理。</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color w:val="000000"/>
              </w:rPr>
              <w:t>护理人员：须配备至少</w:t>
            </w:r>
            <w:r>
              <w:rPr>
                <w:rFonts w:ascii="仿宋_GB2312" w:hAnsi="仿宋_GB2312" w:cs="仿宋_GB2312" w:eastAsia="仿宋_GB2312"/>
                <w:sz w:val="24"/>
                <w:color w:val="000000"/>
              </w:rPr>
              <w:t xml:space="preserve"> 1 名护士，负责建立静脉通路、注射造影剂及检查后的不良反应观察。</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检查医务人员需具备相应资质，具有较强的责任心，认真仔细的工作态度，杜绝漏诊、误诊。</w:t>
            </w:r>
          </w:p>
          <w:p>
            <w:pPr>
              <w:pStyle w:val="null3"/>
            </w:pPr>
            <w:r>
              <w:rPr>
                <w:rFonts w:ascii="仿宋_GB2312" w:hAnsi="仿宋_GB2312" w:cs="仿宋_GB2312" w:eastAsia="仿宋_GB2312"/>
                <w:sz w:val="24"/>
                <w:color w:val="000000"/>
              </w:rPr>
              <w:t>2 、专业设备要求</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消化内镜设备</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内镜主机：必须配备高清电子胃肠镜主机，并具备电子染色和光学放大功能，以满足早癌筛查的精细化观察需求。</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治疗设备：须配备高频电刀、氩气刀等内镜下治疗设备，以应对检查中发现的息肉切除等即时治疗需求。</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color w:val="000000"/>
              </w:rPr>
              <w:t>麻醉与监护：每个检查室须配备独立的多功能生命体征监护仪、麻醉机、供氧设备及除颤仪等急救设备。</w:t>
            </w:r>
          </w:p>
          <w:p>
            <w:pPr>
              <w:pStyle w:val="null3"/>
            </w:pPr>
            <w:r>
              <w:rPr>
                <w:rFonts w:ascii="仿宋_GB2312" w:hAnsi="仿宋_GB2312" w:cs="仿宋_GB2312" w:eastAsia="仿宋_GB2312"/>
                <w:sz w:val="24"/>
                <w:color w:val="000000"/>
              </w:rPr>
              <w:t>2.2</w:t>
            </w:r>
            <w:r>
              <w:rPr>
                <w:rFonts w:ascii="仿宋_GB2312" w:hAnsi="仿宋_GB2312" w:cs="仿宋_GB2312" w:eastAsia="仿宋_GB2312"/>
                <w:sz w:val="24"/>
                <w:color w:val="000000"/>
              </w:rPr>
              <w:t>冠脉</w:t>
            </w:r>
            <w:r>
              <w:rPr>
                <w:rFonts w:ascii="仿宋_GB2312" w:hAnsi="仿宋_GB2312" w:cs="仿宋_GB2312" w:eastAsia="仿宋_GB2312"/>
                <w:sz w:val="24"/>
                <w:color w:val="000000"/>
              </w:rPr>
              <w:t xml:space="preserve"> CTA 设备</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CT 扫描仪：必须使用64 排及以上的螺旋 CT 扫描仪，具备心电门控功能，以确保冠脉成像的清晰度和准确性。</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高压注射器：必须配备双筒高压注射器，用于精确控制造影剂的注射流速和剂量。</w:t>
            </w:r>
          </w:p>
          <w:p>
            <w:pPr>
              <w:pStyle w:val="null3"/>
            </w:pPr>
            <w:r>
              <w:rPr>
                <w:rFonts w:ascii="仿宋_GB2312" w:hAnsi="仿宋_GB2312" w:cs="仿宋_GB2312" w:eastAsia="仿宋_GB2312"/>
                <w:sz w:val="24"/>
                <w:color w:val="000000"/>
              </w:rPr>
              <w:t>3 、服务流程与标准</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检前介绍</w:t>
            </w:r>
          </w:p>
          <w:p>
            <w:pPr>
              <w:pStyle w:val="null3"/>
            </w:pPr>
            <w:r>
              <w:rPr>
                <w:rFonts w:ascii="仿宋_GB2312" w:hAnsi="仿宋_GB2312" w:cs="仿宋_GB2312" w:eastAsia="仿宋_GB2312"/>
                <w:sz w:val="24"/>
                <w:color w:val="000000"/>
              </w:rPr>
              <w:t>签订合同后，中标单位需安排专业人员到甲方单位，集中为职工全面讲解两项检查的目的、注意事项、风险提示等。</w:t>
            </w:r>
          </w:p>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预约安排</w:t>
            </w:r>
          </w:p>
          <w:p>
            <w:pPr>
              <w:pStyle w:val="null3"/>
            </w:pPr>
            <w:r>
              <w:rPr>
                <w:rFonts w:ascii="仿宋_GB2312" w:hAnsi="仿宋_GB2312" w:cs="仿宋_GB2312" w:eastAsia="仿宋_GB2312"/>
                <w:sz w:val="24"/>
                <w:color w:val="000000"/>
              </w:rPr>
              <w:t>集中为学院安排体检通道和时间，提供便捷的预约渠道（如电话、线上平台），并明确告知受检者检查前的各项准备事项（如禁食、停药、肠道准备等）。</w:t>
            </w:r>
          </w:p>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检查前，须由专业医师对受检者进行全面的风险评估，并签署知情同意书。</w:t>
            </w:r>
          </w:p>
          <w:p>
            <w:pPr>
              <w:pStyle w:val="null3"/>
            </w:pPr>
            <w:r>
              <w:rPr>
                <w:rFonts w:ascii="仿宋_GB2312" w:hAnsi="仿宋_GB2312" w:cs="仿宋_GB2312" w:eastAsia="仿宋_GB2312"/>
                <w:sz w:val="24"/>
                <w:color w:val="000000"/>
              </w:rPr>
              <w:t>3.4</w:t>
            </w:r>
            <w:r>
              <w:rPr>
                <w:rFonts w:ascii="仿宋_GB2312" w:hAnsi="仿宋_GB2312" w:cs="仿宋_GB2312" w:eastAsia="仿宋_GB2312"/>
                <w:sz w:val="24"/>
                <w:color w:val="000000"/>
              </w:rPr>
              <w:t>检查中，在获得受检者本人或家属知情同意情况下，体检机构可提供相应的治疗。如需住院治疗，应启动绿色通道，协助其尽快入院治疗。确保无缝衔接进入医保治疗流程。</w:t>
            </w:r>
          </w:p>
          <w:p>
            <w:pPr>
              <w:pStyle w:val="null3"/>
            </w:pPr>
            <w:r>
              <w:rPr>
                <w:rFonts w:ascii="仿宋_GB2312" w:hAnsi="仿宋_GB2312" w:cs="仿宋_GB2312" w:eastAsia="仿宋_GB2312"/>
                <w:sz w:val="24"/>
                <w:color w:val="000000"/>
              </w:rPr>
              <w:t>3.5</w:t>
            </w:r>
            <w:r>
              <w:rPr>
                <w:rFonts w:ascii="仿宋_GB2312" w:hAnsi="仿宋_GB2312" w:cs="仿宋_GB2312" w:eastAsia="仿宋_GB2312"/>
                <w:sz w:val="24"/>
                <w:color w:val="000000"/>
              </w:rPr>
              <w:t>检查后，应要求受检者留观</w:t>
            </w:r>
            <w:r>
              <w:rPr>
                <w:rFonts w:ascii="仿宋_GB2312" w:hAnsi="仿宋_GB2312" w:cs="仿宋_GB2312" w:eastAsia="仿宋_GB2312"/>
                <w:sz w:val="24"/>
                <w:color w:val="000000"/>
              </w:rPr>
              <w:t>30分钟，无特殊状况后方可离开。</w:t>
            </w:r>
          </w:p>
          <w:p>
            <w:pPr>
              <w:pStyle w:val="null3"/>
            </w:pPr>
            <w:r>
              <w:rPr>
                <w:rFonts w:ascii="仿宋_GB2312" w:hAnsi="仿宋_GB2312" w:cs="仿宋_GB2312" w:eastAsia="仿宋_GB2312"/>
                <w:sz w:val="24"/>
                <w:color w:val="000000"/>
              </w:rPr>
              <w:t>4 、检查实施</w:t>
            </w:r>
          </w:p>
          <w:p>
            <w:pPr>
              <w:pStyle w:val="null3"/>
            </w:pPr>
            <w:r>
              <w:rPr>
                <w:rFonts w:ascii="仿宋_GB2312" w:hAnsi="仿宋_GB2312" w:cs="仿宋_GB2312" w:eastAsia="仿宋_GB2312"/>
                <w:sz w:val="24"/>
                <w:color w:val="000000"/>
              </w:rPr>
              <w:t>4.1</w:t>
            </w:r>
            <w:r>
              <w:rPr>
                <w:rFonts w:ascii="仿宋_GB2312" w:hAnsi="仿宋_GB2312" w:cs="仿宋_GB2312" w:eastAsia="仿宋_GB2312"/>
                <w:sz w:val="24"/>
                <w:color w:val="000000"/>
              </w:rPr>
              <w:t>无痛胃肠镜：</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肠道准备合格率（波士顿评分</w:t>
            </w:r>
            <w:r>
              <w:rPr>
                <w:rFonts w:ascii="仿宋_GB2312" w:hAnsi="仿宋_GB2312" w:cs="仿宋_GB2312" w:eastAsia="仿宋_GB2312"/>
                <w:sz w:val="24"/>
                <w:color w:val="000000"/>
              </w:rPr>
              <w:t>≥6 分）应达到90%以上。</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肠镜检查退镜时间不少于</w:t>
            </w:r>
            <w:r>
              <w:rPr>
                <w:rFonts w:ascii="仿宋_GB2312" w:hAnsi="仿宋_GB2312" w:cs="仿宋_GB2312" w:eastAsia="仿宋_GB2312"/>
                <w:sz w:val="24"/>
                <w:color w:val="000000"/>
              </w:rPr>
              <w:t>6 分钟。</w:t>
            </w:r>
          </w:p>
          <w:p>
            <w:pPr>
              <w:pStyle w:val="null3"/>
            </w:pPr>
            <w:r>
              <w:rPr>
                <w:rFonts w:ascii="仿宋_GB2312" w:hAnsi="仿宋_GB2312" w:cs="仿宋_GB2312" w:eastAsia="仿宋_GB2312"/>
                <w:sz w:val="24"/>
                <w:color w:val="000000"/>
              </w:rPr>
              <w:t>③</w:t>
            </w:r>
            <w:r>
              <w:rPr>
                <w:rFonts w:ascii="仿宋_GB2312" w:hAnsi="仿宋_GB2312" w:cs="仿宋_GB2312" w:eastAsia="仿宋_GB2312"/>
                <w:sz w:val="24"/>
                <w:color w:val="000000"/>
              </w:rPr>
              <w:t>胃镜检查需完整观察食管、</w:t>
            </w:r>
            <w:r>
              <w:rPr>
                <w:rFonts w:ascii="仿宋_GB2312" w:hAnsi="仿宋_GB2312" w:cs="仿宋_GB2312" w:eastAsia="仿宋_GB2312"/>
                <w:sz w:val="24"/>
                <w:color w:val="000000"/>
              </w:rPr>
              <w:t>胃、十二指肠各部位，无盲区。</w:t>
            </w:r>
          </w:p>
          <w:p>
            <w:pPr>
              <w:pStyle w:val="null3"/>
            </w:pPr>
            <w:r>
              <w:rPr>
                <w:rFonts w:ascii="仿宋_GB2312" w:hAnsi="仿宋_GB2312" w:cs="仿宋_GB2312" w:eastAsia="仿宋_GB2312"/>
                <w:sz w:val="24"/>
                <w:color w:val="000000"/>
              </w:rPr>
              <w:t>4.2</w:t>
            </w:r>
            <w:r>
              <w:rPr>
                <w:rFonts w:ascii="仿宋_GB2312" w:hAnsi="仿宋_GB2312" w:cs="仿宋_GB2312" w:eastAsia="仿宋_GB2312"/>
                <w:sz w:val="24"/>
                <w:color w:val="000000"/>
              </w:rPr>
              <w:t>冠脉</w:t>
            </w:r>
            <w:r>
              <w:rPr>
                <w:rFonts w:ascii="仿宋_GB2312" w:hAnsi="仿宋_GB2312" w:cs="仿宋_GB2312" w:eastAsia="仿宋_GB2312"/>
                <w:sz w:val="24"/>
                <w:color w:val="000000"/>
              </w:rPr>
              <w:t xml:space="preserve"> CTA：</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检查前须进行有效的心率控制和呼吸训练。</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图像质量优良率（满足诊断需求）应达到</w:t>
            </w:r>
            <w:r>
              <w:rPr>
                <w:rFonts w:ascii="仿宋_GB2312" w:hAnsi="仿宋_GB2312" w:cs="仿宋_GB2312" w:eastAsia="仿宋_GB2312"/>
                <w:sz w:val="24"/>
                <w:color w:val="000000"/>
              </w:rPr>
              <w:t>95%以上。</w:t>
            </w:r>
          </w:p>
          <w:p>
            <w:pPr>
              <w:pStyle w:val="null3"/>
            </w:pPr>
            <w:r>
              <w:rPr>
                <w:rFonts w:ascii="仿宋_GB2312" w:hAnsi="仿宋_GB2312" w:cs="仿宋_GB2312" w:eastAsia="仿宋_GB2312"/>
                <w:sz w:val="24"/>
                <w:color w:val="000000"/>
              </w:rPr>
              <w:t>5 、报告与解读</w:t>
            </w:r>
          </w:p>
          <w:p>
            <w:pPr>
              <w:pStyle w:val="null3"/>
            </w:pPr>
            <w:r>
              <w:rPr>
                <w:rFonts w:ascii="仿宋_GB2312" w:hAnsi="仿宋_GB2312" w:cs="仿宋_GB2312" w:eastAsia="仿宋_GB2312"/>
                <w:sz w:val="24"/>
                <w:color w:val="000000"/>
              </w:rPr>
              <w:t>5.1</w:t>
            </w:r>
            <w:r>
              <w:rPr>
                <w:rFonts w:ascii="仿宋_GB2312" w:hAnsi="仿宋_GB2312" w:cs="仿宋_GB2312" w:eastAsia="仿宋_GB2312"/>
                <w:sz w:val="24"/>
                <w:color w:val="000000"/>
              </w:rPr>
              <w:t>报告时效：</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胃肠镜检查报告应在检查结束后</w:t>
            </w:r>
            <w:r>
              <w:rPr>
                <w:rFonts w:ascii="仿宋_GB2312" w:hAnsi="仿宋_GB2312" w:cs="仿宋_GB2312" w:eastAsia="仿宋_GB2312"/>
                <w:sz w:val="24"/>
                <w:color w:val="000000"/>
              </w:rPr>
              <w:t>24 小时内出具。</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冠脉</w:t>
            </w:r>
            <w:r>
              <w:rPr>
                <w:rFonts w:ascii="仿宋_GB2312" w:hAnsi="仿宋_GB2312" w:cs="仿宋_GB2312" w:eastAsia="仿宋_GB2312"/>
                <w:sz w:val="24"/>
                <w:color w:val="000000"/>
              </w:rPr>
              <w:t xml:space="preserve"> CTA 检查报告应在检查结束后48 小时内出具。</w:t>
            </w:r>
          </w:p>
          <w:p>
            <w:pPr>
              <w:pStyle w:val="null3"/>
            </w:pPr>
            <w:r>
              <w:rPr>
                <w:rFonts w:ascii="仿宋_GB2312" w:hAnsi="仿宋_GB2312" w:cs="仿宋_GB2312" w:eastAsia="仿宋_GB2312"/>
                <w:sz w:val="24"/>
                <w:color w:val="000000"/>
              </w:rPr>
              <w:t>5.2</w:t>
            </w:r>
            <w:r>
              <w:rPr>
                <w:rFonts w:ascii="仿宋_GB2312" w:hAnsi="仿宋_GB2312" w:cs="仿宋_GB2312" w:eastAsia="仿宋_GB2312"/>
                <w:sz w:val="24"/>
                <w:color w:val="000000"/>
              </w:rPr>
              <w:t>报告质量：报告内容需规范、准确、图文并茂。对于发现的阳性病变（如息肉、早癌、冠脉狭窄等），需详细描述其位置、大小、性质及建议。</w:t>
            </w:r>
          </w:p>
          <w:p>
            <w:pPr>
              <w:pStyle w:val="null3"/>
            </w:pPr>
            <w:r>
              <w:rPr>
                <w:rFonts w:ascii="仿宋_GB2312" w:hAnsi="仿宋_GB2312" w:cs="仿宋_GB2312" w:eastAsia="仿宋_GB2312"/>
                <w:sz w:val="24"/>
                <w:color w:val="000000"/>
              </w:rPr>
              <w:t>5.3</w:t>
            </w:r>
            <w:r>
              <w:rPr>
                <w:rFonts w:ascii="仿宋_GB2312" w:hAnsi="仿宋_GB2312" w:cs="仿宋_GB2312" w:eastAsia="仿宋_GB2312"/>
                <w:sz w:val="24"/>
                <w:color w:val="000000"/>
              </w:rPr>
              <w:t>报告解读：须安排专业医师为每位受检者提供一对一的报告解读服务，解答疑问并提供后续诊疗建议。</w:t>
            </w:r>
          </w:p>
          <w:p>
            <w:pPr>
              <w:pStyle w:val="null3"/>
            </w:pPr>
            <w:r>
              <w:rPr>
                <w:rFonts w:ascii="仿宋_GB2312" w:hAnsi="仿宋_GB2312" w:cs="仿宋_GB2312" w:eastAsia="仿宋_GB2312"/>
                <w:sz w:val="24"/>
                <w:color w:val="000000"/>
              </w:rPr>
              <w:t>6 、质量控制与安全保障</w:t>
            </w:r>
          </w:p>
          <w:p>
            <w:pPr>
              <w:pStyle w:val="null3"/>
            </w:pPr>
            <w:r>
              <w:rPr>
                <w:rFonts w:ascii="仿宋_GB2312" w:hAnsi="仿宋_GB2312" w:cs="仿宋_GB2312" w:eastAsia="仿宋_GB2312"/>
                <w:sz w:val="24"/>
                <w:color w:val="000000"/>
              </w:rPr>
              <w:t>6.1</w:t>
            </w:r>
            <w:r>
              <w:rPr>
                <w:rFonts w:ascii="仿宋_GB2312" w:hAnsi="仿宋_GB2312" w:cs="仿宋_GB2312" w:eastAsia="仿宋_GB2312"/>
                <w:sz w:val="24"/>
                <w:color w:val="000000"/>
              </w:rPr>
              <w:t>院感控制</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供应商须建立并严格执行符合国家标准的内镜清洗消毒及追溯制度，杜绝交叉感染。</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冠脉</w:t>
            </w:r>
            <w:r>
              <w:rPr>
                <w:rFonts w:ascii="仿宋_GB2312" w:hAnsi="仿宋_GB2312" w:cs="仿宋_GB2312" w:eastAsia="仿宋_GB2312"/>
                <w:sz w:val="24"/>
                <w:color w:val="000000"/>
              </w:rPr>
              <w:t xml:space="preserve"> CTA 检查室须定期进行空气细菌培养监测，确保环境安全。</w:t>
            </w:r>
          </w:p>
          <w:p>
            <w:pPr>
              <w:pStyle w:val="null3"/>
            </w:pPr>
            <w:r>
              <w:rPr>
                <w:rFonts w:ascii="仿宋_GB2312" w:hAnsi="仿宋_GB2312" w:cs="仿宋_GB2312" w:eastAsia="仿宋_GB2312"/>
                <w:sz w:val="24"/>
                <w:color w:val="000000"/>
              </w:rPr>
              <w:t>6.2</w:t>
            </w:r>
            <w:r>
              <w:rPr>
                <w:rFonts w:ascii="仿宋_GB2312" w:hAnsi="仿宋_GB2312" w:cs="仿宋_GB2312" w:eastAsia="仿宋_GB2312"/>
                <w:sz w:val="24"/>
                <w:color w:val="000000"/>
              </w:rPr>
              <w:t>应急预案</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须制定完善的应急预案，涵盖造影剂过敏、麻醉意外、心脏骤停、消化道出血等常见并发症的处置流程。</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所有参与项目的医务人员须定期接受急救技能培训与考核。</w:t>
            </w:r>
          </w:p>
          <w:p>
            <w:pPr>
              <w:pStyle w:val="null3"/>
            </w:pPr>
            <w:r>
              <w:rPr>
                <w:rFonts w:ascii="仿宋_GB2312" w:hAnsi="仿宋_GB2312" w:cs="仿宋_GB2312" w:eastAsia="仿宋_GB2312"/>
                <w:sz w:val="24"/>
                <w:color w:val="000000"/>
              </w:rPr>
              <w:t>6.3</w:t>
            </w:r>
            <w:r>
              <w:rPr>
                <w:rFonts w:ascii="仿宋_GB2312" w:hAnsi="仿宋_GB2312" w:cs="仿宋_GB2312" w:eastAsia="仿宋_GB2312"/>
                <w:sz w:val="24"/>
                <w:color w:val="000000"/>
              </w:rPr>
              <w:t>隐私保护</w:t>
            </w:r>
          </w:p>
          <w:p>
            <w:pPr>
              <w:pStyle w:val="null3"/>
            </w:pPr>
            <w:r>
              <w:rPr>
                <w:rFonts w:ascii="仿宋_GB2312" w:hAnsi="仿宋_GB2312" w:cs="仿宋_GB2312" w:eastAsia="仿宋_GB2312"/>
                <w:sz w:val="24"/>
                <w:color w:val="000000"/>
              </w:rPr>
              <w:t>严格执行</w:t>
            </w:r>
            <w:r>
              <w:rPr>
                <w:rFonts w:ascii="仿宋_GB2312" w:hAnsi="仿宋_GB2312" w:cs="仿宋_GB2312" w:eastAsia="仿宋_GB2312"/>
                <w:sz w:val="24"/>
                <w:color w:val="000000"/>
              </w:rPr>
              <w:t>“一医一患一诊室 ”制度，充分保护受检者的个人隐私。（如异性检查需有第三人在场）。所有检查数据和报告须加密存储，未经授权不得向第三方泄露。</w:t>
            </w:r>
          </w:p>
          <w:p>
            <w:pPr>
              <w:pStyle w:val="null3"/>
            </w:pPr>
            <w:r>
              <w:rPr>
                <w:rFonts w:ascii="仿宋_GB2312" w:hAnsi="仿宋_GB2312" w:cs="仿宋_GB2312" w:eastAsia="仿宋_GB2312"/>
                <w:sz w:val="24"/>
                <w:color w:val="000000"/>
              </w:rPr>
              <w:t>6.4</w:t>
            </w:r>
            <w:r>
              <w:rPr>
                <w:rFonts w:ascii="仿宋_GB2312" w:hAnsi="仿宋_GB2312" w:cs="仿宋_GB2312" w:eastAsia="仿宋_GB2312"/>
                <w:sz w:val="24"/>
                <w:color w:val="000000"/>
              </w:rPr>
              <w:t>危急值报告</w:t>
            </w:r>
          </w:p>
          <w:p>
            <w:pPr>
              <w:pStyle w:val="null3"/>
            </w:pPr>
            <w:r>
              <w:rPr>
                <w:rFonts w:ascii="仿宋_GB2312" w:hAnsi="仿宋_GB2312" w:cs="仿宋_GB2312" w:eastAsia="仿宋_GB2312"/>
                <w:sz w:val="24"/>
                <w:color w:val="000000"/>
              </w:rPr>
              <w:t>建立危急值报告制度。若检查中发现严重冠脉狭窄（如左主干病变）或消化道早癌</w:t>
            </w:r>
            <w:r>
              <w:rPr>
                <w:rFonts w:ascii="仿宋_GB2312" w:hAnsi="仿宋_GB2312" w:cs="仿宋_GB2312" w:eastAsia="仿宋_GB2312"/>
                <w:sz w:val="24"/>
                <w:color w:val="000000"/>
              </w:rPr>
              <w:t>/进展期癌，须在规定时间（如 24 小时）内通知受检者或家属并建议进一步治疗。</w:t>
            </w:r>
          </w:p>
          <w:p>
            <w:pPr>
              <w:pStyle w:val="null3"/>
            </w:pPr>
            <w:r>
              <w:rPr>
                <w:rFonts w:ascii="仿宋_GB2312" w:hAnsi="仿宋_GB2312" w:cs="仿宋_GB2312" w:eastAsia="仿宋_GB2312"/>
                <w:sz w:val="24"/>
                <w:color w:val="000000"/>
              </w:rPr>
              <w:t>6.5</w:t>
            </w:r>
            <w:r>
              <w:rPr>
                <w:rFonts w:ascii="仿宋_GB2312" w:hAnsi="仿宋_GB2312" w:cs="仿宋_GB2312" w:eastAsia="仿宋_GB2312"/>
                <w:sz w:val="24"/>
                <w:color w:val="000000"/>
              </w:rPr>
              <w:t>随访服务</w:t>
            </w:r>
          </w:p>
          <w:p>
            <w:pPr>
              <w:pStyle w:val="null3"/>
            </w:pPr>
            <w:r>
              <w:rPr>
                <w:rFonts w:ascii="仿宋_GB2312" w:hAnsi="仿宋_GB2312" w:cs="仿宋_GB2312" w:eastAsia="仿宋_GB2312"/>
                <w:sz w:val="24"/>
                <w:color w:val="000000"/>
              </w:rPr>
              <w:t>提供检查后的健康咨询及随访服务，对阳性结果患者建立健康档案，提供绿色就医通道。</w:t>
            </w:r>
          </w:p>
          <w:p>
            <w:pPr>
              <w:pStyle w:val="null3"/>
            </w:pPr>
            <w:r>
              <w:rPr>
                <w:rFonts w:ascii="仿宋_GB2312" w:hAnsi="仿宋_GB2312" w:cs="仿宋_GB2312" w:eastAsia="仿宋_GB2312"/>
                <w:sz w:val="24"/>
                <w:color w:val="000000"/>
              </w:rPr>
              <w:t>6.6</w:t>
            </w:r>
            <w:r>
              <w:rPr>
                <w:rFonts w:ascii="仿宋_GB2312" w:hAnsi="仿宋_GB2312" w:cs="仿宋_GB2312" w:eastAsia="仿宋_GB2312"/>
                <w:sz w:val="24"/>
                <w:color w:val="000000"/>
              </w:rPr>
              <w:t>投诉处理</w:t>
            </w:r>
          </w:p>
          <w:p>
            <w:pPr>
              <w:pStyle w:val="null3"/>
            </w:pPr>
            <w:r>
              <w:rPr>
                <w:rFonts w:ascii="仿宋_GB2312" w:hAnsi="仿宋_GB2312" w:cs="仿宋_GB2312" w:eastAsia="仿宋_GB2312"/>
                <w:sz w:val="24"/>
              </w:rPr>
              <w:t>设立专门的投诉渠道和处理机制，对受检者的投诉应在</w:t>
            </w:r>
            <w:r>
              <w:rPr>
                <w:rFonts w:ascii="仿宋_GB2312" w:hAnsi="仿宋_GB2312" w:cs="仿宋_GB2312" w:eastAsia="仿宋_GB2312"/>
                <w:sz w:val="24"/>
              </w:rPr>
              <w:t>3 个工作日内给予明确答复和处理方案。</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商务要求</w:t>
            </w:r>
          </w:p>
          <w:p>
            <w:pPr>
              <w:pStyle w:val="null3"/>
            </w:pPr>
            <w:r>
              <w:rPr>
                <w:rFonts w:ascii="仿宋_GB2312" w:hAnsi="仿宋_GB2312" w:cs="仿宋_GB2312" w:eastAsia="仿宋_GB2312"/>
                <w:sz w:val="24"/>
                <w:color w:val="000000"/>
              </w:rPr>
              <w:t>（一）服务期限</w:t>
            </w:r>
          </w:p>
          <w:p>
            <w:pPr>
              <w:pStyle w:val="null3"/>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合同有效期为合同签订后</w:t>
            </w:r>
            <w:r>
              <w:rPr>
                <w:rFonts w:ascii="仿宋_GB2312" w:hAnsi="仿宋_GB2312" w:cs="仿宋_GB2312" w:eastAsia="仿宋_GB2312"/>
                <w:sz w:val="24"/>
                <w:color w:val="000000"/>
              </w:rPr>
              <w:t>1年</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合同签订后</w:t>
            </w:r>
            <w:r>
              <w:rPr>
                <w:rFonts w:ascii="仿宋_GB2312" w:hAnsi="仿宋_GB2312" w:cs="仿宋_GB2312" w:eastAsia="仿宋_GB2312"/>
                <w:sz w:val="24"/>
                <w:color w:val="000000"/>
              </w:rPr>
              <w:t>3个月内完成职工检查。</w:t>
            </w:r>
          </w:p>
          <w:p>
            <w:pPr>
              <w:pStyle w:val="null3"/>
            </w:pPr>
            <w:r>
              <w:rPr>
                <w:rFonts w:ascii="仿宋_GB2312" w:hAnsi="仿宋_GB2312" w:cs="仿宋_GB2312" w:eastAsia="仿宋_GB2312"/>
                <w:sz w:val="24"/>
                <w:color w:val="000000"/>
              </w:rPr>
              <w:t>（二）款项结算</w:t>
            </w:r>
          </w:p>
          <w:p>
            <w:pPr>
              <w:pStyle w:val="null3"/>
            </w:pPr>
            <w:r>
              <w:rPr>
                <w:rFonts w:ascii="仿宋_GB2312" w:hAnsi="仿宋_GB2312" w:cs="仿宋_GB2312" w:eastAsia="仿宋_GB2312"/>
                <w:sz w:val="24"/>
              </w:rPr>
              <w:t>双方签订合同后，乙方在规定时间内完成所有职工的检查过程，并按要求提交检查汇总分析报告等资料后，开具全额发票及检查人数和详细名单。甲方按照实际体检查数及发票金额付款。</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五、</w:t>
            </w:r>
            <w:r>
              <w:rPr>
                <w:rFonts w:ascii="仿宋_GB2312" w:hAnsi="仿宋_GB2312" w:cs="仿宋_GB2312" w:eastAsia="仿宋_GB2312"/>
                <w:sz w:val="24"/>
                <w:color w:val="000000"/>
              </w:rPr>
              <w:t>其他要求</w:t>
            </w:r>
          </w:p>
          <w:p>
            <w:pPr>
              <w:pStyle w:val="null3"/>
            </w:pPr>
            <w:r>
              <w:rPr>
                <w:rFonts w:ascii="仿宋_GB2312" w:hAnsi="仿宋_GB2312" w:cs="仿宋_GB2312" w:eastAsia="仿宋_GB2312"/>
                <w:sz w:val="24"/>
                <w:color w:val="000000"/>
              </w:rPr>
              <w:t>（一）进度要求</w:t>
            </w:r>
          </w:p>
          <w:p>
            <w:pPr>
              <w:pStyle w:val="null3"/>
            </w:pPr>
            <w:r>
              <w:rPr>
                <w:rFonts w:ascii="仿宋_GB2312" w:hAnsi="仿宋_GB2312" w:cs="仿宋_GB2312" w:eastAsia="仿宋_GB2312"/>
                <w:sz w:val="24"/>
                <w:color w:val="000000"/>
              </w:rPr>
              <w:t>1.成交单位应在合同签订后接招标人通知之日起7 个日历日内安排人员（项目组成人员简历表所列）与使用单位进行安排、部署、计划。</w:t>
            </w:r>
          </w:p>
          <w:p>
            <w:pPr>
              <w:pStyle w:val="null3"/>
            </w:pPr>
            <w:r>
              <w:rPr>
                <w:rFonts w:ascii="仿宋_GB2312" w:hAnsi="仿宋_GB2312" w:cs="仿宋_GB2312" w:eastAsia="仿宋_GB2312"/>
                <w:sz w:val="24"/>
                <w:color w:val="000000"/>
              </w:rPr>
              <w:t>2.若未能在按照项目实际工作时间完成规定的义务，由此对招标人造成的延误和一切损失，由成交单位承担和赔偿。</w:t>
            </w:r>
          </w:p>
          <w:p>
            <w:pPr>
              <w:pStyle w:val="null3"/>
            </w:pPr>
            <w:r>
              <w:rPr>
                <w:rFonts w:ascii="仿宋_GB2312" w:hAnsi="仿宋_GB2312" w:cs="仿宋_GB2312" w:eastAsia="仿宋_GB2312"/>
                <w:sz w:val="24"/>
                <w:color w:val="000000"/>
              </w:rPr>
              <w:t>（二）成果交付要求</w:t>
            </w:r>
          </w:p>
          <w:p>
            <w:pPr>
              <w:pStyle w:val="null3"/>
            </w:pPr>
            <w:r>
              <w:rPr>
                <w:rFonts w:ascii="仿宋_GB2312" w:hAnsi="仿宋_GB2312" w:cs="仿宋_GB2312" w:eastAsia="仿宋_GB2312"/>
                <w:sz w:val="24"/>
                <w:color w:val="000000"/>
              </w:rPr>
              <w:t>1.成交单位提供本次西安铁路职业技术学院检查分析报告纸质版和电子版。纸质版要求 A4 纸胶印装订，封面标注单位名称及体检日期，按部门/人员分类整理。电子版报告要求 PDF 格式（加密传输），包含个人检查结果、异常指标解读、健康建议等。</w:t>
            </w:r>
          </w:p>
          <w:p>
            <w:pPr>
              <w:pStyle w:val="null3"/>
            </w:pPr>
            <w:r>
              <w:rPr>
                <w:rFonts w:ascii="仿宋_GB2312" w:hAnsi="仿宋_GB2312" w:cs="仿宋_GB2312" w:eastAsia="仿宋_GB2312"/>
                <w:sz w:val="24"/>
              </w:rPr>
              <w:t>2.检查结束后 15 个工作日内完成全部报告交付。检查过程中发现重大阳性结果（如进展期肿瘤、血管严重狭窄等）2 小时内通知受检者本人或检查单位项目负责人。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签订合同后，乙方在规定时间内完成所有职工的检查过程，并按要求提交检查汇总分析报告等资料后，开具全额发票及检查人数和详细名单。甲方按照实际体检查数及发票金额付款，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2.未按合同要求提供服务或服务质量不能满足技术要求，招标人有权终止合同，并对供方违约行为进行追究，同时按《中华人民共和国招投标法》的有关规定进行处罚。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本项目商务要求不允许偏离。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提供缴费所属日期为投标（响应）截止时间前12个月内任一月份（投标（响应）截止时间当月不计入）的缴费凭据或税务机关出具的完税证明/在法规范围内不需提供的应出具书面说明和证明文件；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提供缴费所属日期为投标（响应）截止时间前12个月内任一月份（投标（响应）截止时间当月不计入）的缴费凭据或社保机关出具的缴费证明/在法规范围内不需提供的应出具书面说明和证明文件；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/或财政部门认可的政府采购专业担保机构出具的投标（响应）担保函；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或提供法定代表人身份证明及身份证复印件（法定代表人直接参加投标（响应）)。</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医疗机构执业许可证书及放射诊疗许可证</w:t>
            </w:r>
          </w:p>
        </w:tc>
        <w:tc>
          <w:tcPr>
            <w:tcW w:type="dxa" w:w="3322"/>
          </w:tcPr>
          <w:p>
            <w:pPr>
              <w:pStyle w:val="null3"/>
            </w:pPr>
            <w:r>
              <w:rPr>
                <w:rFonts w:ascii="仿宋_GB2312" w:hAnsi="仿宋_GB2312" w:cs="仿宋_GB2312" w:eastAsia="仿宋_GB2312"/>
              </w:rPr>
              <w:t>供应商具有有效期内的医疗机构执业许可证书及放射诊疗许可证。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响应）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本项目不接受联合体磋商（提供声明文件）</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1、磋商响应文件是否包含磋商报价表、响应函、技术和商务响应文件；2、磋商报价完整，不得只对采购需求部分内容进行报价。</w:t>
            </w:r>
          </w:p>
        </w:tc>
        <w:tc>
          <w:tcPr>
            <w:tcW w:type="dxa" w:w="1661"/>
          </w:tcPr>
          <w:p>
            <w:pPr>
              <w:pStyle w:val="null3"/>
            </w:pPr>
            <w:r>
              <w:rPr>
                <w:rFonts w:ascii="仿宋_GB2312" w:hAnsi="仿宋_GB2312" w:cs="仿宋_GB2312" w:eastAsia="仿宋_GB2312"/>
              </w:rPr>
              <w:t>响应文件封面 中小企业声明函 残疾人福利性单位声明函 报价明细表 资格证明材料 服务内容及服务要求应答表 标的清单 响应函 商务条款承诺书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1.磋商响应文件上法定代表人或其授权代表人的签字齐全并按要求加盖公章；2.只能有一个有效报价，不得提交选择性报价，且报价不超过采购预算金额或最高限价；3.不存在采购文件及法律法规规定的无效情形。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报价明细表 资格证明材料 服务内容及服务要求应答表 标的清单 响应函 商务条款承诺书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3.对磋商文件中规定的要求是否做出了实质性响应。</w:t>
            </w:r>
          </w:p>
        </w:tc>
        <w:tc>
          <w:tcPr>
            <w:tcW w:type="dxa" w:w="1661"/>
          </w:tcPr>
          <w:p>
            <w:pPr>
              <w:pStyle w:val="null3"/>
            </w:pPr>
            <w:r>
              <w:rPr>
                <w:rFonts w:ascii="仿宋_GB2312" w:hAnsi="仿宋_GB2312" w:cs="仿宋_GB2312" w:eastAsia="仿宋_GB2312"/>
              </w:rPr>
              <w:t>响应文件封面 中小企业声明函 残疾人福利性单位声明函 报价明细表 资格证明材料 服务内容及服务要求应答表 标的清单 响应函 商务条款承诺书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 ①体检工作全流程服务方案； ②各项体检操作规程； ③主要检测项目的检测方法； ④隐私保护措施； ⑤健康咨询及随访服务； ⑥设有专门的投诉渠道和处理机制。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 ①质量保障措施； ②药剂、耗材质保措施； ③质量管理制度（须包含医疗仪器的清洗消毒及追溯制度）。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 ①服务过程中设备故障应急处理方案； ②服务检查过程中发生医疗安全事件应急方案； ③突发社会公共卫生安全事件应急方案。 赋分标准： 1.具有相关内容描述每项得0.5分； 2.具有明确实施步骤每项得0.5分； 3.能够紧扣项目实际情况每项得0.5分。 注：单项未提供内容不得分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应急保障措施</w:t>
            </w:r>
          </w:p>
        </w:tc>
      </w:tr>
      <w:tr>
        <w:tc>
          <w:tcPr>
            <w:tcW w:type="dxa" w:w="831"/>
            <w:vMerge/>
          </w:tcPr>
          <w:p/>
        </w:tc>
        <w:tc>
          <w:tcPr>
            <w:tcW w:type="dxa" w:w="1661"/>
          </w:tcPr>
          <w:p>
            <w:pPr>
              <w:pStyle w:val="null3"/>
            </w:pPr>
            <w:r>
              <w:rPr>
                <w:rFonts w:ascii="仿宋_GB2312" w:hAnsi="仿宋_GB2312" w:cs="仿宋_GB2312" w:eastAsia="仿宋_GB2312"/>
              </w:rPr>
              <w:t>专项检查实施方案</w:t>
            </w:r>
          </w:p>
        </w:tc>
        <w:tc>
          <w:tcPr>
            <w:tcW w:type="dxa" w:w="2492"/>
          </w:tcPr>
          <w:p>
            <w:pPr>
              <w:pStyle w:val="null3"/>
            </w:pPr>
            <w:r>
              <w:rPr>
                <w:rFonts w:ascii="仿宋_GB2312" w:hAnsi="仿宋_GB2312" w:cs="仿宋_GB2312" w:eastAsia="仿宋_GB2312"/>
              </w:rPr>
              <w:t>评审内容： ①检前受检者病史与基础检查筛查、麻醉风险分级评估等； ②检中诊疗与活检操作方案，静脉麻醉实施与全程生命体征监测、内镜下活检适应症把控与规范取材、活检创面止血处理、检中医护协同机制； ③危急重症急救与转诊绿色通道方案，针对检查过程中突发的各类危急重症，明确现场急救操作流程、多部门联动响应机制、急救转诊的绿色通道衔接等。 赋分标准： 1.具有相关内容描述每项得1分；2.具有明确实施步骤每项得1分；3.能够紧扣项目实际情况每项得1分。 注：单项未提供内容不得分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专项检查实施方案</w:t>
            </w:r>
          </w:p>
        </w:tc>
      </w:tr>
      <w:tr>
        <w:tc>
          <w:tcPr>
            <w:tcW w:type="dxa" w:w="831"/>
            <w:vMerge/>
          </w:tcPr>
          <w:p/>
        </w:tc>
        <w:tc>
          <w:tcPr>
            <w:tcW w:type="dxa" w:w="1661"/>
          </w:tcPr>
          <w:p>
            <w:pPr>
              <w:pStyle w:val="null3"/>
            </w:pPr>
            <w:r>
              <w:rPr>
                <w:rFonts w:ascii="仿宋_GB2312" w:hAnsi="仿宋_GB2312" w:cs="仿宋_GB2312" w:eastAsia="仿宋_GB2312"/>
              </w:rPr>
              <w:t>极端风险控制方案</w:t>
            </w:r>
          </w:p>
        </w:tc>
        <w:tc>
          <w:tcPr>
            <w:tcW w:type="dxa" w:w="2492"/>
          </w:tcPr>
          <w:p>
            <w:pPr>
              <w:pStyle w:val="null3"/>
            </w:pPr>
            <w:r>
              <w:rPr>
                <w:rFonts w:ascii="仿宋_GB2312" w:hAnsi="仿宋_GB2312" w:cs="仿宋_GB2312" w:eastAsia="仿宋_GB2312"/>
              </w:rPr>
              <w:t>评审内容： ①针对无痛胃肠镜静脉麻醉过程中可能出现的过敏性休克、呼吸心跳骤停、反流误吸窒息、严重气道梗阻、循环衰竭等致死性风险，制定风控方案； ②针对胃肠镜检查及内镜下活检中可能出现的消化道大出血、胃肠穿孔、迟发性出血、操作诱发急性心脑血管意外等严重并发症，制定风控方案； ③针对冠状动脉 CTA 检查中碘造影剂重度过敏反应、造影剂肾病、造影剂严重外渗、检查诱发急性冠脉综合征、恶性心律失常猝死等风险，制定风控方案； 赋分标准： 1.具有相关内容描述每项得1分；2.具有明确实施步骤每项得1分；3.能够紧扣项目实际情况每项得1分。 注：单项未提供内容不得分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极端风险控制方案</w:t>
            </w:r>
          </w:p>
        </w:tc>
      </w:tr>
      <w:tr>
        <w:tc>
          <w:tcPr>
            <w:tcW w:type="dxa" w:w="831"/>
            <w:vMerge/>
          </w:tcPr>
          <w:p/>
        </w:tc>
        <w:tc>
          <w:tcPr>
            <w:tcW w:type="dxa" w:w="1661"/>
          </w:tcPr>
          <w:p>
            <w:pPr>
              <w:pStyle w:val="null3"/>
            </w:pPr>
            <w:r>
              <w:rPr>
                <w:rFonts w:ascii="仿宋_GB2312" w:hAnsi="仿宋_GB2312" w:cs="仿宋_GB2312" w:eastAsia="仿宋_GB2312"/>
              </w:rPr>
              <w:t>人员团队</w:t>
            </w:r>
          </w:p>
        </w:tc>
        <w:tc>
          <w:tcPr>
            <w:tcW w:type="dxa" w:w="2492"/>
          </w:tcPr>
          <w:p>
            <w:pPr>
              <w:pStyle w:val="null3"/>
            </w:pPr>
            <w:r>
              <w:rPr>
                <w:rFonts w:ascii="仿宋_GB2312" w:hAnsi="仿宋_GB2312" w:cs="仿宋_GB2312" w:eastAsia="仿宋_GB2312"/>
              </w:rPr>
              <w:t>1、项目总负责人1名：提供高级职称（副主任医师及以上）得3分，未提供或无相应证明资料不得分。 2、消化内镜团队： ①内镜医师：须配备至少 2 名具有 5年以上消化内镜诊疗经验的主治医师及以上职称的医师。 提供有效的《医师执业证书》和相关职称证明材料，每人得2分，共计4分，未提供或无相应证明资料不得分。 ②内镜护士：须配备至少 2 名经过专业培训的内镜护士。提供有效的《护士执业证书》，每人得1分，共计2分，未提供或无相应证明资料不得分。 3、冠脉 CTA 团队： ①诊断医师：须配备至少 2 名具有心血管影像诊断经验的放射科或心内科医师（主治医师及以上职称）。提供有效的《医师执业证书》和相关职称证明材料，每人得2分，共计4分，未提供或无相应证明资料不得分。 ②CT 技师：须配备至少2 名熟练掌握冠脉 CTA 扫描技术的专职技师。提供有效的《放射医学技术》相关资格证书，每人得2分，共计4分，未提供或无相应证明资料不得分。 ③护理人员：须配备至少 1 名护士提供有效的《护士执业证书》，得1分，未提供或无相应证明资料不得分。 注：以上人员须提供在供应商单位依法缴纳社保凭证（近半年内任意一个月）。</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人员团队</w:t>
            </w:r>
          </w:p>
        </w:tc>
      </w:tr>
      <w:tr>
        <w:tc>
          <w:tcPr>
            <w:tcW w:type="dxa" w:w="831"/>
            <w:vMerge/>
          </w:tcPr>
          <w:p/>
        </w:tc>
        <w:tc>
          <w:tcPr>
            <w:tcW w:type="dxa" w:w="1661"/>
          </w:tcPr>
          <w:p>
            <w:pPr>
              <w:pStyle w:val="null3"/>
            </w:pPr>
            <w:r>
              <w:rPr>
                <w:rFonts w:ascii="仿宋_GB2312" w:hAnsi="仿宋_GB2312" w:cs="仿宋_GB2312" w:eastAsia="仿宋_GB2312"/>
              </w:rPr>
              <w:t>配套设备</w:t>
            </w:r>
          </w:p>
        </w:tc>
        <w:tc>
          <w:tcPr>
            <w:tcW w:type="dxa" w:w="2492"/>
          </w:tcPr>
          <w:p>
            <w:pPr>
              <w:pStyle w:val="null3"/>
            </w:pPr>
            <w:r>
              <w:rPr>
                <w:rFonts w:ascii="仿宋_GB2312" w:hAnsi="仿宋_GB2312" w:cs="仿宋_GB2312" w:eastAsia="仿宋_GB2312"/>
              </w:rPr>
              <w:t>①内镜主机：配备高清电子胃肠镜主机 ②治疗设备：配备高频电刀、氩气刀等内镜下治疗设备 ③配备64 排及以上的螺旋 CT 扫描仪，具备心电门控功能 ④麻醉与监护：每个检查室须配备独立的多功能生命体征监护仪、麻醉机、供氧设备及除颤仪等急救设备。 ⑤配备双筒高压注射器， 提供所配备产品证明材料，完全提供每项得3分，未提供或少提供不得分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配套设备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供应商提供2023年1月1日以来至今完成过的项目业绩，提供完整合同复印件。以合同签订时间为准； 要求①每提供1项体检服务业绩得2分，满分8分； 要求②每提供1项包含本项目专项体检服务业绩得2分，满分8分； 注：重复业绩按1份计算。</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2.满足磋商文件实质性要求且最终报价最低的供应商的价格为磋商基准价，其价格分为满分15分。 3.磋商报价得分=(磋商基准价/最终磋商报价)×15的公式计算得分。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详见附件：商务条款承诺书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详见附件：质量保证方案</w:t>
      </w:r>
    </w:p>
    <w:p>
      <w:pPr>
        <w:pStyle w:val="null3"/>
        <w:ind w:firstLine="960"/>
      </w:pPr>
      <w:r>
        <w:rPr>
          <w:rFonts w:ascii="仿宋_GB2312" w:hAnsi="仿宋_GB2312" w:cs="仿宋_GB2312" w:eastAsia="仿宋_GB2312"/>
        </w:rPr>
        <w:t>详见附件：应急保障措施</w:t>
      </w:r>
    </w:p>
    <w:p>
      <w:pPr>
        <w:pStyle w:val="null3"/>
        <w:ind w:firstLine="960"/>
      </w:pPr>
      <w:r>
        <w:rPr>
          <w:rFonts w:ascii="仿宋_GB2312" w:hAnsi="仿宋_GB2312" w:cs="仿宋_GB2312" w:eastAsia="仿宋_GB2312"/>
        </w:rPr>
        <w:t>详见附件：专项检查实施方案</w:t>
      </w:r>
    </w:p>
    <w:p>
      <w:pPr>
        <w:pStyle w:val="null3"/>
        <w:ind w:firstLine="960"/>
      </w:pPr>
      <w:r>
        <w:rPr>
          <w:rFonts w:ascii="仿宋_GB2312" w:hAnsi="仿宋_GB2312" w:cs="仿宋_GB2312" w:eastAsia="仿宋_GB2312"/>
        </w:rPr>
        <w:t>详见附件：极端风险控制方案</w:t>
      </w:r>
    </w:p>
    <w:p>
      <w:pPr>
        <w:pStyle w:val="null3"/>
        <w:ind w:firstLine="960"/>
      </w:pPr>
      <w:r>
        <w:rPr>
          <w:rFonts w:ascii="仿宋_GB2312" w:hAnsi="仿宋_GB2312" w:cs="仿宋_GB2312" w:eastAsia="仿宋_GB2312"/>
        </w:rPr>
        <w:t>详见附件：人员团队</w:t>
      </w:r>
    </w:p>
    <w:p>
      <w:pPr>
        <w:pStyle w:val="null3"/>
        <w:ind w:firstLine="960"/>
      </w:pPr>
      <w:r>
        <w:rPr>
          <w:rFonts w:ascii="仿宋_GB2312" w:hAnsi="仿宋_GB2312" w:cs="仿宋_GB2312" w:eastAsia="仿宋_GB2312"/>
        </w:rPr>
        <w:t>详见附件：配套设备</w:t>
      </w:r>
    </w:p>
    <w:p>
      <w:pPr>
        <w:pStyle w:val="null3"/>
        <w:ind w:firstLine="960"/>
      </w:pPr>
      <w:r>
        <w:rPr>
          <w:rFonts w:ascii="仿宋_GB2312" w:hAnsi="仿宋_GB2312" w:cs="仿宋_GB2312" w:eastAsia="仿宋_GB2312"/>
        </w:rPr>
        <w:t>详见附件：业绩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