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  <w:t>秦岭南麓生态水文野外科学观测研究站-生态要素野外自动监测设备购置</w:t>
      </w: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项目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2507"/>
        <w:gridCol w:w="1169"/>
        <w:gridCol w:w="1725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秦岭南麓生态水文野外科学观测研究站-生态要素野外自动监测设备购置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703034.00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703034.00</w:t>
            </w:r>
          </w:p>
        </w:tc>
      </w:tr>
    </w:tbl>
    <w:p w14:paraId="0DBAB628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5FF2EDE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</Words>
  <Characters>112</Characters>
  <Lines>13</Lines>
  <Paragraphs>17</Paragraphs>
  <TotalTime>0</TotalTime>
  <ScaleCrop>false</ScaleCrop>
  <LinksUpToDate>false</LinksUpToDate>
  <CharactersWithSpaces>112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2026-08-03T02:49:05Z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