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b/>
          <w:bCs/>
          <w:sz w:val="48"/>
          <w:szCs w:val="56"/>
        </w:rPr>
      </w:pPr>
      <w:r>
        <w:rPr>
          <w:rFonts w:hint="eastAsia"/>
          <w:b/>
          <w:bCs/>
          <w:sz w:val="48"/>
          <w:szCs w:val="56"/>
          <w:lang w:val="en-US" w:eastAsia="zh-CN"/>
        </w:rPr>
        <w:t>供应商</w:t>
      </w:r>
      <w:r>
        <w:rPr>
          <w:rFonts w:hint="eastAsia"/>
          <w:b/>
          <w:bCs/>
          <w:sz w:val="48"/>
          <w:szCs w:val="56"/>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项目编号：HZ-J2026049C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项目名称：</w:t>
      </w:r>
      <w:r>
        <w:rPr>
          <w:rFonts w:hint="eastAsia"/>
          <w:sz w:val="32"/>
          <w:szCs w:val="40"/>
          <w:u w:val="single"/>
          <w:lang w:val="en-US" w:eastAsia="zh-CN"/>
        </w:rPr>
        <w:t xml:space="preserve">2026-2027学年南郑区实验幼儿园、汉中市南郑区城关幼儿园蔬菜、辅料、水果、杂粮等食材配送采购项目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供应商名称：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1.供应商须为具有独立承担民事责任能力的法人、其他组织或自然人：出具合法有效的营业执照等国家规定的相关证明，自然人参与的提供其身份证明。（材料应清晰可辨并进行电子签章）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2026-2027学年南郑区实验幼儿园、汉中市南郑区城关幼儿园蔬菜、辅料、水果、杂粮等食材配送采购项目 </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从</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 </w:t>
      </w:r>
    </w:p>
    <w:p w14:paraId="17C7E23A">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注：若供应商未提供《汉中市政府采购供应商资格承诺函》，应当按照《中华人民共和国政府采购法》及其实施条例等相关法律法规规定提供相应的证明材料。相应证明材料如下：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8月1日以来已缴存的任意1个月的社会保障资金缴存单据或社保机构开具的社会保险参保缴费情况证明；依法不需要缴纳社会保障资金的供应商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8月1日以来已缴纳的任意1个月的依法缴纳税收的相关凭据(时间以税款所属日期为准)，凭据应有税务机关或代收机关的公章或业务专用章；依法免税或无须缴纳税收的供应商，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在磋商截止时间前3日内查询，查询结果以电子图片或者纸质版存档并作为资格审查资料的一部分，如相关失信记录已失效，供应商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9621_WPSOffice_Level2"/>
      <w:bookmarkStart w:id="2" w:name="_Toc22746_WPSOffice_Level2"/>
      <w:bookmarkStart w:id="3" w:name="_Toc29022_WPSOffice_Level2"/>
      <w:r>
        <w:rPr>
          <w:rFonts w:hint="eastAsia"/>
          <w:b/>
          <w:bCs/>
          <w:sz w:val="28"/>
          <w:szCs w:val="36"/>
          <w:u w:val="none"/>
          <w:lang w:val="en-US" w:eastAsia="zh-CN"/>
        </w:rPr>
        <w:t xml:space="preserve">5.供应商须提供有效期内的《食品经营许可证》。（材料应清晰可辨并进行电子签章）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6.不接受联合体磋商，按照格式填写承诺书。（材料应清晰可辨并进行电子签章）</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非联合体磋商承诺书​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完全知晓并同意本项目响应文件中 “不接受联合体磋商”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二、本单位保证所提交的响应文件及相关材料真实、合法、有效，无任何虚假记载、误导性陈述或重大遗漏。若经查实本单位存在隐瞒联合体参与事实、提供虚假材料等违规行为，本单位自愿承担以下责任：​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磋商</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供应商</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（供应商全称并加盖公章）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我方承诺，不存在相关法律法规规定的禁止磋商的情形。我单位的股权关系、与其他单位的管理关系和其他与本项目有关的利害关系等，作如下说明和承诺：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0578_WPSOffice_Level2"/>
      <w:bookmarkStart w:id="5" w:name="_Toc16297_WPSOffice_Level2"/>
      <w:bookmarkStart w:id="6" w:name="_Toc14125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0668_WPSOffice_Level2"/>
      <w:bookmarkStart w:id="8" w:name="_Toc26574_WPSOffice_Level2"/>
      <w:bookmarkStart w:id="9" w:name="_Toc1335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cstheme="minorEastAsia"/>
          <w:spacing w:val="0"/>
          <w:position w:val="0"/>
          <w:sz w:val="22"/>
          <w:szCs w:val="22"/>
          <w:lang w:eastAsia="zh-CN"/>
        </w:rPr>
        <w:t>供应商</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cstheme="minorEastAsia"/>
          <w:spacing w:val="0"/>
          <w:position w:val="0"/>
          <w:sz w:val="22"/>
          <w:szCs w:val="22"/>
          <w:u w:val="single"/>
          <w:lang w:val="en-US" w:eastAsia="zh-CN"/>
        </w:rPr>
        <w:t>供应商</w:t>
      </w:r>
      <w:r>
        <w:rPr>
          <w:rFonts w:hint="eastAsia" w:asciiTheme="minorEastAsia" w:hAnsiTheme="minorEastAsia" w:eastAsiaTheme="minorEastAsia" w:cstheme="minorEastAsia"/>
          <w:spacing w:val="0"/>
          <w:position w:val="0"/>
          <w:sz w:val="22"/>
          <w:szCs w:val="22"/>
          <w:u w:val="single"/>
          <w:lang w:val="en-US" w:eastAsia="zh-CN"/>
        </w:rPr>
        <w:t>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bookmarkStart w:id="10" w:name="_GoBack"/>
      <w:bookmarkEnd w:id="10"/>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0F851B01"/>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2883</Words>
  <Characters>3083</Characters>
  <Lines>0</Lines>
  <Paragraphs>0</Paragraphs>
  <TotalTime>9</TotalTime>
  <ScaleCrop>false</ScaleCrop>
  <LinksUpToDate>false</LinksUpToDate>
  <CharactersWithSpaces>3770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2026-08-06T05:41:46Z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