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版本号：GCZB2026-05-063-Y20260521001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“追金--金石学在陕西”设计施工制作项目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GCZB2026-05-063-Y</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“追金--金石学在陕西”设计施工制作项目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GCZB2026-05-063-Y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“追金--金石学在陕西”设计施工制作项目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陕西历史博物馆“追金-金石学在陕西”设计施工制作项目，具体内容详见第三章技术、服务标准和要求。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采购包1（陕西历史博物馆“追金-金石学在陕西”设计施工制作项目）：属于专门面向中小企业采购。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8、建筑资质：具备建设行政主管部门核发的建筑工程施工总承包三级及以上资质或建筑装修装饰工程专业承包二级及以上资质；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采购包1：861,285.42元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陕西历史博物馆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861,285.42</w:t>
      </w:r>
    </w:p>
    <w:p>
      <w:pPr>
        <w:pStyle w:val="null3"/>
      </w:pPr>
      <w:r>
        <w:rPr>
          <w:rFonts w:ascii="仿宋_GB2312" w:hAnsi="仿宋_GB2312" w:cs="仿宋_GB2312" w:eastAsia="仿宋_GB2312"/>
        </w:rPr>
        <w:t>采购包最高限价（元）: 861,285.42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861,285.42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该展览计划展出文物</w:t>
            </w:r>
            <w:r>
              <w:rPr>
                <w:rFonts w:ascii="仿宋_GB2312" w:hAnsi="仿宋_GB2312" w:cs="仿宋_GB2312" w:eastAsia="仿宋_GB2312"/>
                <w:sz w:val="20"/>
              </w:rPr>
              <w:t>两</w:t>
            </w:r>
            <w:r>
              <w:rPr>
                <w:rFonts w:ascii="仿宋_GB2312" w:hAnsi="仿宋_GB2312" w:cs="仿宋_GB2312" w:eastAsia="仿宋_GB2312"/>
                <w:sz w:val="20"/>
              </w:rPr>
              <w:t>百余件，展品主要涉及青铜器、拓本及文玩杂器等。采购内容依照展览需求主要包括以下方面：一、展示方案</w:t>
            </w:r>
            <w:r>
              <w:rPr>
                <w:rFonts w:ascii="仿宋_GB2312" w:hAnsi="仿宋_GB2312" w:cs="仿宋_GB2312" w:eastAsia="仿宋_GB2312"/>
                <w:sz w:val="20"/>
              </w:rPr>
              <w:t>深化</w:t>
            </w:r>
            <w:r>
              <w:rPr>
                <w:rFonts w:ascii="仿宋_GB2312" w:hAnsi="仿宋_GB2312" w:cs="仿宋_GB2312" w:eastAsia="仿宋_GB2312"/>
                <w:sz w:val="20"/>
              </w:rPr>
              <w:t>设计、施工图</w:t>
            </w:r>
            <w:r>
              <w:rPr>
                <w:rFonts w:ascii="仿宋_GB2312" w:hAnsi="仿宋_GB2312" w:cs="仿宋_GB2312" w:eastAsia="仿宋_GB2312"/>
                <w:sz w:val="20"/>
              </w:rPr>
              <w:t>深化</w:t>
            </w:r>
            <w:r>
              <w:rPr>
                <w:rFonts w:ascii="仿宋_GB2312" w:hAnsi="仿宋_GB2312" w:cs="仿宋_GB2312" w:eastAsia="仿宋_GB2312"/>
                <w:sz w:val="20"/>
              </w:rPr>
              <w:t>设计。二、展厅基础装饰施工。三、辅展设施设备的制作</w:t>
            </w:r>
            <w:r>
              <w:rPr>
                <w:rFonts w:ascii="仿宋_GB2312" w:hAnsi="仿宋_GB2312" w:cs="仿宋_GB2312" w:eastAsia="仿宋_GB2312"/>
                <w:sz w:val="20"/>
              </w:rPr>
              <w:t>、</w:t>
            </w:r>
            <w:r>
              <w:rPr>
                <w:rFonts w:ascii="仿宋_GB2312" w:hAnsi="仿宋_GB2312" w:cs="仿宋_GB2312" w:eastAsia="仿宋_GB2312"/>
                <w:sz w:val="20"/>
              </w:rPr>
              <w:t>采购</w:t>
            </w:r>
            <w:r>
              <w:rPr>
                <w:rFonts w:ascii="仿宋_GB2312" w:hAnsi="仿宋_GB2312" w:cs="仿宋_GB2312" w:eastAsia="仿宋_GB2312"/>
                <w:sz w:val="20"/>
              </w:rPr>
              <w:t>或租赁</w:t>
            </w:r>
            <w:r>
              <w:rPr>
                <w:rFonts w:ascii="仿宋_GB2312" w:hAnsi="仿宋_GB2312" w:cs="仿宋_GB2312" w:eastAsia="仿宋_GB2312"/>
                <w:sz w:val="20"/>
              </w:rPr>
              <w:t>及安装（包括但不限于</w:t>
            </w:r>
            <w:r>
              <w:rPr>
                <w:rFonts w:ascii="仿宋_GB2312" w:hAnsi="仿宋_GB2312" w:cs="仿宋_GB2312" w:eastAsia="仿宋_GB2312"/>
                <w:sz w:val="20"/>
              </w:rPr>
              <w:t>基础</w:t>
            </w:r>
            <w:r>
              <w:rPr>
                <w:rFonts w:ascii="仿宋_GB2312" w:hAnsi="仿宋_GB2312" w:cs="仿宋_GB2312" w:eastAsia="仿宋_GB2312"/>
                <w:sz w:val="20"/>
              </w:rPr>
              <w:t>展台、</w:t>
            </w:r>
            <w:r>
              <w:rPr>
                <w:rFonts w:ascii="仿宋_GB2312" w:hAnsi="仿宋_GB2312" w:cs="仿宋_GB2312" w:eastAsia="仿宋_GB2312"/>
                <w:sz w:val="20"/>
              </w:rPr>
              <w:t>积木台、</w:t>
            </w:r>
            <w:r>
              <w:rPr>
                <w:rFonts w:ascii="仿宋_GB2312" w:hAnsi="仿宋_GB2312" w:cs="仿宋_GB2312" w:eastAsia="仿宋_GB2312"/>
                <w:sz w:val="20"/>
              </w:rPr>
              <w:t>展板、文物支架、艺术品、多媒体设备等）。四、展厅多媒体展项的设计与制作（包括但不限于动画、游戏、带特效的艺术场景等）。五、符合博物馆展示需求与展品特性的灯光设计，以及专业的调光服务。六、展柜辅助工程（包括但不限于安防监控反馈系统、展厅导览标识等）。</w:t>
            </w:r>
            <w:r>
              <w:rPr>
                <w:rFonts w:ascii="仿宋_GB2312" w:hAnsi="仿宋_GB2312" w:cs="仿宋_GB2312" w:eastAsia="仿宋_GB2312"/>
                <w:sz w:val="20"/>
              </w:rPr>
              <w:t>七、提供专业的文物运输服务及购买相应的保险。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二、《金石学在陕西</w:t>
            </w:r>
            <w:r>
              <w:rPr>
                <w:rFonts w:ascii="仿宋_GB2312" w:hAnsi="仿宋_GB2312" w:cs="仿宋_GB2312" w:eastAsia="仿宋_GB2312"/>
                <w:sz w:val="20"/>
              </w:rPr>
              <w:t>·追金篇》展览内容介绍与方案说明</w:t>
            </w:r>
          </w:p>
          <w:p>
            <w:pPr>
              <w:pStyle w:val="null3"/>
            </w:pPr>
            <w:r>
              <w:rPr>
                <w:rFonts w:ascii="仿宋_GB2312" w:hAnsi="仿宋_GB2312" w:cs="仿宋_GB2312" w:eastAsia="仿宋_GB2312"/>
                <w:sz w:val="20"/>
              </w:rPr>
              <w:t>本次展览以</w:t>
            </w:r>
            <w:r>
              <w:rPr>
                <w:rFonts w:ascii="仿宋_GB2312" w:hAnsi="仿宋_GB2312" w:cs="仿宋_GB2312" w:eastAsia="仿宋_GB2312"/>
                <w:sz w:val="20"/>
              </w:rPr>
              <w:t>“金石学在陕西”为主题，上篇“追金”，聚焦陕西地区自商周至清代民国的青铜器遗存，系统梳理金石学的学术脉络、历史价值与当代传承。本次展览共展出文物两百余件。</w:t>
            </w:r>
          </w:p>
          <w:p>
            <w:pPr>
              <w:pStyle w:val="null3"/>
            </w:pPr>
            <w:r>
              <w:rPr>
                <w:rFonts w:ascii="仿宋_GB2312" w:hAnsi="仿宋_GB2312" w:cs="仿宋_GB2312" w:eastAsia="仿宋_GB2312"/>
                <w:sz w:val="20"/>
              </w:rPr>
              <w:t>展览分为五个单元。第一单元</w:t>
            </w:r>
            <w:r>
              <w:rPr>
                <w:rFonts w:ascii="仿宋_GB2312" w:hAnsi="仿宋_GB2312" w:cs="仿宋_GB2312" w:eastAsia="仿宋_GB2312"/>
                <w:sz w:val="20"/>
              </w:rPr>
              <w:t>“吉金渊薮”集中展示陕西出土的商周青铜器。第二单元“礼乐重光”将视角转向汉代至元代，展现在此漫长时期中，后人如何收藏、仿制和使用商周青铜器，以及复古礼制如何持续影响历代王朝。第三单元“楮墨传古”聚焦于全形拓技艺及其在金石学研究中的重要作用。第四单元“文脉延芳”转向明清时期仿古铜器及其生活美学功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 期：项目周期为15日历天，开工日期以甲方出具的开工通知书日期为准。 施工地点：陕西历史博物馆第六展厅； 质保期：该项目所涉展项、设备、材料、零部件或软件在安装完后至展期结束。 保修要求：提供免费维修服务：开放日期间1小时内电话或网络响应；4小时内现场响应。一般故障24小时内解决，如果无法在24小时内解决的，应在48小时内提供备用产品，以确保展项运行正常。定期提供质检服务。安排专人负责展场设施，展柜内台座、支架，灯光及多媒体等质量检查，消除隐患，确保安全。 付款方式：以双方共同确认进场时间，监理部门出具的开工单为准。预付合同总金额的40%为备料款。工程验收合格且展览结束后按照甲方最终审计价款支付尾款。最终结算价款以博物馆纪检审计结果为准。付款转账前，应开具符合财务要求的正式发票，否则有权延期付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二、保证金提供电子保函的，于开标截止时间前将保函扫描件发送至此邮箱504872992@qq.com。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具备建设行政主管部门核发的建筑工程施工总承包三级及以上资质或建筑装修装饰工程专业承包二级及以上资质；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投标人资格证明文件附件.docx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已标价工程量清单 项目管理机构组成表 投标人资格证明文件附件.docx 报价函 技术服务合同条款及其他商务要求应答表 供应商应提交的相关资格证明材料 标的清单 供应商类似项目业绩一览表 响应函 主要人员简历表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已标价工程量清单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针对本项目详细的技术方案，包括:①项目经理部组成、②施工进度表或施工网络图、③确保工期的技术组织措施、④施工方案⑤确保工程质量技术组织措施、⑥确保安全施工组织措施、⑦新技术新产品新工艺新材料应用、⑧施工机械配备和材料投入计划、⑨确保文明施工措施、⑩应急预案等。 技术方案符合采购项目特点及要求，描述详尽且有利于项目实施，得30分；评审内容每缺一项扣3分；评审内容有缺陷未完全响应评审标准的扣0.1-2.9分。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供应商针对本项目主要材料选择进行说明提供本项目施工所需主要材料的品牌、型号、技术说明等详细清单。主材清单的完整齐全，选择为主流产品、实用性强、主材选择市场占有率高，满足本项目实际需求使用，得15分；评审内容每缺一项扣3分；评审内容有缺陷未完全响应评审标准的扣0.1-2.9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提供施工所需主要材料（设备）货源渠道证明文件（不限于销售协议、代理协议、原厂授权等）。提供1-4项主要材料（设备）货源渠道证明的计2分；提供5-8项主要材料（设备）货源渠道证明的计4分；提供9-10项主要材料（设备）货源渠道证明的计6分；提供10项以上（不含10）主材材料（设备）渠道证明的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合同，每提供1个得2分，满分10分。（提供加盖投标人公章的合同复印件，提供合同包含签字盖章页、施工内容、合同签订日期等完整合同内容），备注：需同时提供与合同对应的发票复印件。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供应商针对本项目有详细具体的售后服务保障措施，包括：①质保期内服务内容、②问题响应时间、③售后服务人员配备、④施工保修承诺书等。 方案制定应完整全面、详细具体，满足项目实施要求，得8分；评审内容每缺一项扣2分；评审内容有缺陷未完全响应评审标准的扣0.1-1.9分。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1.磋商报价是指：设计+软硬件设备+装饰装修总计； 2.计算分数时四舍五入取小数点后两位。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