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CE5956">
      <w:pPr>
        <w:shd w:val="clear" w:color="auto" w:fill="FFFFFF"/>
        <w:jc w:val="center"/>
        <w:outlineLvl w:val="9"/>
        <w:rPr>
          <w:rFonts w:hint="eastAsia" w:ascii="方正小标宋简体" w:hAnsi="方正小标宋简体" w:eastAsia="方正小标宋简体" w:cs="方正小标宋简体"/>
          <w:b/>
          <w:color w:val="000000"/>
          <w:sz w:val="44"/>
          <w:szCs w:val="44"/>
          <w:highlight w:val="none"/>
        </w:rPr>
      </w:pPr>
      <w:bookmarkStart w:id="0" w:name="_Toc196837460"/>
      <w:r>
        <w:rPr>
          <w:rFonts w:hint="eastAsia" w:ascii="方正小标宋简体" w:hAnsi="方正小标宋简体" w:eastAsia="方正小标宋简体" w:cs="方正小标宋简体"/>
          <w:b/>
          <w:color w:val="000000"/>
          <w:sz w:val="44"/>
          <w:szCs w:val="44"/>
          <w:highlight w:val="none"/>
        </w:rPr>
        <w:t>采购需求书（货物类）</w:t>
      </w:r>
      <w:bookmarkEnd w:id="0"/>
    </w:p>
    <w:p w14:paraId="761EF4A5">
      <w:pPr>
        <w:shd w:val="clear" w:color="auto" w:fill="FFFFFF"/>
        <w:jc w:val="center"/>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rPr>
        <w:t>项目名称：</w:t>
      </w:r>
      <w:r>
        <w:rPr>
          <w:rFonts w:hint="eastAsia" w:ascii="仿宋_GB2312" w:hAnsi="仿宋_GB2312" w:eastAsia="仿宋_GB2312" w:cs="仿宋_GB2312"/>
          <w:color w:val="000000"/>
          <w:sz w:val="32"/>
          <w:szCs w:val="32"/>
          <w:highlight w:val="none"/>
          <w:lang w:eastAsia="zh-CN"/>
        </w:rPr>
        <w:t>职业学校办学情况统计系统</w:t>
      </w:r>
      <w:r>
        <w:rPr>
          <w:rFonts w:hint="eastAsia" w:ascii="仿宋_GB2312" w:hAnsi="仿宋_GB2312" w:eastAsia="仿宋_GB2312" w:cs="仿宋_GB2312"/>
          <w:color w:val="000000"/>
          <w:sz w:val="32"/>
          <w:szCs w:val="32"/>
          <w:highlight w:val="none"/>
          <w:lang w:val="en-US" w:eastAsia="zh-CN"/>
        </w:rPr>
        <w:t>项目</w:t>
      </w:r>
    </w:p>
    <w:p w14:paraId="3D3C41D0">
      <w:pPr>
        <w:shd w:val="clear" w:color="auto" w:fill="FFFFFF"/>
        <w:rPr>
          <w:rFonts w:ascii="仿宋_GB2312" w:hAnsi="仿宋_GB2312" w:eastAsia="仿宋_GB2312" w:cs="仿宋_GB2312"/>
          <w:b/>
          <w:color w:val="000000"/>
          <w:sz w:val="32"/>
          <w:szCs w:val="32"/>
          <w:highlight w:val="none"/>
          <w:lang w:val="en-US" w:eastAsia="zh-CN"/>
        </w:rPr>
      </w:pPr>
      <w:r>
        <w:rPr>
          <w:rFonts w:hint="eastAsia" w:ascii="仿宋_GB2312" w:hAnsi="仿宋_GB2312" w:eastAsia="仿宋_GB2312" w:cs="仿宋_GB2312"/>
          <w:b/>
          <w:color w:val="000000"/>
          <w:sz w:val="32"/>
          <w:szCs w:val="32"/>
          <w:highlight w:val="none"/>
        </w:rPr>
        <w:t>部门：</w:t>
      </w:r>
      <w:r>
        <w:rPr>
          <w:rFonts w:hint="eastAsia" w:ascii="仿宋_GB2312" w:hAnsi="仿宋_GB2312" w:eastAsia="仿宋_GB2312" w:cs="仿宋_GB2312"/>
          <w:b/>
          <w:color w:val="000000"/>
          <w:sz w:val="32"/>
          <w:szCs w:val="32"/>
          <w:highlight w:val="none"/>
          <w:lang w:val="en-US" w:eastAsia="zh-CN"/>
        </w:rPr>
        <w:t>发展规划处</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6"/>
        <w:gridCol w:w="1951"/>
        <w:gridCol w:w="6860"/>
      </w:tblGrid>
      <w:tr w14:paraId="68475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66" w:type="dxa"/>
            <w:vAlign w:val="center"/>
          </w:tcPr>
          <w:p w14:paraId="53EB6803">
            <w:pPr>
              <w:shd w:val="clear" w:color="auto" w:fill="FFFFFF"/>
              <w:jc w:val="center"/>
              <w:rPr>
                <w:rFonts w:hint="eastAsia" w:ascii="仿宋_GB2312" w:hAnsi="仿宋_GB2312" w:eastAsia="仿宋_GB2312" w:cs="仿宋_GB2312"/>
                <w:b/>
                <w:color w:val="000000"/>
                <w:kern w:val="0"/>
                <w:sz w:val="32"/>
                <w:szCs w:val="32"/>
                <w:highlight w:val="none"/>
              </w:rPr>
            </w:pPr>
            <w:r>
              <w:rPr>
                <w:rFonts w:hint="eastAsia" w:ascii="仿宋_GB2312" w:hAnsi="仿宋_GB2312" w:eastAsia="仿宋_GB2312" w:cs="仿宋_GB2312"/>
                <w:b/>
                <w:color w:val="000000"/>
                <w:kern w:val="0"/>
                <w:sz w:val="32"/>
                <w:szCs w:val="32"/>
                <w:highlight w:val="none"/>
              </w:rPr>
              <w:t>序号</w:t>
            </w:r>
          </w:p>
        </w:tc>
        <w:tc>
          <w:tcPr>
            <w:tcW w:w="1951" w:type="dxa"/>
            <w:vAlign w:val="center"/>
          </w:tcPr>
          <w:p w14:paraId="7B1AB3DB">
            <w:pPr>
              <w:shd w:val="clear" w:color="auto" w:fill="FFFFFF"/>
              <w:jc w:val="center"/>
              <w:rPr>
                <w:rFonts w:hint="eastAsia" w:ascii="仿宋_GB2312" w:hAnsi="仿宋_GB2312" w:eastAsia="仿宋_GB2312" w:cs="仿宋_GB2312"/>
                <w:b/>
                <w:color w:val="000000"/>
                <w:kern w:val="0"/>
                <w:sz w:val="32"/>
                <w:szCs w:val="32"/>
                <w:highlight w:val="none"/>
              </w:rPr>
            </w:pPr>
            <w:r>
              <w:rPr>
                <w:rFonts w:hint="eastAsia" w:ascii="仿宋_GB2312" w:hAnsi="仿宋_GB2312" w:eastAsia="仿宋_GB2312" w:cs="仿宋_GB2312"/>
                <w:b/>
                <w:color w:val="000000"/>
                <w:kern w:val="0"/>
                <w:sz w:val="32"/>
                <w:szCs w:val="32"/>
                <w:highlight w:val="none"/>
              </w:rPr>
              <w:t>关键事项</w:t>
            </w:r>
          </w:p>
        </w:tc>
        <w:tc>
          <w:tcPr>
            <w:tcW w:w="6860" w:type="dxa"/>
            <w:vAlign w:val="center"/>
          </w:tcPr>
          <w:p w14:paraId="52E47FEF">
            <w:pPr>
              <w:shd w:val="clear" w:color="auto" w:fill="FFFFFF"/>
              <w:jc w:val="center"/>
              <w:rPr>
                <w:rFonts w:hint="eastAsia" w:ascii="仿宋_GB2312" w:hAnsi="仿宋_GB2312" w:eastAsia="仿宋_GB2312" w:cs="仿宋_GB2312"/>
                <w:b/>
                <w:color w:val="000000"/>
                <w:kern w:val="0"/>
                <w:sz w:val="32"/>
                <w:szCs w:val="32"/>
                <w:highlight w:val="none"/>
              </w:rPr>
            </w:pPr>
            <w:r>
              <w:rPr>
                <w:rFonts w:hint="eastAsia" w:ascii="仿宋_GB2312" w:hAnsi="仿宋_GB2312" w:eastAsia="仿宋_GB2312" w:cs="仿宋_GB2312"/>
                <w:b/>
                <w:color w:val="000000"/>
                <w:kern w:val="0"/>
                <w:sz w:val="32"/>
                <w:szCs w:val="32"/>
                <w:highlight w:val="none"/>
              </w:rPr>
              <w:t>说明和要求</w:t>
            </w:r>
          </w:p>
        </w:tc>
      </w:tr>
      <w:tr w14:paraId="3735F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4" w:hRule="atLeast"/>
          <w:jc w:val="center"/>
        </w:trPr>
        <w:tc>
          <w:tcPr>
            <w:tcW w:w="866" w:type="dxa"/>
            <w:vAlign w:val="center"/>
          </w:tcPr>
          <w:p w14:paraId="2A066595">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1</w:t>
            </w:r>
          </w:p>
        </w:tc>
        <w:tc>
          <w:tcPr>
            <w:tcW w:w="1951" w:type="dxa"/>
            <w:vAlign w:val="center"/>
          </w:tcPr>
          <w:p w14:paraId="76AAB699">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采购预算</w:t>
            </w:r>
          </w:p>
        </w:tc>
        <w:tc>
          <w:tcPr>
            <w:tcW w:w="6860" w:type="dxa"/>
            <w:vAlign w:val="center"/>
          </w:tcPr>
          <w:p w14:paraId="4937E0CB">
            <w:pPr>
              <w:shd w:val="clear" w:color="auto" w:fill="FFFFFF"/>
              <w:rPr>
                <w:rFonts w:hint="eastAsia" w:ascii="仿宋_GB2312" w:hAnsi="仿宋_GB2312" w:eastAsia="仿宋_GB2312" w:cs="仿宋_GB2312"/>
                <w:color w:val="000000"/>
                <w:kern w:val="0"/>
                <w:sz w:val="28"/>
                <w:szCs w:val="28"/>
                <w:highlight w:val="none"/>
                <w:u w:val="single"/>
              </w:rPr>
            </w:pPr>
            <w:r>
              <w:rPr>
                <w:rFonts w:hint="eastAsia" w:ascii="仿宋_GB2312" w:hAnsi="仿宋_GB2312" w:eastAsia="仿宋_GB2312" w:cs="仿宋_GB2312"/>
                <w:color w:val="000000"/>
                <w:kern w:val="0"/>
                <w:sz w:val="28"/>
                <w:szCs w:val="28"/>
                <w:highlight w:val="none"/>
              </w:rPr>
              <w:t>人民币</w:t>
            </w:r>
            <w:r>
              <w:rPr>
                <w:rFonts w:hint="eastAsia" w:ascii="仿宋_GB2312" w:hAnsi="仿宋_GB2312" w:eastAsia="仿宋_GB2312" w:cs="仿宋_GB2312"/>
                <w:color w:val="000000"/>
                <w:kern w:val="0"/>
                <w:sz w:val="28"/>
                <w:szCs w:val="28"/>
                <w:highlight w:val="none"/>
                <w:u w:val="single"/>
                <w:lang w:val="en-US" w:eastAsia="zh-CN"/>
              </w:rPr>
              <w:t>50万</w:t>
            </w:r>
            <w:r>
              <w:rPr>
                <w:rFonts w:hint="eastAsia" w:ascii="仿宋_GB2312" w:hAnsi="仿宋_GB2312" w:eastAsia="仿宋_GB2312" w:cs="仿宋_GB2312"/>
                <w:color w:val="000000"/>
                <w:kern w:val="0"/>
                <w:sz w:val="28"/>
                <w:szCs w:val="28"/>
                <w:highlight w:val="none"/>
              </w:rPr>
              <w:t>元</w:t>
            </w:r>
          </w:p>
          <w:p w14:paraId="7601162A">
            <w:pPr>
              <w:shd w:val="clear" w:color="auto" w:fill="FFFFFF"/>
              <w:rPr>
                <w:rFonts w:hint="eastAsia" w:ascii="仿宋_GB2312" w:hAnsi="仿宋_GB2312" w:eastAsia="仿宋_GB2312" w:cs="仿宋_GB2312"/>
                <w:color w:val="000000"/>
                <w:kern w:val="0"/>
                <w:sz w:val="20"/>
                <w:szCs w:val="20"/>
                <w:highlight w:val="none"/>
              </w:rPr>
            </w:pPr>
            <w:r>
              <w:rPr>
                <w:rFonts w:hint="eastAsia" w:ascii="仿宋_GB2312" w:hAnsi="仿宋_GB2312" w:eastAsia="仿宋_GB2312" w:cs="仿宋_GB2312"/>
                <w:color w:val="000000"/>
                <w:kern w:val="0"/>
                <w:sz w:val="20"/>
                <w:szCs w:val="20"/>
                <w:highlight w:val="none"/>
              </w:rPr>
              <w:t>仅指与本次采购标的直接相关费用，前期勘察、设计等已发生的费用，以及监理、接口等为未来预留费用，不应当包含在本采购预算内，甲方须向本级财政部门经费业务处室申请办理经费剥离手续。</w:t>
            </w:r>
          </w:p>
        </w:tc>
      </w:tr>
      <w:tr w14:paraId="592C6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3" w:hRule="atLeast"/>
          <w:jc w:val="center"/>
        </w:trPr>
        <w:tc>
          <w:tcPr>
            <w:tcW w:w="866" w:type="dxa"/>
            <w:vAlign w:val="center"/>
          </w:tcPr>
          <w:p w14:paraId="16067C20">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2</w:t>
            </w:r>
          </w:p>
        </w:tc>
        <w:tc>
          <w:tcPr>
            <w:tcW w:w="1951" w:type="dxa"/>
            <w:vAlign w:val="center"/>
          </w:tcPr>
          <w:p w14:paraId="024BA7D7">
            <w:pPr>
              <w:shd w:val="clear" w:color="auto" w:fill="FFFFFF"/>
              <w:jc w:val="center"/>
              <w:rPr>
                <w:rFonts w:ascii="仿宋_GB2312" w:hAnsi="仿宋_GB2312" w:eastAsia="仿宋_GB2312" w:cs="仿宋_GB2312"/>
                <w:color w:val="000000"/>
                <w:kern w:val="0"/>
                <w:sz w:val="28"/>
                <w:szCs w:val="28"/>
                <w:highlight w:val="none"/>
                <w:lang w:val="en-US" w:eastAsia="zh-CN"/>
              </w:rPr>
            </w:pPr>
            <w:r>
              <w:rPr>
                <w:rFonts w:hint="eastAsia" w:ascii="仿宋_GB2312" w:hAnsi="仿宋_GB2312" w:eastAsia="仿宋_GB2312" w:cs="仿宋_GB2312"/>
                <w:color w:val="000000"/>
                <w:kern w:val="0"/>
                <w:sz w:val="28"/>
                <w:szCs w:val="28"/>
                <w:highlight w:val="none"/>
                <w:lang w:val="en-US" w:eastAsia="zh-CN"/>
              </w:rPr>
              <w:t>是否包含采购计算机</w:t>
            </w:r>
          </w:p>
        </w:tc>
        <w:tc>
          <w:tcPr>
            <w:tcW w:w="6860" w:type="dxa"/>
            <w:shd w:val="clear" w:color="auto" w:fill="auto"/>
            <w:vAlign w:val="center"/>
          </w:tcPr>
          <w:p w14:paraId="6C223CF3">
            <w:pPr>
              <w:shd w:val="clear" w:color="auto" w:fill="FFFFFF"/>
              <w:jc w:val="left"/>
              <w:rPr>
                <w:rFonts w:hint="eastAsia" w:ascii="仿宋_GB2312" w:hAnsi="仿宋_GB2312" w:eastAsia="仿宋_GB2312" w:cs="仿宋_GB2312"/>
                <w:color w:val="000000"/>
                <w:kern w:val="0"/>
                <w:sz w:val="28"/>
                <w:szCs w:val="28"/>
                <w:highlight w:val="none"/>
                <w:u w:val="none"/>
                <w:lang w:val="en-US" w:eastAsia="zh-CN"/>
              </w:rPr>
            </w:pPr>
            <w:r>
              <w:rPr>
                <w:rFonts w:hint="eastAsia" w:ascii="仿宋_GB2312" w:hAnsi="仿宋_GB2312" w:eastAsia="仿宋_GB2312" w:cs="仿宋_GB2312"/>
                <w:color w:val="000000"/>
                <w:kern w:val="0"/>
                <w:sz w:val="28"/>
                <w:szCs w:val="28"/>
                <w:highlight w:val="none"/>
                <w:lang w:val="en-US" w:eastAsia="zh-CN"/>
              </w:rPr>
              <w:t>是否采购计算机</w:t>
            </w:r>
            <w:r>
              <w:rPr>
                <w:rFonts w:hint="eastAsia" w:ascii="仿宋_GB2312" w:hAnsi="仿宋_GB2312" w:eastAsia="仿宋_GB2312" w:cs="仿宋_GB2312"/>
                <w:color w:val="000000"/>
                <w:kern w:val="0"/>
                <w:sz w:val="28"/>
                <w:szCs w:val="28"/>
                <w:highlight w:val="none"/>
                <w:u w:val="single"/>
              </w:rPr>
              <w:t>否</w:t>
            </w:r>
            <w:r>
              <w:rPr>
                <w:rFonts w:hint="eastAsia" w:ascii="仿宋_GB2312" w:hAnsi="仿宋_GB2312" w:eastAsia="仿宋_GB2312" w:cs="仿宋_GB2312"/>
                <w:color w:val="000000"/>
                <w:kern w:val="0"/>
                <w:sz w:val="28"/>
                <w:szCs w:val="28"/>
                <w:highlight w:val="none"/>
                <w:u w:val="none"/>
                <w:lang w:eastAsia="zh-CN"/>
              </w:rPr>
              <w:t>（</w:t>
            </w:r>
            <w:r>
              <w:rPr>
                <w:rFonts w:hint="eastAsia" w:ascii="仿宋_GB2312" w:hAnsi="仿宋_GB2312" w:eastAsia="仿宋_GB2312" w:cs="仿宋_GB2312"/>
                <w:color w:val="000000"/>
                <w:kern w:val="0"/>
                <w:sz w:val="28"/>
                <w:szCs w:val="28"/>
                <w:highlight w:val="none"/>
                <w:u w:val="none"/>
                <w:lang w:val="en-US" w:eastAsia="zh-CN"/>
              </w:rPr>
              <w:t>是/否</w:t>
            </w:r>
            <w:r>
              <w:rPr>
                <w:rFonts w:hint="eastAsia" w:ascii="仿宋_GB2312" w:hAnsi="仿宋_GB2312" w:eastAsia="仿宋_GB2312" w:cs="仿宋_GB2312"/>
                <w:color w:val="000000"/>
                <w:kern w:val="0"/>
                <w:sz w:val="28"/>
                <w:szCs w:val="28"/>
                <w:highlight w:val="none"/>
                <w:u w:val="none"/>
                <w:lang w:eastAsia="zh-CN"/>
              </w:rPr>
              <w:t>）</w:t>
            </w:r>
          </w:p>
          <w:p w14:paraId="7DAED182">
            <w:pPr>
              <w:shd w:val="clear" w:color="auto" w:fill="FFFFFF"/>
              <w:jc w:val="left"/>
              <w:rPr>
                <w:rFonts w:hint="eastAsia" w:ascii="仿宋_GB2312" w:hAnsi="仿宋_GB2312" w:eastAsia="仿宋_GB2312" w:cs="仿宋_GB2312"/>
                <w:color w:val="000000"/>
                <w:kern w:val="0"/>
                <w:sz w:val="28"/>
                <w:szCs w:val="28"/>
                <w:highlight w:val="none"/>
                <w:u w:val="none"/>
                <w:lang w:eastAsia="zh-CN"/>
              </w:rPr>
            </w:pPr>
            <w:r>
              <w:rPr>
                <w:rFonts w:hint="eastAsia" w:ascii="仿宋_GB2312" w:hAnsi="仿宋_GB2312" w:eastAsia="仿宋_GB2312" w:cs="仿宋_GB2312"/>
                <w:color w:val="000000"/>
                <w:kern w:val="0"/>
                <w:sz w:val="28"/>
                <w:szCs w:val="28"/>
                <w:highlight w:val="none"/>
                <w:lang w:val="en-US" w:eastAsia="zh-CN"/>
              </w:rPr>
              <w:t>数量</w:t>
            </w:r>
            <w:r>
              <w:rPr>
                <w:rFonts w:ascii="仿宋_GB2312" w:hAnsi="仿宋_GB2312" w:eastAsia="仿宋_GB2312" w:cs="仿宋_GB2312"/>
                <w:color w:val="000000"/>
                <w:kern w:val="0"/>
                <w:sz w:val="28"/>
                <w:szCs w:val="28"/>
                <w:highlight w:val="none"/>
                <w:u w:val="single"/>
              </w:rPr>
              <w:t>/</w:t>
            </w:r>
            <w:r>
              <w:rPr>
                <w:rFonts w:hint="eastAsia" w:ascii="仿宋_GB2312" w:hAnsi="仿宋_GB2312" w:eastAsia="仿宋_GB2312" w:cs="仿宋_GB2312"/>
                <w:color w:val="000000"/>
                <w:kern w:val="0"/>
                <w:sz w:val="28"/>
                <w:szCs w:val="28"/>
                <w:highlight w:val="none"/>
                <w:u w:val="none"/>
                <w:lang w:eastAsia="zh-CN"/>
              </w:rPr>
              <w:t>（</w:t>
            </w:r>
            <w:r>
              <w:rPr>
                <w:rFonts w:hint="eastAsia" w:ascii="仿宋_GB2312" w:hAnsi="仿宋_GB2312" w:eastAsia="仿宋_GB2312" w:cs="仿宋_GB2312"/>
                <w:color w:val="000000"/>
                <w:kern w:val="0"/>
                <w:sz w:val="28"/>
                <w:szCs w:val="28"/>
                <w:highlight w:val="none"/>
                <w:u w:val="none"/>
                <w:lang w:val="en-US" w:eastAsia="zh-CN"/>
              </w:rPr>
              <w:t>台），</w:t>
            </w:r>
            <w:r>
              <w:rPr>
                <w:rFonts w:hint="eastAsia" w:ascii="仿宋_GB2312" w:hAnsi="仿宋_GB2312" w:eastAsia="仿宋_GB2312" w:cs="仿宋_GB2312"/>
                <w:color w:val="000000"/>
                <w:sz w:val="32"/>
                <w:szCs w:val="40"/>
                <w:highlight w:val="none"/>
                <w:vertAlign w:val="baseline"/>
                <w:lang w:val="en-US" w:eastAsia="zh-CN"/>
              </w:rPr>
              <w:t>用途：</w:t>
            </w:r>
            <w:r>
              <w:rPr>
                <w:rFonts w:ascii="仿宋_GB2312" w:hAnsi="仿宋_GB2312" w:eastAsia="仿宋_GB2312" w:cs="仿宋_GB2312"/>
                <w:color w:val="000000"/>
                <w:kern w:val="0"/>
                <w:sz w:val="28"/>
                <w:szCs w:val="28"/>
                <w:highlight w:val="none"/>
                <w:u w:val="single"/>
              </w:rPr>
              <w:t>/</w:t>
            </w:r>
            <w:r>
              <w:rPr>
                <w:rFonts w:hint="eastAsia" w:ascii="仿宋_GB2312" w:hAnsi="仿宋_GB2312" w:eastAsia="仿宋_GB2312" w:cs="仿宋_GB2312"/>
                <w:color w:val="000000"/>
                <w:kern w:val="0"/>
                <w:sz w:val="28"/>
                <w:szCs w:val="28"/>
                <w:highlight w:val="none"/>
                <w:u w:val="none"/>
                <w:lang w:eastAsia="zh-CN"/>
              </w:rPr>
              <w:t>。</w:t>
            </w:r>
          </w:p>
          <w:p w14:paraId="119B021A">
            <w:pPr>
              <w:shd w:val="clear" w:color="auto" w:fill="FFFFFF"/>
              <w:jc w:val="left"/>
              <w:rPr>
                <w:rFonts w:hint="eastAsia" w:ascii="仿宋_GB2312" w:hAnsi="仿宋_GB2312" w:eastAsia="仿宋_GB2312" w:cs="仿宋_GB2312"/>
                <w:color w:val="000000"/>
                <w:kern w:val="0"/>
                <w:sz w:val="28"/>
                <w:szCs w:val="28"/>
                <w:highlight w:val="none"/>
                <w:lang w:val="en-US" w:eastAsia="zh-CN" w:bidi="ar-SA"/>
              </w:rPr>
            </w:pPr>
            <w:r>
              <w:rPr>
                <w:rFonts w:hint="eastAsia" w:ascii="仿宋_GB2312" w:hAnsi="仿宋_GB2312" w:eastAsia="仿宋_GB2312" w:cs="仿宋_GB2312"/>
                <w:color w:val="000000"/>
                <w:kern w:val="0"/>
                <w:sz w:val="20"/>
                <w:szCs w:val="20"/>
                <w:highlight w:val="none"/>
                <w:u w:val="none"/>
                <w:lang w:val="en-US" w:eastAsia="zh-CN"/>
              </w:rPr>
              <w:t>包含CPU的笔记本、台式、服务器等均视为计算机设备。</w:t>
            </w:r>
          </w:p>
        </w:tc>
      </w:tr>
      <w:tr w14:paraId="6A5DB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jc w:val="center"/>
        </w:trPr>
        <w:tc>
          <w:tcPr>
            <w:tcW w:w="866" w:type="dxa"/>
            <w:vMerge w:val="restart"/>
            <w:vAlign w:val="center"/>
          </w:tcPr>
          <w:p w14:paraId="53EC661B">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3</w:t>
            </w:r>
          </w:p>
        </w:tc>
        <w:tc>
          <w:tcPr>
            <w:tcW w:w="1951" w:type="dxa"/>
            <w:vMerge w:val="restart"/>
            <w:vAlign w:val="center"/>
          </w:tcPr>
          <w:p w14:paraId="1F592BB4">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项目性质</w:t>
            </w:r>
          </w:p>
        </w:tc>
        <w:tc>
          <w:tcPr>
            <w:tcW w:w="6860" w:type="dxa"/>
            <w:vAlign w:val="center"/>
          </w:tcPr>
          <w:p w14:paraId="29B9A679">
            <w:pPr>
              <w:shd w:val="clear" w:color="auto" w:fill="FFFFFF"/>
              <w:rPr>
                <w:rFonts w:hint="eastAsia" w:ascii="仿宋_GB2312" w:hAnsi="仿宋_GB2312" w:eastAsia="仿宋_GB2312" w:cs="仿宋_GB2312"/>
                <w:color w:val="000000"/>
                <w:kern w:val="0"/>
                <w:sz w:val="28"/>
                <w:szCs w:val="28"/>
                <w:highlight w:val="none"/>
              </w:rPr>
            </w:pPr>
            <w:r>
              <w:rPr>
                <w:rFonts w:hint="eastAsia" w:ascii="仿宋_GB2312" w:hAnsi="Times New Roman" w:eastAsia="仿宋_GB2312" w:cs="Times New Roman"/>
                <w:color w:val="000000"/>
                <w:kern w:val="0"/>
                <w:position w:val="3"/>
                <w:sz w:val="28"/>
                <w:szCs w:val="28"/>
                <w:highlight w:val="none"/>
              </w:rPr>
              <w:fldChar w:fldCharType="begin"/>
            </w:r>
            <w:r>
              <w:rPr>
                <w:rFonts w:hint="eastAsia" w:ascii="仿宋_GB2312" w:hAnsi="Times New Roman" w:eastAsia="仿宋_GB2312" w:cs="Times New Roman"/>
                <w:color w:val="000000"/>
                <w:kern w:val="0"/>
                <w:position w:val="3"/>
                <w:sz w:val="28"/>
                <w:szCs w:val="28"/>
                <w:highlight w:val="none"/>
              </w:rPr>
              <w:instrText xml:space="preserve">eq \o\ac(</w:instrText>
            </w:r>
            <w:r>
              <w:rPr>
                <w:rFonts w:hint="eastAsia" w:ascii="仿宋_GB2312" w:hAnsi="Times New Roman" w:eastAsia="仿宋_GB2312" w:cs="Times New Roman"/>
                <w:color w:val="000000"/>
                <w:kern w:val="0"/>
                <w:position w:val="0"/>
                <w:sz w:val="28"/>
                <w:szCs w:val="28"/>
                <w:highlight w:val="none"/>
              </w:rPr>
              <w:instrText xml:space="preserve">○</w:instrText>
            </w:r>
            <w:r>
              <w:rPr>
                <w:rFonts w:hint="eastAsia" w:ascii="仿宋_GB2312" w:hAnsi="Times New Roman" w:eastAsia="仿宋_GB2312" w:cs="Times New Roman"/>
                <w:color w:val="000000"/>
                <w:kern w:val="0"/>
                <w:position w:val="3"/>
                <w:sz w:val="19"/>
                <w:szCs w:val="28"/>
                <w:highlight w:val="none"/>
              </w:rPr>
              <w:instrText xml:space="preserve">,√)</w:instrText>
            </w:r>
            <w:r>
              <w:rPr>
                <w:rFonts w:hint="eastAsia" w:ascii="仿宋_GB2312" w:hAnsi="Times New Roman" w:eastAsia="仿宋_GB2312" w:cs="Times New Roman"/>
                <w:color w:val="000000"/>
                <w:kern w:val="0"/>
                <w:position w:val="3"/>
                <w:sz w:val="28"/>
                <w:szCs w:val="28"/>
                <w:highlight w:val="none"/>
              </w:rPr>
              <w:fldChar w:fldCharType="end"/>
            </w:r>
            <w:r>
              <w:rPr>
                <w:rFonts w:hint="eastAsia" w:ascii="仿宋_GB2312" w:hAnsi="仿宋_GB2312" w:eastAsia="仿宋_GB2312" w:cs="仿宋_GB2312"/>
                <w:color w:val="000000"/>
                <w:kern w:val="0"/>
                <w:sz w:val="28"/>
                <w:szCs w:val="28"/>
                <w:highlight w:val="none"/>
              </w:rPr>
              <w:t>专门面向中小企业采购</w:t>
            </w:r>
          </w:p>
          <w:p w14:paraId="0FC860F3">
            <w:pPr>
              <w:shd w:val="clear" w:color="auto" w:fill="FFFFFF"/>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○专门面向小微企业采购</w:t>
            </w:r>
          </w:p>
          <w:p w14:paraId="58989F44">
            <w:pPr>
              <w:shd w:val="clear" w:color="auto" w:fill="FFFFFF"/>
              <w:rPr>
                <w:rFonts w:hint="eastAsia" w:ascii="仿宋_GB2312" w:hAnsi="仿宋_GB2312" w:eastAsia="仿宋_GB2312" w:cs="仿宋_GB2312"/>
                <w:color w:val="000000"/>
                <w:kern w:val="0"/>
                <w:sz w:val="20"/>
                <w:szCs w:val="20"/>
                <w:highlight w:val="none"/>
              </w:rPr>
            </w:pPr>
            <w:r>
              <w:rPr>
                <w:rFonts w:hint="eastAsia" w:ascii="仿宋_GB2312" w:hAnsi="仿宋_GB2312" w:eastAsia="仿宋_GB2312" w:cs="仿宋_GB2312"/>
                <w:color w:val="000000"/>
                <w:kern w:val="0"/>
                <w:sz w:val="20"/>
                <w:szCs w:val="20"/>
                <w:highlight w:val="none"/>
              </w:rPr>
              <w:t>一般选择专门面向中小企业采购，只允许中、小、微型企业参与投标。</w:t>
            </w:r>
          </w:p>
          <w:p w14:paraId="55335E2E">
            <w:pPr>
              <w:shd w:val="clear" w:color="auto" w:fill="FFFFFF"/>
              <w:rPr>
                <w:rFonts w:hint="eastAsia" w:ascii="仿宋_GB2312" w:hAnsi="仿宋_GB2312" w:eastAsia="仿宋_GB2312" w:cs="仿宋_GB2312"/>
                <w:color w:val="000000"/>
                <w:kern w:val="0"/>
                <w:sz w:val="20"/>
                <w:szCs w:val="20"/>
                <w:highlight w:val="none"/>
                <w:lang w:eastAsia="zh-CN"/>
              </w:rPr>
            </w:pPr>
          </w:p>
        </w:tc>
      </w:tr>
      <w:tr w14:paraId="40BDB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7" w:hRule="atLeast"/>
          <w:jc w:val="center"/>
        </w:trPr>
        <w:tc>
          <w:tcPr>
            <w:tcW w:w="866" w:type="dxa"/>
            <w:vMerge w:val="continue"/>
            <w:vAlign w:val="center"/>
          </w:tcPr>
          <w:p w14:paraId="72FD6B60"/>
        </w:tc>
        <w:tc>
          <w:tcPr>
            <w:tcW w:w="1951" w:type="dxa"/>
            <w:vMerge w:val="continue"/>
            <w:vAlign w:val="center"/>
          </w:tcPr>
          <w:p w14:paraId="386FB334"/>
        </w:tc>
        <w:tc>
          <w:tcPr>
            <w:tcW w:w="6860" w:type="dxa"/>
            <w:vAlign w:val="center"/>
          </w:tcPr>
          <w:p w14:paraId="0B8048D3">
            <w:pPr>
              <w:shd w:val="clear" w:color="auto" w:fill="FFFFFF"/>
              <w:rPr>
                <w:rFonts w:hint="eastAsia" w:ascii="仿宋_GB2312" w:hAnsi="仿宋_GB2312" w:eastAsia="仿宋_GB2312" w:cs="仿宋_GB2312"/>
                <w:b/>
                <w:bCs/>
                <w:color w:val="000000"/>
                <w:kern w:val="0"/>
                <w:sz w:val="28"/>
                <w:szCs w:val="28"/>
                <w:highlight w:val="none"/>
                <w:lang w:eastAsia="zh-CN"/>
              </w:rPr>
            </w:pPr>
            <w:r>
              <w:rPr>
                <w:rFonts w:hint="eastAsia" w:ascii="仿宋_GB2312" w:hAnsi="仿宋_GB2312" w:eastAsia="仿宋_GB2312" w:cs="仿宋_GB2312"/>
                <w:color w:val="000000"/>
                <w:kern w:val="0"/>
                <w:sz w:val="28"/>
                <w:szCs w:val="28"/>
                <w:highlight w:val="none"/>
              </w:rPr>
              <w:t>○非专门面向中小企业采购</w:t>
            </w:r>
            <w:r>
              <w:rPr>
                <w:rFonts w:hint="eastAsia" w:ascii="仿宋_GB2312" w:hAnsi="仿宋_GB2312" w:eastAsia="仿宋_GB2312" w:cs="仿宋_GB2312"/>
                <w:b/>
                <w:bCs/>
                <w:color w:val="000000"/>
                <w:kern w:val="0"/>
                <w:sz w:val="28"/>
                <w:szCs w:val="28"/>
                <w:highlight w:val="none"/>
                <w:lang w:val="en-US" w:eastAsia="zh-CN"/>
              </w:rPr>
              <w:t>(需填写最后一页的说明表)</w:t>
            </w:r>
          </w:p>
          <w:p w14:paraId="424A9501">
            <w:pPr>
              <w:shd w:val="clear" w:color="auto" w:fill="FFFFFF"/>
              <w:rPr>
                <w:rFonts w:hint="eastAsia" w:ascii="仿宋_GB2312" w:hAnsi="仿宋_GB2312" w:eastAsia="仿宋_GB2312" w:cs="仿宋_GB2312"/>
                <w:color w:val="000000"/>
                <w:kern w:val="0"/>
                <w:sz w:val="20"/>
                <w:szCs w:val="20"/>
                <w:highlight w:val="none"/>
              </w:rPr>
            </w:pPr>
            <w:r>
              <w:rPr>
                <w:rFonts w:hint="eastAsia" w:ascii="仿宋_GB2312" w:hAnsi="仿宋_GB2312" w:eastAsia="仿宋_GB2312" w:cs="仿宋_GB2312"/>
                <w:color w:val="000000"/>
                <w:kern w:val="0"/>
                <w:sz w:val="20"/>
                <w:szCs w:val="20"/>
                <w:highlight w:val="none"/>
              </w:rPr>
              <w:t>选择此项</w:t>
            </w:r>
            <w:r>
              <w:rPr>
                <w:rFonts w:hint="eastAsia" w:ascii="仿宋_GB2312" w:hAnsi="仿宋_GB2312" w:eastAsia="仿宋_GB2312" w:cs="仿宋_GB2312"/>
                <w:color w:val="000000"/>
                <w:kern w:val="0"/>
                <w:sz w:val="20"/>
                <w:szCs w:val="20"/>
                <w:highlight w:val="none"/>
                <w:lang w:val="en-US" w:eastAsia="zh-CN"/>
              </w:rPr>
              <w:t>是允许大、中、小和微型企业都可以进行投标。</w:t>
            </w:r>
            <w:r>
              <w:rPr>
                <w:rFonts w:hint="eastAsia" w:ascii="仿宋_GB2312" w:hAnsi="仿宋_GB2312" w:eastAsia="仿宋_GB2312" w:cs="仿宋_GB2312"/>
                <w:color w:val="000000"/>
                <w:kern w:val="0"/>
                <w:sz w:val="20"/>
                <w:szCs w:val="20"/>
                <w:highlight w:val="none"/>
              </w:rPr>
              <w:t>需要单独填写不专门面向中小企业情况说明表。</w:t>
            </w:r>
          </w:p>
          <w:p w14:paraId="16189F12">
            <w:pPr>
              <w:shd w:val="clear" w:color="auto" w:fill="FFFFFF"/>
              <w:rPr>
                <w:rFonts w:ascii="仿宋_GB2312" w:hAnsi="仿宋_GB2312" w:eastAsia="仿宋_GB2312" w:cs="仿宋_GB2312"/>
                <w:color w:val="000000"/>
                <w:kern w:val="0"/>
                <w:sz w:val="20"/>
                <w:szCs w:val="20"/>
                <w:highlight w:val="none"/>
                <w:lang w:val="en-US" w:eastAsia="zh-CN"/>
              </w:rPr>
            </w:pPr>
            <w:r>
              <w:rPr>
                <w:rFonts w:hint="eastAsia" w:ascii="仿宋_GB2312" w:hAnsi="仿宋_GB2312" w:eastAsia="仿宋_GB2312" w:cs="仿宋_GB2312"/>
                <w:color w:val="000000"/>
                <w:kern w:val="0"/>
                <w:sz w:val="20"/>
                <w:szCs w:val="20"/>
                <w:highlight w:val="none"/>
                <w:lang w:val="en-US" w:eastAsia="zh-CN"/>
              </w:rPr>
              <w:t>例如采购包含服务器、交换机、防火墙、大型专用等设备，中小企业无法生产的要选择这个。</w:t>
            </w:r>
          </w:p>
        </w:tc>
      </w:tr>
      <w:tr w14:paraId="267075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66" w:type="dxa"/>
            <w:vAlign w:val="center"/>
          </w:tcPr>
          <w:p w14:paraId="21EBB059">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4</w:t>
            </w:r>
          </w:p>
        </w:tc>
        <w:tc>
          <w:tcPr>
            <w:tcW w:w="1951" w:type="dxa"/>
            <w:vAlign w:val="center"/>
          </w:tcPr>
          <w:p w14:paraId="0202A904">
            <w:pPr>
              <w:shd w:val="clear" w:color="auto" w:fill="FFFFFF"/>
              <w:jc w:val="center"/>
              <w:rPr>
                <w:rFonts w:hint="eastAsia" w:ascii="仿宋_GB2312" w:hAnsi="仿宋_GB2312" w:eastAsia="仿宋_GB2312" w:cs="仿宋_GB2312"/>
                <w:color w:val="000000"/>
                <w:kern w:val="0"/>
                <w:sz w:val="28"/>
                <w:szCs w:val="28"/>
                <w:highlight w:val="none"/>
                <w:lang w:val="en-US" w:eastAsia="zh-CN"/>
              </w:rPr>
            </w:pPr>
            <w:r>
              <w:rPr>
                <w:rFonts w:hint="eastAsia" w:ascii="仿宋_GB2312" w:hAnsi="仿宋_GB2312" w:eastAsia="仿宋_GB2312" w:cs="仿宋_GB2312"/>
                <w:color w:val="000000"/>
                <w:kern w:val="0"/>
                <w:sz w:val="28"/>
                <w:szCs w:val="28"/>
                <w:highlight w:val="none"/>
              </w:rPr>
              <w:t>资格</w:t>
            </w:r>
            <w:r>
              <w:rPr>
                <w:rFonts w:hint="eastAsia" w:ascii="仿宋_GB2312" w:hAnsi="仿宋_GB2312" w:eastAsia="仿宋_GB2312" w:cs="仿宋_GB2312"/>
                <w:color w:val="000000"/>
                <w:kern w:val="0"/>
                <w:sz w:val="28"/>
                <w:szCs w:val="28"/>
                <w:highlight w:val="none"/>
                <w:lang w:val="en-US" w:eastAsia="zh-CN"/>
              </w:rPr>
              <w:t>资质</w:t>
            </w:r>
          </w:p>
          <w:p w14:paraId="5ADD2EE7">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要求</w:t>
            </w:r>
          </w:p>
        </w:tc>
        <w:tc>
          <w:tcPr>
            <w:tcW w:w="6860" w:type="dxa"/>
            <w:vAlign w:val="center"/>
          </w:tcPr>
          <w:p w14:paraId="20D61FBF">
            <w:pPr>
              <w:shd w:val="clear" w:color="auto" w:fill="FFFFFF"/>
              <w:spacing w:line="480" w:lineRule="exact"/>
              <w:rPr>
                <w:rFonts w:hint="eastAsia" w:ascii="Times New Roman" w:hAnsi="Times New Roman" w:eastAsia="宋体" w:cs="Times New Roman"/>
                <w:color w:val="000000"/>
                <w:kern w:val="0"/>
                <w:sz w:val="20"/>
                <w:szCs w:val="20"/>
                <w:highlight w:val="none"/>
                <w:lang w:val="en-US" w:eastAsia="zh-CN"/>
              </w:rPr>
            </w:pPr>
            <w:r>
              <w:rPr>
                <w:rFonts w:hint="eastAsia" w:ascii="Times New Roman" w:hAnsi="Times New Roman" w:eastAsia="宋体" w:cs="Times New Roman"/>
                <w:color w:val="000000"/>
                <w:kern w:val="0"/>
                <w:sz w:val="20"/>
                <w:szCs w:val="20"/>
                <w:highlight w:val="none"/>
                <w:lang w:val="en-US" w:eastAsia="zh-CN"/>
              </w:rPr>
              <w:t>1.有独立承担民事责任能力的法人、其他组织或自然人，并出具合法有效的营业执照或事业单位法人证书等国家规定的相关证明，自然人参与的提供其身份证明；</w:t>
            </w:r>
          </w:p>
          <w:p w14:paraId="6768E462">
            <w:pPr>
              <w:shd w:val="clear" w:color="auto" w:fill="FFFFFF"/>
              <w:spacing w:line="480" w:lineRule="exact"/>
              <w:rPr>
                <w:rFonts w:hint="eastAsia" w:ascii="Times New Roman" w:hAnsi="Times New Roman" w:eastAsia="宋体" w:cs="Times New Roman"/>
                <w:color w:val="000000"/>
                <w:kern w:val="0"/>
                <w:sz w:val="20"/>
                <w:szCs w:val="20"/>
                <w:highlight w:val="none"/>
                <w:lang w:val="en-US" w:eastAsia="zh-CN"/>
              </w:rPr>
            </w:pPr>
            <w:r>
              <w:rPr>
                <w:rFonts w:hint="eastAsia" w:ascii="Times New Roman" w:hAnsi="Times New Roman" w:eastAsia="宋体" w:cs="Times New Roman"/>
                <w:color w:val="000000"/>
                <w:kern w:val="0"/>
                <w:sz w:val="20"/>
                <w:szCs w:val="20"/>
                <w:highlight w:val="none"/>
                <w:lang w:val="en-US" w:eastAsia="zh-CN"/>
              </w:rPr>
              <w:t>2.提供法定代表人授权书及法定代表人证明书（法定代表人谈判时不需提供授权书，须出具法人身份证，并与营业执照上信息一致）；</w:t>
            </w:r>
          </w:p>
          <w:p w14:paraId="7D84BCC6">
            <w:pPr>
              <w:shd w:val="clear" w:color="auto" w:fill="FFFFFF"/>
              <w:spacing w:line="480" w:lineRule="exact"/>
              <w:rPr>
                <w:rFonts w:hint="eastAsia" w:ascii="Times New Roman" w:hAnsi="Times New Roman" w:eastAsia="宋体" w:cs="Times New Roman"/>
                <w:color w:val="000000"/>
                <w:kern w:val="0"/>
                <w:sz w:val="20"/>
                <w:szCs w:val="20"/>
                <w:highlight w:val="none"/>
                <w:lang w:val="en-US" w:eastAsia="zh-CN"/>
              </w:rPr>
            </w:pPr>
            <w:r>
              <w:rPr>
                <w:rFonts w:hint="eastAsia" w:ascii="Times New Roman" w:hAnsi="Times New Roman" w:eastAsia="宋体" w:cs="Times New Roman"/>
                <w:color w:val="000000"/>
                <w:kern w:val="0"/>
                <w:sz w:val="20"/>
                <w:szCs w:val="20"/>
                <w:highlight w:val="none"/>
                <w:lang w:val="en-US" w:eastAsia="zh-CN"/>
              </w:rPr>
              <w:t>3.提供赋码的2025年度财务审计报告（提供的财务审计报告需在注册会计师行业统一监管平台（http：//acc.mof.gov.cn/）可查询）或其基本存款账户开户银行出具的开标前三个月内资信证明及基本存款账户的开户证明；</w:t>
            </w:r>
          </w:p>
          <w:p w14:paraId="65827A32">
            <w:pPr>
              <w:shd w:val="clear" w:color="auto" w:fill="FFFFFF"/>
              <w:spacing w:line="480" w:lineRule="exact"/>
              <w:rPr>
                <w:rFonts w:hint="eastAsia" w:ascii="Times New Roman" w:hAnsi="Times New Roman" w:eastAsia="宋体" w:cs="Times New Roman"/>
                <w:color w:val="000000"/>
                <w:kern w:val="0"/>
                <w:sz w:val="20"/>
                <w:szCs w:val="20"/>
                <w:highlight w:val="none"/>
                <w:lang w:val="en-US" w:eastAsia="zh-CN"/>
              </w:rPr>
            </w:pPr>
            <w:r>
              <w:rPr>
                <w:rFonts w:hint="eastAsia" w:ascii="Times New Roman" w:hAnsi="Times New Roman" w:eastAsia="宋体" w:cs="Times New Roman"/>
                <w:color w:val="000000"/>
                <w:kern w:val="0"/>
                <w:sz w:val="20"/>
                <w:szCs w:val="20"/>
                <w:highlight w:val="none"/>
                <w:lang w:val="en-US" w:eastAsia="zh-CN"/>
              </w:rPr>
              <w:t>4.提供近一年任意一个月的社会保障资金缴存单据或社保机构开具的社会保险参保缴费情况证明，依法不需要缴纳社会保障资金的单位应提供相关证明材料；</w:t>
            </w:r>
          </w:p>
          <w:p w14:paraId="05F948DD">
            <w:pPr>
              <w:shd w:val="clear" w:color="auto" w:fill="FFFFFF"/>
              <w:spacing w:line="480" w:lineRule="exact"/>
              <w:rPr>
                <w:rFonts w:hint="eastAsia" w:ascii="Times New Roman" w:hAnsi="Times New Roman" w:eastAsia="宋体" w:cs="Times New Roman"/>
                <w:color w:val="000000"/>
                <w:kern w:val="0"/>
                <w:sz w:val="20"/>
                <w:szCs w:val="20"/>
                <w:highlight w:val="none"/>
                <w:lang w:val="en-US" w:eastAsia="zh-CN"/>
              </w:rPr>
            </w:pPr>
            <w:r>
              <w:rPr>
                <w:rFonts w:hint="eastAsia" w:ascii="Times New Roman" w:hAnsi="Times New Roman" w:eastAsia="宋体" w:cs="Times New Roman"/>
                <w:color w:val="000000"/>
                <w:kern w:val="0"/>
                <w:sz w:val="20"/>
                <w:szCs w:val="20"/>
                <w:highlight w:val="none"/>
                <w:lang w:val="en-US" w:eastAsia="zh-CN"/>
              </w:rPr>
              <w:t>5.提供近一年任意一个月的纳税证明或完税证明，依法免税的单位应提供相关证明材料；</w:t>
            </w:r>
          </w:p>
          <w:p w14:paraId="4C672FDF">
            <w:pPr>
              <w:shd w:val="clear" w:color="auto" w:fill="FFFFFF"/>
              <w:spacing w:line="480" w:lineRule="exact"/>
              <w:rPr>
                <w:rFonts w:hint="eastAsia" w:ascii="Times New Roman" w:hAnsi="Times New Roman" w:eastAsia="宋体" w:cs="Times New Roman"/>
                <w:color w:val="000000"/>
                <w:kern w:val="0"/>
                <w:sz w:val="20"/>
                <w:szCs w:val="20"/>
                <w:highlight w:val="none"/>
                <w:lang w:val="en-US" w:eastAsia="zh-CN"/>
              </w:rPr>
            </w:pPr>
            <w:r>
              <w:rPr>
                <w:rFonts w:hint="eastAsia" w:ascii="Times New Roman" w:hAnsi="Times New Roman" w:eastAsia="宋体" w:cs="Times New Roman"/>
                <w:color w:val="000000"/>
                <w:kern w:val="0"/>
                <w:sz w:val="20"/>
                <w:szCs w:val="20"/>
                <w:highlight w:val="none"/>
                <w:lang w:val="en-US" w:eastAsia="zh-CN"/>
              </w:rPr>
              <w:t>6.参加本次政府采购活动前三年内，在经营活动中没有重大违法记录的书面声明；</w:t>
            </w:r>
          </w:p>
          <w:p w14:paraId="561E3648">
            <w:pPr>
              <w:shd w:val="clear" w:color="auto" w:fill="FFFFFF"/>
              <w:spacing w:line="480" w:lineRule="exact"/>
              <w:rPr>
                <w:rFonts w:hint="eastAsia" w:ascii="Times New Roman" w:hAnsi="Times New Roman" w:eastAsia="宋体" w:cs="Times New Roman"/>
                <w:color w:val="000000"/>
                <w:kern w:val="0"/>
                <w:sz w:val="20"/>
                <w:szCs w:val="20"/>
                <w:highlight w:val="none"/>
                <w:lang w:val="en-US" w:eastAsia="zh-CN"/>
              </w:rPr>
            </w:pPr>
            <w:r>
              <w:rPr>
                <w:rFonts w:hint="eastAsia" w:ascii="Times New Roman" w:hAnsi="Times New Roman" w:eastAsia="宋体" w:cs="Times New Roman"/>
                <w:color w:val="000000"/>
                <w:kern w:val="0"/>
                <w:sz w:val="20"/>
                <w:szCs w:val="20"/>
                <w:highlight w:val="none"/>
                <w:lang w:val="en-US" w:eastAsia="zh-CN"/>
              </w:rPr>
              <w:t>7.供应商具有履行本合同所必需的专业技术能力的说明及承诺；</w:t>
            </w:r>
          </w:p>
          <w:p w14:paraId="6248A975">
            <w:pPr>
              <w:shd w:val="clear" w:color="auto" w:fill="FFFFFF"/>
              <w:spacing w:line="480" w:lineRule="exact"/>
              <w:rPr>
                <w:rFonts w:hint="eastAsia" w:ascii="Times New Roman" w:hAnsi="Times New Roman" w:eastAsia="宋体" w:cs="Times New Roman"/>
                <w:color w:val="000000"/>
                <w:kern w:val="0"/>
                <w:sz w:val="20"/>
                <w:szCs w:val="20"/>
                <w:highlight w:val="none"/>
                <w:lang w:val="en-US" w:eastAsia="zh-CN"/>
              </w:rPr>
            </w:pPr>
            <w:r>
              <w:rPr>
                <w:rFonts w:hint="eastAsia" w:ascii="Times New Roman" w:hAnsi="Times New Roman" w:eastAsia="宋体" w:cs="Times New Roman"/>
                <w:color w:val="000000"/>
                <w:kern w:val="0"/>
                <w:sz w:val="20"/>
                <w:szCs w:val="20"/>
                <w:highlight w:val="none"/>
                <w:lang w:val="en-US" w:eastAsia="zh-CN"/>
              </w:rPr>
              <w:t>8.供应商不得为“信用中国”网站中被列入失信被执行人、重大税收违法失信主体名单，不得被列为“中国政府采购网”中政府采购严重违法失信行为记录名单（不强制要求供应商提供查询截图，以开标现场查询结果为评审依据）；</w:t>
            </w:r>
          </w:p>
          <w:p w14:paraId="3029D08E">
            <w:pPr>
              <w:shd w:val="clear" w:color="auto" w:fill="FFFFFF"/>
              <w:spacing w:line="480" w:lineRule="exact"/>
              <w:rPr>
                <w:rFonts w:ascii="仿宋_GB2312" w:hAnsi="仿宋_GB2312" w:eastAsia="仿宋_GB2312" w:cs="仿宋_GB2312"/>
                <w:color w:val="000000"/>
                <w:kern w:val="0"/>
                <w:sz w:val="28"/>
                <w:szCs w:val="28"/>
                <w:highlight w:val="none"/>
                <w:u w:val="single"/>
              </w:rPr>
            </w:pPr>
            <w:r>
              <w:rPr>
                <w:rFonts w:hint="eastAsia" w:ascii="Times New Roman" w:hAnsi="Times New Roman" w:eastAsia="宋体" w:cs="Times New Roman"/>
                <w:color w:val="000000"/>
                <w:kern w:val="0"/>
                <w:sz w:val="20"/>
                <w:szCs w:val="20"/>
                <w:highlight w:val="none"/>
                <w:lang w:val="en-US" w:eastAsia="zh-CN"/>
              </w:rPr>
              <w:t>9.单位负责人为同一人或者存在直接控股、管理关系的不同供应商，不得参加本次采购活动。</w:t>
            </w:r>
          </w:p>
          <w:p w14:paraId="2570FD12">
            <w:pPr>
              <w:shd w:val="clear" w:color="auto" w:fill="FFFFFF"/>
              <w:rPr>
                <w:rFonts w:hint="eastAsia" w:ascii="仿宋_GB2312" w:hAnsi="仿宋_GB2312" w:eastAsia="仿宋_GB2312" w:cs="仿宋_GB2312"/>
                <w:color w:val="000000"/>
                <w:kern w:val="0"/>
                <w:sz w:val="20"/>
                <w:szCs w:val="20"/>
                <w:highlight w:val="none"/>
              </w:rPr>
            </w:pPr>
            <w:r>
              <w:rPr>
                <w:rFonts w:hint="eastAsia" w:ascii="仿宋_GB2312" w:hAnsi="仿宋_GB2312" w:eastAsia="仿宋_GB2312" w:cs="仿宋_GB2312"/>
                <w:color w:val="000000"/>
                <w:kern w:val="0"/>
                <w:sz w:val="20"/>
                <w:szCs w:val="20"/>
                <w:highlight w:val="none"/>
              </w:rPr>
              <w:t>根据《政府采购促进中小企业发展管理办法》的规定，不得以企业注册资本、资产总额、营业收入、从业人员、利润、纳税额等规模条件和财务指标作为供应商的资格要求或者评审因素，不得在企业股权结构、经营年限等方面对中小企业实行差别待遇或者歧视待遇。</w:t>
            </w:r>
          </w:p>
        </w:tc>
      </w:tr>
      <w:tr w14:paraId="60365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jc w:val="center"/>
        </w:trPr>
        <w:tc>
          <w:tcPr>
            <w:tcW w:w="866" w:type="dxa"/>
            <w:vAlign w:val="center"/>
          </w:tcPr>
          <w:p w14:paraId="7446BF02">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5</w:t>
            </w:r>
          </w:p>
        </w:tc>
        <w:tc>
          <w:tcPr>
            <w:tcW w:w="1951" w:type="dxa"/>
            <w:vAlign w:val="center"/>
          </w:tcPr>
          <w:p w14:paraId="5A07B694">
            <w:pPr>
              <w:shd w:val="clear" w:color="auto" w:fill="FFFFFF"/>
              <w:jc w:val="center"/>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是否允许</w:t>
            </w:r>
          </w:p>
          <w:p w14:paraId="01B86F33">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4"/>
                <w:szCs w:val="24"/>
                <w:highlight w:val="none"/>
              </w:rPr>
              <w:t>进口产品</w:t>
            </w:r>
          </w:p>
        </w:tc>
        <w:tc>
          <w:tcPr>
            <w:tcW w:w="6860" w:type="dxa"/>
            <w:vAlign w:val="center"/>
          </w:tcPr>
          <w:p w14:paraId="22C8B6D6">
            <w:pPr>
              <w:shd w:val="clear" w:color="auto" w:fill="FFFFFF"/>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○允许（提供财政部门审核通过的复印件）</w:t>
            </w:r>
          </w:p>
          <w:p w14:paraId="098C66B1">
            <w:pPr>
              <w:shd w:val="clear" w:color="auto" w:fill="FFFFFF"/>
              <w:rPr>
                <w:rFonts w:hint="eastAsia" w:ascii="仿宋_GB2312" w:hAnsi="仿宋_GB2312" w:eastAsia="仿宋_GB2312" w:cs="仿宋_GB2312"/>
                <w:color w:val="000000"/>
                <w:kern w:val="0"/>
                <w:sz w:val="20"/>
                <w:szCs w:val="20"/>
                <w:highlight w:val="none"/>
                <w:lang w:eastAsia="zh-CN"/>
              </w:rPr>
            </w:pPr>
            <w:r>
              <w:rPr>
                <w:rFonts w:hint="eastAsia" w:ascii="仿宋_GB2312" w:hAnsi="仿宋_GB2312" w:eastAsia="仿宋_GB2312" w:cs="仿宋_GB2312"/>
                <w:color w:val="000000"/>
                <w:kern w:val="0"/>
                <w:sz w:val="20"/>
                <w:szCs w:val="20"/>
                <w:highlight w:val="none"/>
              </w:rPr>
              <w:t>根据《政府采购进口产品管理办法》采购人采购进口产品时，必须在采购开始前向财政部门申请并获得审核同意后，才能开展采购活动。且不得因此排斥国产产品，满足需求的国产产品依然可以参与竞争。</w:t>
            </w:r>
          </w:p>
          <w:p w14:paraId="348387ED">
            <w:pPr>
              <w:shd w:val="clear" w:color="auto" w:fill="FFFFFF"/>
              <w:rPr>
                <w:rFonts w:hint="eastAsia" w:ascii="仿宋_GB2312" w:hAnsi="仿宋_GB2312" w:eastAsia="仿宋_GB2312" w:cs="仿宋_GB2312"/>
                <w:color w:val="000000"/>
                <w:kern w:val="0"/>
                <w:sz w:val="24"/>
                <w:szCs w:val="24"/>
                <w:highlight w:val="none"/>
              </w:rPr>
            </w:pPr>
            <w:r>
              <w:rPr>
                <w:rFonts w:hint="eastAsia" w:ascii="仿宋_GB2312" w:hAnsi="Times New Roman" w:eastAsia="仿宋_GB2312" w:cs="Times New Roman"/>
                <w:color w:val="000000"/>
                <w:kern w:val="0"/>
                <w:position w:val="3"/>
                <w:sz w:val="28"/>
                <w:szCs w:val="28"/>
                <w:highlight w:val="none"/>
              </w:rPr>
              <w:fldChar w:fldCharType="begin"/>
            </w:r>
            <w:r>
              <w:rPr>
                <w:rFonts w:hint="eastAsia" w:ascii="仿宋_GB2312" w:hAnsi="Times New Roman" w:eastAsia="仿宋_GB2312" w:cs="Times New Roman"/>
                <w:color w:val="000000"/>
                <w:kern w:val="0"/>
                <w:position w:val="3"/>
                <w:sz w:val="28"/>
                <w:szCs w:val="28"/>
                <w:highlight w:val="none"/>
              </w:rPr>
              <w:instrText xml:space="preserve">eq \o\ac(</w:instrText>
            </w:r>
            <w:r>
              <w:rPr>
                <w:rFonts w:hint="eastAsia" w:ascii="仿宋_GB2312" w:hAnsi="Times New Roman" w:eastAsia="仿宋_GB2312" w:cs="Times New Roman"/>
                <w:color w:val="000000"/>
                <w:kern w:val="0"/>
                <w:position w:val="0"/>
                <w:sz w:val="28"/>
                <w:szCs w:val="28"/>
                <w:highlight w:val="none"/>
              </w:rPr>
              <w:instrText xml:space="preserve">○</w:instrText>
            </w:r>
            <w:r>
              <w:rPr>
                <w:rFonts w:hint="eastAsia" w:ascii="仿宋_GB2312" w:hAnsi="Times New Roman" w:eastAsia="仿宋_GB2312" w:cs="Times New Roman"/>
                <w:color w:val="000000"/>
                <w:kern w:val="0"/>
                <w:position w:val="3"/>
                <w:sz w:val="19"/>
                <w:szCs w:val="28"/>
                <w:highlight w:val="none"/>
              </w:rPr>
              <w:instrText xml:space="preserve">,√)</w:instrText>
            </w:r>
            <w:r>
              <w:rPr>
                <w:rFonts w:hint="eastAsia" w:ascii="仿宋_GB2312" w:hAnsi="Times New Roman" w:eastAsia="仿宋_GB2312" w:cs="Times New Roman"/>
                <w:color w:val="000000"/>
                <w:kern w:val="0"/>
                <w:position w:val="3"/>
                <w:sz w:val="28"/>
                <w:szCs w:val="28"/>
                <w:highlight w:val="none"/>
              </w:rPr>
              <w:fldChar w:fldCharType="end"/>
            </w:r>
            <w:r>
              <w:rPr>
                <w:rFonts w:hint="eastAsia" w:ascii="仿宋_GB2312" w:hAnsi="仿宋_GB2312" w:eastAsia="仿宋_GB2312" w:cs="仿宋_GB2312"/>
                <w:color w:val="000000"/>
                <w:kern w:val="0"/>
                <w:sz w:val="24"/>
                <w:szCs w:val="24"/>
                <w:highlight w:val="none"/>
              </w:rPr>
              <w:t>不允许</w:t>
            </w:r>
          </w:p>
          <w:p w14:paraId="5E738461">
            <w:pPr>
              <w:shd w:val="clear" w:color="auto" w:fill="FFFFFF"/>
              <w:rPr>
                <w:rFonts w:hint="eastAsia" w:ascii="仿宋_GB2312" w:hAnsi="仿宋_GB2312" w:eastAsia="仿宋_GB2312" w:cs="仿宋_GB2312"/>
                <w:color w:val="000000"/>
                <w:kern w:val="0"/>
                <w:sz w:val="20"/>
                <w:szCs w:val="20"/>
                <w:highlight w:val="none"/>
              </w:rPr>
            </w:pPr>
            <w:r>
              <w:rPr>
                <w:rFonts w:hint="eastAsia" w:ascii="仿宋_GB2312" w:hAnsi="仿宋_GB2312" w:eastAsia="仿宋_GB2312" w:cs="仿宋_GB2312"/>
                <w:color w:val="000000"/>
                <w:kern w:val="0"/>
                <w:sz w:val="20"/>
                <w:szCs w:val="20"/>
                <w:highlight w:val="none"/>
                <w:lang w:val="en-US" w:eastAsia="zh-CN"/>
              </w:rPr>
              <w:t>一般情况，请选择不允许</w:t>
            </w:r>
            <w:r>
              <w:rPr>
                <w:rFonts w:hint="eastAsia" w:ascii="仿宋_GB2312" w:hAnsi="仿宋_GB2312" w:eastAsia="仿宋_GB2312" w:cs="仿宋_GB2312"/>
                <w:color w:val="000000"/>
                <w:kern w:val="0"/>
                <w:sz w:val="20"/>
                <w:szCs w:val="20"/>
                <w:highlight w:val="none"/>
              </w:rPr>
              <w:t>。</w:t>
            </w:r>
          </w:p>
        </w:tc>
      </w:tr>
      <w:tr w14:paraId="2094F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866" w:type="dxa"/>
            <w:vMerge w:val="restart"/>
            <w:vAlign w:val="center"/>
          </w:tcPr>
          <w:p w14:paraId="3EBFF381">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6</w:t>
            </w:r>
          </w:p>
        </w:tc>
        <w:tc>
          <w:tcPr>
            <w:tcW w:w="1951" w:type="dxa"/>
            <w:vMerge w:val="restart"/>
            <w:vAlign w:val="center"/>
          </w:tcPr>
          <w:p w14:paraId="10BB65E4">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是否接受</w:t>
            </w:r>
          </w:p>
          <w:p w14:paraId="619DE956">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联合体投标</w:t>
            </w:r>
          </w:p>
        </w:tc>
        <w:tc>
          <w:tcPr>
            <w:tcW w:w="6860" w:type="dxa"/>
            <w:vAlign w:val="center"/>
          </w:tcPr>
          <w:p w14:paraId="0387F433">
            <w:pPr>
              <w:shd w:val="clear" w:color="auto" w:fill="FFFFFF"/>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○接受</w:t>
            </w:r>
          </w:p>
        </w:tc>
      </w:tr>
      <w:tr w14:paraId="77901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866" w:type="dxa"/>
            <w:vMerge w:val="continue"/>
            <w:vAlign w:val="center"/>
          </w:tcPr>
          <w:p w14:paraId="39CC451D"/>
        </w:tc>
        <w:tc>
          <w:tcPr>
            <w:tcW w:w="1951" w:type="dxa"/>
            <w:vMerge w:val="continue"/>
            <w:vAlign w:val="center"/>
          </w:tcPr>
          <w:p w14:paraId="7CC2424D"/>
        </w:tc>
        <w:tc>
          <w:tcPr>
            <w:tcW w:w="6860" w:type="dxa"/>
            <w:vAlign w:val="center"/>
          </w:tcPr>
          <w:p w14:paraId="244EFD9A">
            <w:pPr>
              <w:shd w:val="clear" w:color="auto" w:fill="FFFFFF"/>
              <w:rPr>
                <w:rFonts w:hint="eastAsia" w:ascii="仿宋_GB2312" w:hAnsi="仿宋_GB2312" w:eastAsia="仿宋_GB2312" w:cs="仿宋_GB2312"/>
                <w:color w:val="000000"/>
                <w:kern w:val="0"/>
                <w:sz w:val="28"/>
                <w:szCs w:val="28"/>
                <w:highlight w:val="none"/>
              </w:rPr>
            </w:pPr>
            <w:r>
              <w:rPr>
                <w:rFonts w:hint="eastAsia" w:ascii="仿宋_GB2312" w:hAnsi="Times New Roman" w:eastAsia="仿宋_GB2312" w:cs="Times New Roman"/>
                <w:color w:val="000000"/>
                <w:kern w:val="0"/>
                <w:position w:val="3"/>
                <w:sz w:val="28"/>
                <w:szCs w:val="28"/>
                <w:highlight w:val="none"/>
              </w:rPr>
              <w:fldChar w:fldCharType="begin"/>
            </w:r>
            <w:r>
              <w:rPr>
                <w:rFonts w:hint="eastAsia" w:ascii="仿宋_GB2312" w:hAnsi="Times New Roman" w:eastAsia="仿宋_GB2312" w:cs="Times New Roman"/>
                <w:color w:val="000000"/>
                <w:kern w:val="0"/>
                <w:position w:val="3"/>
                <w:sz w:val="28"/>
                <w:szCs w:val="28"/>
                <w:highlight w:val="none"/>
              </w:rPr>
              <w:instrText xml:space="preserve">eq \o\ac(</w:instrText>
            </w:r>
            <w:r>
              <w:rPr>
                <w:rFonts w:hint="eastAsia" w:ascii="仿宋_GB2312" w:hAnsi="Times New Roman" w:eastAsia="仿宋_GB2312" w:cs="Times New Roman"/>
                <w:color w:val="000000"/>
                <w:kern w:val="0"/>
                <w:position w:val="0"/>
                <w:sz w:val="28"/>
                <w:szCs w:val="28"/>
                <w:highlight w:val="none"/>
              </w:rPr>
              <w:instrText xml:space="preserve">○</w:instrText>
            </w:r>
            <w:r>
              <w:rPr>
                <w:rFonts w:hint="eastAsia" w:ascii="仿宋_GB2312" w:hAnsi="Times New Roman" w:eastAsia="仿宋_GB2312" w:cs="Times New Roman"/>
                <w:color w:val="000000"/>
                <w:kern w:val="0"/>
                <w:position w:val="3"/>
                <w:sz w:val="19"/>
                <w:szCs w:val="28"/>
                <w:highlight w:val="none"/>
              </w:rPr>
              <w:instrText xml:space="preserve">,√)</w:instrText>
            </w:r>
            <w:r>
              <w:rPr>
                <w:rFonts w:hint="eastAsia" w:ascii="仿宋_GB2312" w:hAnsi="Times New Roman" w:eastAsia="仿宋_GB2312" w:cs="Times New Roman"/>
                <w:color w:val="000000"/>
                <w:kern w:val="0"/>
                <w:position w:val="3"/>
                <w:sz w:val="28"/>
                <w:szCs w:val="28"/>
                <w:highlight w:val="none"/>
              </w:rPr>
              <w:fldChar w:fldCharType="end"/>
            </w:r>
            <w:r>
              <w:rPr>
                <w:rFonts w:hint="eastAsia" w:ascii="仿宋_GB2312" w:hAnsi="仿宋_GB2312" w:eastAsia="仿宋_GB2312" w:cs="仿宋_GB2312"/>
                <w:color w:val="000000"/>
                <w:kern w:val="0"/>
                <w:sz w:val="28"/>
                <w:szCs w:val="28"/>
                <w:highlight w:val="none"/>
              </w:rPr>
              <w:t>不接受</w:t>
            </w:r>
          </w:p>
          <w:p w14:paraId="13667227">
            <w:pPr>
              <w:shd w:val="clear" w:color="auto" w:fill="FFFFFF"/>
              <w:rPr>
                <w:rFonts w:hint="eastAsia" w:ascii="仿宋_GB2312" w:hAnsi="仿宋_GB2312" w:eastAsia="仿宋_GB2312" w:cs="仿宋_GB2312"/>
                <w:color w:val="000000"/>
                <w:kern w:val="0"/>
                <w:sz w:val="28"/>
                <w:szCs w:val="28"/>
                <w:highlight w:val="none"/>
                <w:lang w:val="en-US" w:eastAsia="zh-CN"/>
              </w:rPr>
            </w:pPr>
            <w:r>
              <w:rPr>
                <w:rFonts w:hint="eastAsia" w:ascii="仿宋_GB2312" w:hAnsi="仿宋_GB2312" w:eastAsia="仿宋_GB2312" w:cs="仿宋_GB2312"/>
                <w:color w:val="000000"/>
                <w:kern w:val="0"/>
                <w:sz w:val="20"/>
                <w:szCs w:val="20"/>
                <w:highlight w:val="none"/>
                <w:lang w:val="en-US" w:eastAsia="zh-CN"/>
              </w:rPr>
              <w:t>一般选择不接受。</w:t>
            </w:r>
          </w:p>
        </w:tc>
      </w:tr>
      <w:tr w14:paraId="63F58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6" w:hRule="atLeast"/>
          <w:jc w:val="center"/>
        </w:trPr>
        <w:tc>
          <w:tcPr>
            <w:tcW w:w="866" w:type="dxa"/>
            <w:vAlign w:val="center"/>
          </w:tcPr>
          <w:p w14:paraId="58060F7D">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7</w:t>
            </w:r>
          </w:p>
        </w:tc>
        <w:tc>
          <w:tcPr>
            <w:tcW w:w="1951" w:type="dxa"/>
            <w:vAlign w:val="center"/>
          </w:tcPr>
          <w:p w14:paraId="532914C9">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履约保证金</w:t>
            </w:r>
          </w:p>
        </w:tc>
        <w:tc>
          <w:tcPr>
            <w:tcW w:w="6860" w:type="dxa"/>
            <w:vAlign w:val="center"/>
          </w:tcPr>
          <w:p w14:paraId="1E6310F1">
            <w:pPr>
              <w:shd w:val="clear" w:color="auto" w:fill="FFFFFF"/>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占政府采购合同金额的</w:t>
            </w:r>
            <w:r>
              <w:rPr>
                <w:rFonts w:hint="eastAsia" w:ascii="仿宋_GB2312" w:hAnsi="仿宋_GB2312" w:eastAsia="仿宋_GB2312" w:cs="仿宋_GB2312"/>
                <w:color w:val="000000"/>
                <w:kern w:val="0"/>
                <w:sz w:val="28"/>
                <w:szCs w:val="28"/>
                <w:highlight w:val="none"/>
                <w:u w:val="single"/>
                <w:lang w:val="en-US" w:eastAsia="zh-CN"/>
              </w:rPr>
              <w:t>5</w:t>
            </w:r>
            <w:r>
              <w:rPr>
                <w:rFonts w:hint="eastAsia" w:ascii="仿宋_GB2312" w:hAnsi="仿宋_GB2312" w:eastAsia="仿宋_GB2312" w:cs="仿宋_GB2312"/>
                <w:color w:val="000000"/>
                <w:kern w:val="0"/>
                <w:sz w:val="28"/>
                <w:szCs w:val="28"/>
                <w:highlight w:val="none"/>
              </w:rPr>
              <w:t>%</w:t>
            </w:r>
          </w:p>
          <w:p w14:paraId="4FA3DCCB">
            <w:pPr>
              <w:shd w:val="clear" w:color="auto" w:fill="FFFFFF"/>
              <w:rPr>
                <w:rFonts w:hint="eastAsia" w:ascii="仿宋_GB2312" w:hAnsi="仿宋_GB2312" w:eastAsia="仿宋_GB2312" w:cs="仿宋_GB2312"/>
                <w:color w:val="000000"/>
                <w:kern w:val="0"/>
                <w:sz w:val="20"/>
                <w:szCs w:val="20"/>
                <w:highlight w:val="none"/>
              </w:rPr>
            </w:pPr>
            <w:r>
              <w:rPr>
                <w:rFonts w:hint="eastAsia" w:ascii="仿宋_GB2312" w:hAnsi="仿宋_GB2312" w:eastAsia="仿宋_GB2312" w:cs="仿宋_GB2312"/>
                <w:color w:val="000000"/>
                <w:kern w:val="0"/>
                <w:sz w:val="20"/>
                <w:szCs w:val="20"/>
                <w:highlight w:val="none"/>
                <w:lang w:val="en-US" w:eastAsia="zh-CN"/>
              </w:rPr>
              <w:t>（一般为采购合同金额的5%，特殊情况也可以设置范围为0-10</w:t>
            </w:r>
            <w:r>
              <w:rPr>
                <w:rFonts w:hint="eastAsia" w:ascii="仿宋_GB2312" w:hAnsi="仿宋_GB2312" w:eastAsia="仿宋_GB2312" w:cs="仿宋_GB2312"/>
                <w:color w:val="000000"/>
                <w:kern w:val="0"/>
                <w:sz w:val="20"/>
                <w:szCs w:val="20"/>
                <w:highlight w:val="none"/>
              </w:rPr>
              <w:t>%</w:t>
            </w:r>
            <w:r>
              <w:rPr>
                <w:rFonts w:hint="eastAsia" w:ascii="仿宋_GB2312" w:hAnsi="仿宋_GB2312" w:eastAsia="仿宋_GB2312" w:cs="仿宋_GB2312"/>
                <w:color w:val="000000"/>
                <w:kern w:val="0"/>
                <w:sz w:val="20"/>
                <w:szCs w:val="20"/>
                <w:highlight w:val="none"/>
                <w:lang w:eastAsia="zh-CN"/>
              </w:rPr>
              <w:t>）</w:t>
            </w:r>
          </w:p>
        </w:tc>
      </w:tr>
      <w:tr w14:paraId="72134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0" w:hRule="atLeast"/>
          <w:jc w:val="center"/>
        </w:trPr>
        <w:tc>
          <w:tcPr>
            <w:tcW w:w="866" w:type="dxa"/>
            <w:vAlign w:val="center"/>
          </w:tcPr>
          <w:p w14:paraId="5D136200">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8</w:t>
            </w:r>
          </w:p>
        </w:tc>
        <w:tc>
          <w:tcPr>
            <w:tcW w:w="1951" w:type="dxa"/>
            <w:vAlign w:val="center"/>
          </w:tcPr>
          <w:p w14:paraId="69647135">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集中</w:t>
            </w:r>
          </w:p>
          <w:p w14:paraId="2F59B782">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踏勘</w:t>
            </w:r>
            <w:r>
              <w:rPr>
                <w:rFonts w:hint="eastAsia" w:ascii="仿宋_GB2312" w:hAnsi="仿宋_GB2312" w:eastAsia="仿宋_GB2312" w:cs="仿宋_GB2312"/>
                <w:color w:val="000000"/>
                <w:kern w:val="0"/>
                <w:sz w:val="28"/>
                <w:szCs w:val="28"/>
                <w:highlight w:val="none"/>
                <w:lang w:val="en-US" w:eastAsia="zh-CN"/>
              </w:rPr>
              <w:t>和</w:t>
            </w:r>
            <w:r>
              <w:rPr>
                <w:rFonts w:hint="eastAsia" w:ascii="仿宋_GB2312" w:hAnsi="仿宋_GB2312" w:eastAsia="仿宋_GB2312" w:cs="仿宋_GB2312"/>
                <w:color w:val="000000"/>
                <w:kern w:val="0"/>
                <w:sz w:val="28"/>
                <w:szCs w:val="28"/>
                <w:highlight w:val="none"/>
              </w:rPr>
              <w:t>答疑</w:t>
            </w:r>
          </w:p>
        </w:tc>
        <w:tc>
          <w:tcPr>
            <w:tcW w:w="6860" w:type="dxa"/>
            <w:vAlign w:val="center"/>
          </w:tcPr>
          <w:p w14:paraId="1783475C">
            <w:pPr>
              <w:shd w:val="clear" w:color="auto" w:fill="FFFFFF"/>
              <w:rPr>
                <w:rFonts w:hint="eastAsia" w:ascii="仿宋_GB2312" w:hAnsi="仿宋_GB2312" w:eastAsia="仿宋_GB2312" w:cs="仿宋_GB2312"/>
                <w:color w:val="000000"/>
                <w:kern w:val="0"/>
                <w:sz w:val="28"/>
                <w:szCs w:val="28"/>
                <w:highlight w:val="none"/>
                <w:u w:val="single"/>
              </w:rPr>
            </w:pPr>
            <w:r>
              <w:rPr>
                <w:rFonts w:hint="eastAsia" w:ascii="仿宋_GB2312" w:hAnsi="仿宋_GB2312" w:eastAsia="仿宋_GB2312" w:cs="仿宋_GB2312"/>
                <w:color w:val="000000"/>
                <w:kern w:val="0"/>
                <w:sz w:val="28"/>
                <w:szCs w:val="28"/>
                <w:highlight w:val="none"/>
              </w:rPr>
              <w:t>○组织，集结地点为：</w:t>
            </w:r>
          </w:p>
          <w:p w14:paraId="09813C7C">
            <w:pPr>
              <w:shd w:val="clear" w:color="auto" w:fill="FFFFFF"/>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lang w:val="en-US" w:eastAsia="zh-CN"/>
              </w:rPr>
              <w:t>√</w:t>
            </w:r>
            <w:r>
              <w:rPr>
                <w:rFonts w:hint="eastAsia" w:ascii="仿宋_GB2312" w:hAnsi="仿宋_GB2312" w:eastAsia="仿宋_GB2312" w:cs="仿宋_GB2312"/>
                <w:color w:val="000000"/>
                <w:kern w:val="0"/>
                <w:sz w:val="28"/>
                <w:szCs w:val="28"/>
                <w:highlight w:val="none"/>
              </w:rPr>
              <w:t>不组织</w:t>
            </w:r>
          </w:p>
        </w:tc>
      </w:tr>
      <w:tr w14:paraId="62093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9" w:hRule="atLeast"/>
          <w:jc w:val="center"/>
        </w:trPr>
        <w:tc>
          <w:tcPr>
            <w:tcW w:w="866" w:type="dxa"/>
            <w:vAlign w:val="center"/>
          </w:tcPr>
          <w:p w14:paraId="5B17A38C">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9</w:t>
            </w:r>
          </w:p>
        </w:tc>
        <w:tc>
          <w:tcPr>
            <w:tcW w:w="1951" w:type="dxa"/>
            <w:vAlign w:val="center"/>
          </w:tcPr>
          <w:p w14:paraId="554F6CAE">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价格分比重</w:t>
            </w:r>
          </w:p>
        </w:tc>
        <w:tc>
          <w:tcPr>
            <w:tcW w:w="6860" w:type="dxa"/>
            <w:vAlign w:val="center"/>
          </w:tcPr>
          <w:p w14:paraId="031D3876">
            <w:pPr>
              <w:shd w:val="clear" w:color="auto" w:fill="FFFFFF"/>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占总分值的</w:t>
            </w:r>
            <w:r>
              <w:rPr>
                <w:rFonts w:hint="eastAsia" w:ascii="仿宋_GB2312" w:hAnsi="仿宋_GB2312" w:eastAsia="仿宋_GB2312" w:cs="仿宋_GB2312"/>
                <w:color w:val="000000"/>
                <w:kern w:val="0"/>
                <w:sz w:val="28"/>
                <w:szCs w:val="28"/>
                <w:highlight w:val="none"/>
                <w:u w:val="single"/>
                <w:lang w:val="en-US" w:eastAsia="zh-CN"/>
              </w:rPr>
              <w:t>100</w:t>
            </w:r>
            <w:r>
              <w:rPr>
                <w:rFonts w:hint="eastAsia" w:ascii="仿宋_GB2312" w:hAnsi="仿宋_GB2312" w:eastAsia="仿宋_GB2312" w:cs="仿宋_GB2312"/>
                <w:color w:val="000000"/>
                <w:kern w:val="0"/>
                <w:sz w:val="28"/>
                <w:szCs w:val="28"/>
                <w:highlight w:val="none"/>
              </w:rPr>
              <w:t>%</w:t>
            </w:r>
          </w:p>
          <w:p w14:paraId="6E6A8DF2">
            <w:pPr>
              <w:shd w:val="clear" w:color="auto" w:fill="FFFFFF"/>
              <w:rPr>
                <w:rFonts w:hint="eastAsia" w:ascii="仿宋_GB2312" w:hAnsi="仿宋_GB2312" w:eastAsia="仿宋_GB2312" w:cs="仿宋_GB2312"/>
                <w:color w:val="000000"/>
                <w:kern w:val="0"/>
                <w:sz w:val="20"/>
                <w:szCs w:val="20"/>
                <w:highlight w:val="none"/>
              </w:rPr>
            </w:pPr>
            <w:r>
              <w:rPr>
                <w:rFonts w:hint="eastAsia" w:ascii="仿宋_GB2312" w:hAnsi="仿宋_GB2312" w:eastAsia="仿宋_GB2312" w:cs="仿宋_GB2312"/>
                <w:color w:val="000000"/>
                <w:kern w:val="0"/>
                <w:sz w:val="20"/>
                <w:szCs w:val="20"/>
                <w:highlight w:val="none"/>
              </w:rPr>
              <w:t>（货物的价格分占比范围为：30%-60%</w:t>
            </w:r>
            <w:r>
              <w:rPr>
                <w:rFonts w:hint="eastAsia" w:ascii="仿宋_GB2312" w:hAnsi="仿宋_GB2312" w:eastAsia="仿宋_GB2312" w:cs="仿宋_GB2312"/>
                <w:color w:val="000000"/>
                <w:kern w:val="0"/>
                <w:sz w:val="20"/>
                <w:szCs w:val="20"/>
                <w:highlight w:val="none"/>
                <w:lang w:eastAsia="zh-CN"/>
              </w:rPr>
              <w:t>，</w:t>
            </w:r>
            <w:r>
              <w:rPr>
                <w:rFonts w:hint="eastAsia" w:ascii="仿宋_GB2312" w:hAnsi="仿宋_GB2312" w:eastAsia="仿宋_GB2312" w:cs="仿宋_GB2312"/>
                <w:color w:val="000000"/>
                <w:kern w:val="0"/>
                <w:sz w:val="20"/>
                <w:szCs w:val="20"/>
                <w:highlight w:val="none"/>
                <w:lang w:val="en-US" w:eastAsia="zh-CN"/>
              </w:rPr>
              <w:t>根据项目特点，自选</w:t>
            </w:r>
            <w:r>
              <w:rPr>
                <w:rFonts w:hint="eastAsia" w:ascii="仿宋_GB2312" w:hAnsi="仿宋_GB2312" w:eastAsia="仿宋_GB2312" w:cs="仿宋_GB2312"/>
                <w:color w:val="000000"/>
                <w:kern w:val="0"/>
                <w:sz w:val="20"/>
                <w:szCs w:val="20"/>
                <w:highlight w:val="none"/>
              </w:rPr>
              <w:t>）</w:t>
            </w:r>
          </w:p>
        </w:tc>
      </w:tr>
      <w:tr w14:paraId="358E9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866" w:type="dxa"/>
            <w:vAlign w:val="center"/>
          </w:tcPr>
          <w:p w14:paraId="323953F1">
            <w:pPr>
              <w:shd w:val="clear" w:color="auto" w:fill="FFFFFF"/>
              <w:jc w:val="center"/>
              <w:rPr>
                <w:rFonts w:ascii="仿宋_GB2312" w:hAnsi="仿宋_GB2312" w:eastAsia="仿宋_GB2312" w:cs="仿宋_GB2312"/>
                <w:color w:val="000000"/>
                <w:kern w:val="0"/>
                <w:sz w:val="28"/>
                <w:szCs w:val="28"/>
                <w:highlight w:val="none"/>
                <w:lang w:val="en-US" w:eastAsia="zh-CN"/>
              </w:rPr>
            </w:pPr>
            <w:r>
              <w:rPr>
                <w:rFonts w:hint="eastAsia" w:ascii="仿宋_GB2312" w:hAnsi="仿宋_GB2312" w:eastAsia="仿宋_GB2312" w:cs="仿宋_GB2312"/>
                <w:color w:val="000000"/>
                <w:kern w:val="0"/>
                <w:sz w:val="28"/>
                <w:szCs w:val="28"/>
                <w:highlight w:val="none"/>
                <w:lang w:val="en-US" w:eastAsia="zh-CN"/>
              </w:rPr>
              <w:t>10</w:t>
            </w:r>
          </w:p>
        </w:tc>
        <w:tc>
          <w:tcPr>
            <w:tcW w:w="1951" w:type="dxa"/>
            <w:vAlign w:val="center"/>
          </w:tcPr>
          <w:p w14:paraId="6CAB4F47">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争议解决途径</w:t>
            </w:r>
          </w:p>
        </w:tc>
        <w:tc>
          <w:tcPr>
            <w:tcW w:w="6860" w:type="dxa"/>
            <w:vAlign w:val="center"/>
          </w:tcPr>
          <w:p w14:paraId="337F7913">
            <w:pPr>
              <w:shd w:val="clear" w:color="auto" w:fill="FFFFFF"/>
              <w:spacing w:line="480" w:lineRule="exact"/>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○向有管辖权的人民法院提起诉讼</w:t>
            </w:r>
          </w:p>
          <w:p w14:paraId="209F22D5">
            <w:pPr>
              <w:shd w:val="clear" w:color="auto" w:fill="FFFFFF"/>
              <w:spacing w:line="480" w:lineRule="exact"/>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lang w:val="en-US" w:eastAsia="zh-CN"/>
              </w:rPr>
              <w:t>√</w:t>
            </w:r>
            <w:r>
              <w:rPr>
                <w:rFonts w:hint="eastAsia" w:ascii="仿宋_GB2312" w:hAnsi="仿宋_GB2312" w:eastAsia="仿宋_GB2312" w:cs="仿宋_GB2312"/>
                <w:color w:val="000000"/>
                <w:kern w:val="0"/>
                <w:sz w:val="28"/>
                <w:szCs w:val="28"/>
                <w:highlight w:val="none"/>
              </w:rPr>
              <w:t>向西安仲裁委员会提请仲裁</w:t>
            </w:r>
          </w:p>
          <w:p w14:paraId="42C4B132">
            <w:pPr>
              <w:shd w:val="clear" w:color="auto" w:fill="FFFFFF"/>
              <w:spacing w:line="480" w:lineRule="exact"/>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○由供应商做出选择</w:t>
            </w:r>
          </w:p>
        </w:tc>
      </w:tr>
      <w:tr w14:paraId="7056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3" w:hRule="atLeast"/>
          <w:jc w:val="center"/>
        </w:trPr>
        <w:tc>
          <w:tcPr>
            <w:tcW w:w="866" w:type="dxa"/>
            <w:vAlign w:val="center"/>
          </w:tcPr>
          <w:p w14:paraId="0ACC987C">
            <w:pPr>
              <w:shd w:val="clear" w:color="auto" w:fill="FFFFFF"/>
              <w:jc w:val="center"/>
              <w:rPr>
                <w:rFonts w:hint="eastAsia" w:ascii="仿宋_GB2312" w:hAnsi="仿宋_GB2312" w:eastAsia="仿宋_GB2312" w:cs="仿宋_GB2312"/>
                <w:color w:val="000000"/>
                <w:kern w:val="0"/>
                <w:sz w:val="28"/>
                <w:szCs w:val="28"/>
                <w:highlight w:val="none"/>
                <w:lang w:val="en-US" w:eastAsia="zh-CN"/>
              </w:rPr>
            </w:pPr>
            <w:r>
              <w:rPr>
                <w:rFonts w:hint="eastAsia" w:ascii="仿宋_GB2312" w:hAnsi="仿宋_GB2312" w:eastAsia="仿宋_GB2312" w:cs="仿宋_GB2312"/>
                <w:color w:val="000000"/>
                <w:kern w:val="0"/>
                <w:sz w:val="28"/>
                <w:szCs w:val="28"/>
                <w:highlight w:val="none"/>
              </w:rPr>
              <w:t>1</w:t>
            </w:r>
            <w:r>
              <w:rPr>
                <w:rFonts w:hint="eastAsia" w:ascii="仿宋_GB2312" w:hAnsi="仿宋_GB2312" w:eastAsia="仿宋_GB2312" w:cs="仿宋_GB2312"/>
                <w:color w:val="000000"/>
                <w:kern w:val="0"/>
                <w:sz w:val="28"/>
                <w:szCs w:val="28"/>
                <w:highlight w:val="none"/>
                <w:lang w:val="en-US" w:eastAsia="zh-CN"/>
              </w:rPr>
              <w:t>1</w:t>
            </w:r>
          </w:p>
        </w:tc>
        <w:tc>
          <w:tcPr>
            <w:tcW w:w="1951" w:type="dxa"/>
            <w:vAlign w:val="center"/>
          </w:tcPr>
          <w:p w14:paraId="3B7E8067">
            <w:pPr>
              <w:shd w:val="clear" w:color="auto" w:fill="FFFFFF"/>
              <w:jc w:val="center"/>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联系方式</w:t>
            </w:r>
          </w:p>
        </w:tc>
        <w:tc>
          <w:tcPr>
            <w:tcW w:w="6860" w:type="dxa"/>
            <w:vAlign w:val="center"/>
          </w:tcPr>
          <w:p w14:paraId="21341C62">
            <w:pPr>
              <w:shd w:val="clear" w:color="auto" w:fill="FFFFFF"/>
              <w:spacing w:line="480" w:lineRule="exact"/>
              <w:jc w:val="left"/>
              <w:rPr>
                <w:rFonts w:hint="eastAsia" w:ascii="仿宋_GB2312" w:hAnsi="仿宋_GB2312" w:eastAsia="仿宋_GB2312" w:cs="仿宋_GB2312"/>
                <w:color w:val="000000"/>
                <w:kern w:val="0"/>
                <w:sz w:val="28"/>
                <w:szCs w:val="28"/>
                <w:highlight w:val="none"/>
                <w:u w:val="single"/>
                <w:lang w:val="en-US" w:eastAsia="zh-CN"/>
              </w:rPr>
            </w:pPr>
            <w:r>
              <w:rPr>
                <w:rFonts w:hint="eastAsia" w:ascii="仿宋_GB2312" w:hAnsi="仿宋_GB2312" w:eastAsia="仿宋_GB2312" w:cs="仿宋_GB2312"/>
                <w:color w:val="000000"/>
                <w:kern w:val="0"/>
                <w:sz w:val="28"/>
                <w:szCs w:val="28"/>
                <w:highlight w:val="none"/>
                <w:lang w:val="en-US" w:eastAsia="zh-CN"/>
              </w:rPr>
              <w:t>联系</w:t>
            </w:r>
            <w:r>
              <w:rPr>
                <w:rFonts w:hint="eastAsia" w:ascii="仿宋_GB2312" w:hAnsi="仿宋_GB2312" w:eastAsia="仿宋_GB2312" w:cs="仿宋_GB2312"/>
                <w:color w:val="000000"/>
                <w:kern w:val="0"/>
                <w:sz w:val="28"/>
                <w:szCs w:val="28"/>
                <w:highlight w:val="none"/>
              </w:rPr>
              <w:t>人：</w:t>
            </w:r>
            <w:r>
              <w:rPr>
                <w:rFonts w:hint="eastAsia" w:ascii="仿宋_GB2312" w:hAnsi="仿宋_GB2312" w:eastAsia="仿宋_GB2312" w:cs="仿宋_GB2312"/>
                <w:color w:val="000000"/>
                <w:kern w:val="0"/>
                <w:sz w:val="28"/>
                <w:szCs w:val="28"/>
                <w:highlight w:val="none"/>
                <w:lang w:val="en-US" w:eastAsia="zh-CN"/>
              </w:rPr>
              <w:t>董奇</w:t>
            </w:r>
          </w:p>
          <w:p w14:paraId="11F4A972">
            <w:pPr>
              <w:shd w:val="clear" w:color="auto" w:fill="FFFFFF"/>
              <w:spacing w:line="480" w:lineRule="exact"/>
              <w:jc w:val="left"/>
              <w:rPr>
                <w:rFonts w:ascii="仿宋_GB2312" w:hAnsi="仿宋_GB2312" w:eastAsia="仿宋_GB2312" w:cs="仿宋_GB2312"/>
                <w:color w:val="000000"/>
                <w:kern w:val="0"/>
                <w:sz w:val="28"/>
                <w:szCs w:val="28"/>
                <w:highlight w:val="none"/>
                <w:u w:val="single"/>
                <w:lang w:val="en-US" w:eastAsia="zh-CN"/>
              </w:rPr>
            </w:pPr>
            <w:r>
              <w:rPr>
                <w:rFonts w:hint="eastAsia" w:ascii="仿宋_GB2312" w:hAnsi="仿宋_GB2312" w:eastAsia="仿宋_GB2312" w:cs="仿宋_GB2312"/>
                <w:color w:val="000000"/>
                <w:kern w:val="0"/>
                <w:sz w:val="28"/>
                <w:szCs w:val="28"/>
                <w:highlight w:val="none"/>
              </w:rPr>
              <w:t>联系电话：</w:t>
            </w:r>
            <w:r>
              <w:rPr>
                <w:rFonts w:hint="eastAsia" w:ascii="仿宋_GB2312" w:hAnsi="仿宋_GB2312" w:eastAsia="仿宋_GB2312" w:cs="仿宋_GB2312"/>
                <w:color w:val="000000"/>
                <w:kern w:val="0"/>
                <w:sz w:val="28"/>
                <w:szCs w:val="28"/>
                <w:highlight w:val="none"/>
                <w:lang w:val="en-US" w:eastAsia="zh-CN"/>
              </w:rPr>
              <w:t>18092770029</w:t>
            </w:r>
          </w:p>
        </w:tc>
      </w:tr>
    </w:tbl>
    <w:p w14:paraId="43467F4B">
      <w:pPr>
        <w:shd w:val="clear" w:color="auto" w:fill="FFFFFF"/>
        <w:jc w:val="center"/>
        <w:outlineLvl w:val="9"/>
        <w:rPr>
          <w:rFonts w:hint="eastAsia" w:ascii="仿宋_GB2312" w:hAnsi="仿宋_GB2312" w:eastAsia="仿宋_GB2312" w:cs="仿宋_GB2312"/>
          <w:b/>
          <w:color w:val="000000"/>
          <w:sz w:val="44"/>
          <w:szCs w:val="44"/>
          <w:highlight w:val="none"/>
          <w:lang w:eastAsia="zh-CN"/>
        </w:rPr>
      </w:pPr>
    </w:p>
    <w:p w14:paraId="28A587AD">
      <w:pPr>
        <w:shd w:val="clear" w:color="auto" w:fill="FFFFFF"/>
        <w:jc w:val="center"/>
        <w:outlineLvl w:val="9"/>
        <w:rPr>
          <w:rFonts w:hint="eastAsia" w:ascii="仿宋_GB2312" w:hAnsi="仿宋_GB2312" w:eastAsia="仿宋_GB2312" w:cs="仿宋_GB2312"/>
          <w:b/>
          <w:bCs w:val="0"/>
          <w:color w:val="000000"/>
          <w:sz w:val="36"/>
          <w:szCs w:val="36"/>
          <w:highlight w:val="none"/>
          <w:lang w:eastAsia="zh-CN"/>
        </w:rPr>
        <w:sectPr>
          <w:footerReference r:id="rId3" w:type="default"/>
          <w:pgSz w:w="11906" w:h="16838"/>
          <w:pgMar w:top="1134" w:right="1134" w:bottom="1134" w:left="1134" w:header="851" w:footer="992" w:gutter="0"/>
          <w:pgNumType w:fmt="numberInDash"/>
          <w:cols w:space="720" w:num="1"/>
          <w:docGrid w:type="linesAndChars" w:linePitch="312" w:charSpace="0"/>
        </w:sectPr>
      </w:pPr>
    </w:p>
    <w:p w14:paraId="2941E595">
      <w:pPr>
        <w:shd w:val="clear" w:color="auto" w:fill="FFFFFF"/>
        <w:jc w:val="center"/>
        <w:outlineLvl w:val="9"/>
        <w:rPr>
          <w:rFonts w:hint="eastAsia" w:ascii="仿宋_GB2312" w:hAnsi="仿宋_GB2312" w:eastAsia="仿宋_GB2312" w:cs="仿宋_GB2312"/>
          <w:b/>
          <w:bCs w:val="0"/>
          <w:color w:val="000000"/>
          <w:sz w:val="36"/>
          <w:szCs w:val="36"/>
          <w:highlight w:val="none"/>
          <w:lang w:eastAsia="zh-CN"/>
        </w:rPr>
      </w:pPr>
      <w:r>
        <w:rPr>
          <w:rFonts w:hint="eastAsia" w:ascii="仿宋_GB2312" w:hAnsi="仿宋_GB2312" w:eastAsia="仿宋_GB2312" w:cs="仿宋_GB2312"/>
          <w:b/>
          <w:bCs w:val="0"/>
          <w:color w:val="000000"/>
          <w:sz w:val="36"/>
          <w:szCs w:val="36"/>
          <w:highlight w:val="none"/>
          <w:lang w:eastAsia="zh-CN"/>
        </w:rPr>
        <w:t>需求框架（货物类）</w:t>
      </w:r>
    </w:p>
    <w:p w14:paraId="6210C969">
      <w:pPr>
        <w:pStyle w:val="84"/>
        <w:shd w:val="clear" w:color="auto" w:fill="FFFFFF"/>
        <w:spacing w:line="312" w:lineRule="auto"/>
        <w:ind w:left="0" w:firstLine="640" w:firstLineChars="200"/>
        <w:jc w:val="both"/>
        <w:outlineLvl w:val="0"/>
        <w:rPr>
          <w:rFonts w:hint="eastAsia" w:ascii="仿宋_GB2312" w:hAnsi="仿宋_GB2312" w:eastAsia="仿宋_GB2312" w:cs="仿宋_GB2312"/>
          <w:b/>
          <w:bCs/>
          <w:color w:val="000000"/>
          <w:sz w:val="32"/>
          <w:szCs w:val="32"/>
          <w:highlight w:val="none"/>
          <w:lang w:eastAsia="zh-CN"/>
        </w:rPr>
      </w:pPr>
      <w:r>
        <w:rPr>
          <w:rFonts w:hint="eastAsia" w:ascii="仿宋_GB2312" w:hAnsi="仿宋_GB2312" w:eastAsia="仿宋_GB2312" w:cs="仿宋_GB2312"/>
          <w:b/>
          <w:bCs/>
          <w:color w:val="000000"/>
          <w:sz w:val="32"/>
          <w:szCs w:val="32"/>
          <w:highlight w:val="none"/>
          <w:lang w:eastAsia="zh-CN"/>
        </w:rPr>
        <w:t>一、项目概况</w:t>
      </w:r>
    </w:p>
    <w:p w14:paraId="17EBB0BC">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eastAsia="zh-CN"/>
        </w:rPr>
      </w:pPr>
      <w:r>
        <w:rPr>
          <w:rFonts w:ascii="仿宋_GB2312" w:hAnsi="仿宋_GB2312" w:eastAsia="仿宋_GB2312" w:cs="仿宋_GB2312"/>
          <w:color w:val="000000"/>
          <w:sz w:val="28"/>
          <w:szCs w:val="28"/>
          <w:lang w:eastAsia="zh-CN"/>
        </w:rPr>
        <w:t>职业学校办学情况统计系统</w:t>
      </w:r>
      <w:r>
        <w:rPr>
          <w:rFonts w:hint="eastAsia" w:ascii="仿宋_GB2312" w:hAnsi="仿宋_GB2312" w:eastAsia="仿宋_GB2312" w:cs="仿宋_GB2312"/>
          <w:color w:val="000000"/>
          <w:sz w:val="28"/>
          <w:szCs w:val="28"/>
          <w:lang w:eastAsia="zh-CN"/>
        </w:rPr>
        <w:t>平台，是一个面向政府、行业、企业、学校等多方用户的综合性</w:t>
      </w:r>
      <w:r>
        <w:rPr>
          <w:rFonts w:ascii="仿宋_GB2312" w:hAnsi="仿宋_GB2312" w:eastAsia="仿宋_GB2312" w:cs="仿宋_GB2312"/>
          <w:color w:val="000000"/>
          <w:sz w:val="28"/>
          <w:szCs w:val="28"/>
          <w:lang w:eastAsia="zh-CN"/>
        </w:rPr>
        <w:t>产教融合</w:t>
      </w:r>
      <w:r>
        <w:rPr>
          <w:rFonts w:hint="eastAsia" w:ascii="仿宋_GB2312" w:hAnsi="仿宋_GB2312" w:eastAsia="仿宋_GB2312" w:cs="仿宋_GB2312"/>
          <w:color w:val="000000"/>
          <w:sz w:val="28"/>
          <w:szCs w:val="28"/>
          <w:lang w:eastAsia="zh-CN"/>
        </w:rPr>
        <w:t>服务平台，致力于打造开放、协同、智能、高效的产教融合运营中枢。平台通过统一门户集成服务入口，实现产教资讯集中发布、项目业务统一办理与合作资源可视调度；通过标准化的流程引擎驱动项目全生命周期管理，支持从申报、审批、建设、考核到归档的全流程在线化与透明化运作；通过产教融合定制看板与数据管理模块，动态汇聚产业生态、人才供需与校企合作等核心指标，为管理决策提供实时数据支撑；通过校企供需匹配模块与产教融合场景应用，打通校企双向协作渠道，赋能市域产教联合体、行业产教融合共同体等产教融合新型载体的高效运营与成果沉淀，构建贯通“政、行、企、校”、融通“产业链、教育链、人才链、创新链”的产教融合数字化生态体系</w:t>
      </w:r>
      <w:r>
        <w:rPr>
          <w:rFonts w:hint="eastAsia" w:ascii="仿宋_GB2312" w:hAnsi="仿宋_GB2312" w:eastAsia="仿宋_GB2312" w:cs="仿宋_GB2312"/>
          <w:color w:val="000000"/>
          <w:sz w:val="28"/>
          <w:szCs w:val="28"/>
          <w:highlight w:val="none"/>
          <w:lang w:eastAsia="zh-CN"/>
        </w:rPr>
        <w:t>。</w:t>
      </w:r>
    </w:p>
    <w:p w14:paraId="45DCBE89">
      <w:pPr>
        <w:pStyle w:val="84"/>
        <w:shd w:val="clear" w:color="auto" w:fill="FFFFFF"/>
        <w:spacing w:line="312" w:lineRule="auto"/>
        <w:ind w:left="0" w:firstLine="640" w:firstLineChars="200"/>
        <w:jc w:val="both"/>
        <w:outlineLvl w:val="0"/>
        <w:rPr>
          <w:rFonts w:hint="eastAsia" w:ascii="仿宋_GB2312" w:hAnsi="仿宋_GB2312" w:eastAsia="仿宋_GB2312" w:cs="仿宋_GB2312"/>
          <w:b/>
          <w:bCs/>
          <w:color w:val="000000"/>
          <w:sz w:val="32"/>
          <w:szCs w:val="32"/>
          <w:highlight w:val="none"/>
          <w:lang w:eastAsia="zh-CN"/>
        </w:rPr>
      </w:pPr>
      <w:r>
        <w:rPr>
          <w:rFonts w:hint="eastAsia" w:ascii="仿宋_GB2312" w:hAnsi="仿宋_GB2312" w:eastAsia="仿宋_GB2312" w:cs="仿宋_GB2312"/>
          <w:b/>
          <w:bCs/>
          <w:color w:val="000000"/>
          <w:sz w:val="32"/>
          <w:szCs w:val="32"/>
          <w:highlight w:val="none"/>
          <w:lang w:eastAsia="zh-CN"/>
        </w:rPr>
        <w:t>二、采购内容（包括采购品目、规格和数量）</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0"/>
        <w:gridCol w:w="3989"/>
        <w:gridCol w:w="945"/>
        <w:gridCol w:w="979"/>
        <w:gridCol w:w="1971"/>
      </w:tblGrid>
      <w:tr w14:paraId="6E7C1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0" w:type="dxa"/>
            <w:vAlign w:val="center"/>
          </w:tcPr>
          <w:p w14:paraId="6AB7C573">
            <w:pPr>
              <w:keepNext w:val="0"/>
              <w:keepLines w:val="0"/>
              <w:pageBreakBefore w:val="0"/>
              <w:widowControl w:val="0"/>
              <w:shd w:val="clear" w:color="auto" w:fill="FFFFFF"/>
              <w:kinsoku/>
              <w:wordWrap/>
              <w:overflowPunct/>
              <w:topLinePunct w:val="0"/>
              <w:autoSpaceDE/>
              <w:autoSpaceDN/>
              <w:bidi w:val="0"/>
              <w:adjustRightInd/>
              <w:snapToGrid/>
              <w:spacing w:line="540" w:lineRule="exact"/>
              <w:jc w:val="center"/>
              <w:textAlignment w:val="auto"/>
              <w:rPr>
                <w:rFonts w:hint="eastAsia" w:ascii="仿宋_GB2312" w:hAnsi="仿宋_GB2312" w:eastAsia="仿宋_GB2312" w:cs="仿宋_GB2312"/>
                <w:b/>
                <w:bCs/>
                <w:color w:val="000000"/>
                <w:kern w:val="0"/>
                <w:sz w:val="28"/>
                <w:szCs w:val="28"/>
                <w:highlight w:val="none"/>
                <w:lang w:eastAsia="zh-CN"/>
              </w:rPr>
            </w:pPr>
            <w:r>
              <w:rPr>
                <w:rFonts w:hint="eastAsia" w:ascii="仿宋_GB2312" w:hAnsi="仿宋_GB2312" w:eastAsia="仿宋_GB2312" w:cs="仿宋_GB2312"/>
                <w:b/>
                <w:bCs/>
                <w:color w:val="000000"/>
                <w:kern w:val="0"/>
                <w:sz w:val="28"/>
                <w:szCs w:val="28"/>
                <w:highlight w:val="none"/>
                <w:lang w:val="en-US" w:eastAsia="zh-CN"/>
              </w:rPr>
              <w:t>品目名称</w:t>
            </w:r>
          </w:p>
        </w:tc>
        <w:tc>
          <w:tcPr>
            <w:tcW w:w="3989" w:type="dxa"/>
            <w:vAlign w:val="center"/>
          </w:tcPr>
          <w:p w14:paraId="4032D1A4">
            <w:pPr>
              <w:keepNext w:val="0"/>
              <w:keepLines w:val="0"/>
              <w:pageBreakBefore w:val="0"/>
              <w:widowControl w:val="0"/>
              <w:shd w:val="clear" w:color="auto" w:fill="FFFFFF"/>
              <w:kinsoku/>
              <w:wordWrap/>
              <w:overflowPunct/>
              <w:topLinePunct w:val="0"/>
              <w:autoSpaceDE/>
              <w:autoSpaceDN/>
              <w:bidi w:val="0"/>
              <w:adjustRightInd/>
              <w:snapToGrid/>
              <w:spacing w:line="540" w:lineRule="exact"/>
              <w:jc w:val="center"/>
              <w:textAlignment w:val="auto"/>
              <w:rPr>
                <w:rFonts w:hint="eastAsia" w:ascii="仿宋_GB2312" w:hAnsi="仿宋_GB2312" w:eastAsia="仿宋_GB2312" w:cs="仿宋_GB2312"/>
                <w:b/>
                <w:bCs/>
                <w:color w:val="000000"/>
                <w:kern w:val="0"/>
                <w:sz w:val="28"/>
                <w:szCs w:val="28"/>
                <w:highlight w:val="none"/>
                <w:lang w:val="en-US" w:eastAsia="zh-CN"/>
              </w:rPr>
            </w:pPr>
            <w:r>
              <w:rPr>
                <w:rFonts w:hint="eastAsia" w:ascii="仿宋_GB2312" w:hAnsi="仿宋_GB2312" w:eastAsia="仿宋_GB2312" w:cs="仿宋_GB2312"/>
                <w:b/>
                <w:bCs/>
                <w:color w:val="000000"/>
                <w:kern w:val="0"/>
                <w:sz w:val="28"/>
                <w:szCs w:val="28"/>
                <w:highlight w:val="none"/>
                <w:lang w:val="en-US" w:eastAsia="zh-CN"/>
              </w:rPr>
              <w:t>规格/</w:t>
            </w:r>
          </w:p>
          <w:p w14:paraId="6EB99F26">
            <w:pPr>
              <w:keepNext w:val="0"/>
              <w:keepLines w:val="0"/>
              <w:pageBreakBefore w:val="0"/>
              <w:widowControl w:val="0"/>
              <w:shd w:val="clear" w:color="auto" w:fill="FFFFFF"/>
              <w:kinsoku/>
              <w:wordWrap/>
              <w:overflowPunct/>
              <w:topLinePunct w:val="0"/>
              <w:autoSpaceDE/>
              <w:autoSpaceDN/>
              <w:bidi w:val="0"/>
              <w:adjustRightInd/>
              <w:snapToGrid/>
              <w:spacing w:line="540" w:lineRule="exact"/>
              <w:jc w:val="center"/>
              <w:textAlignment w:val="auto"/>
              <w:rPr>
                <w:rFonts w:hint="eastAsia" w:ascii="仿宋_GB2312" w:hAnsi="仿宋_GB2312" w:eastAsia="仿宋_GB2312" w:cs="仿宋_GB2312"/>
                <w:b/>
                <w:bCs/>
                <w:color w:val="000000"/>
                <w:kern w:val="0"/>
                <w:sz w:val="28"/>
                <w:szCs w:val="28"/>
                <w:highlight w:val="none"/>
                <w:lang w:eastAsia="zh-CN"/>
              </w:rPr>
            </w:pPr>
            <w:r>
              <w:rPr>
                <w:rFonts w:hint="eastAsia" w:ascii="仿宋_GB2312" w:hAnsi="仿宋_GB2312" w:eastAsia="仿宋_GB2312" w:cs="仿宋_GB2312"/>
                <w:b/>
                <w:bCs/>
                <w:color w:val="000000"/>
                <w:kern w:val="0"/>
                <w:sz w:val="28"/>
                <w:szCs w:val="28"/>
                <w:highlight w:val="none"/>
                <w:lang w:val="en-US" w:eastAsia="zh-CN"/>
              </w:rPr>
              <w:t>功能描述</w:t>
            </w:r>
          </w:p>
        </w:tc>
        <w:tc>
          <w:tcPr>
            <w:tcW w:w="945" w:type="dxa"/>
            <w:vAlign w:val="center"/>
          </w:tcPr>
          <w:p w14:paraId="1B3E2EE0">
            <w:pPr>
              <w:keepNext w:val="0"/>
              <w:keepLines w:val="0"/>
              <w:pageBreakBefore w:val="0"/>
              <w:widowControl w:val="0"/>
              <w:shd w:val="clear" w:color="auto" w:fill="FFFFFF"/>
              <w:kinsoku/>
              <w:wordWrap/>
              <w:overflowPunct/>
              <w:topLinePunct w:val="0"/>
              <w:autoSpaceDE/>
              <w:autoSpaceDN/>
              <w:bidi w:val="0"/>
              <w:adjustRightInd/>
              <w:snapToGrid/>
              <w:spacing w:line="540" w:lineRule="exact"/>
              <w:jc w:val="center"/>
              <w:textAlignment w:val="auto"/>
              <w:rPr>
                <w:rFonts w:hint="eastAsia" w:ascii="仿宋_GB2312" w:hAnsi="仿宋_GB2312" w:eastAsia="仿宋_GB2312" w:cs="仿宋_GB2312"/>
                <w:b/>
                <w:bCs/>
                <w:color w:val="000000"/>
                <w:kern w:val="0"/>
                <w:sz w:val="28"/>
                <w:szCs w:val="28"/>
                <w:highlight w:val="none"/>
                <w:lang w:eastAsia="zh-CN"/>
              </w:rPr>
            </w:pPr>
            <w:r>
              <w:rPr>
                <w:rFonts w:hint="eastAsia" w:ascii="仿宋_GB2312" w:hAnsi="仿宋_GB2312" w:eastAsia="仿宋_GB2312" w:cs="仿宋_GB2312"/>
                <w:b/>
                <w:bCs/>
                <w:color w:val="000000"/>
                <w:kern w:val="0"/>
                <w:sz w:val="28"/>
                <w:szCs w:val="28"/>
                <w:highlight w:val="none"/>
                <w:lang w:val="en-US" w:eastAsia="zh-CN"/>
              </w:rPr>
              <w:t>数量</w:t>
            </w:r>
          </w:p>
        </w:tc>
        <w:tc>
          <w:tcPr>
            <w:tcW w:w="979" w:type="dxa"/>
            <w:vAlign w:val="center"/>
          </w:tcPr>
          <w:p w14:paraId="20223704">
            <w:pPr>
              <w:keepNext w:val="0"/>
              <w:keepLines w:val="0"/>
              <w:pageBreakBefore w:val="0"/>
              <w:widowControl w:val="0"/>
              <w:shd w:val="clear" w:color="auto" w:fill="FFFFFF"/>
              <w:kinsoku/>
              <w:wordWrap/>
              <w:overflowPunct/>
              <w:topLinePunct w:val="0"/>
              <w:autoSpaceDE/>
              <w:autoSpaceDN/>
              <w:bidi w:val="0"/>
              <w:adjustRightInd/>
              <w:snapToGrid/>
              <w:spacing w:line="540" w:lineRule="exact"/>
              <w:jc w:val="center"/>
              <w:textAlignment w:val="auto"/>
              <w:rPr>
                <w:rFonts w:hint="eastAsia" w:ascii="仿宋_GB2312" w:hAnsi="仿宋_GB2312" w:eastAsia="仿宋_GB2312" w:cs="仿宋_GB2312"/>
                <w:b/>
                <w:bCs/>
                <w:color w:val="000000"/>
                <w:kern w:val="0"/>
                <w:sz w:val="28"/>
                <w:szCs w:val="28"/>
                <w:highlight w:val="none"/>
                <w:lang w:eastAsia="zh-CN"/>
              </w:rPr>
            </w:pPr>
            <w:r>
              <w:rPr>
                <w:rFonts w:hint="eastAsia" w:ascii="仿宋_GB2312" w:hAnsi="仿宋_GB2312" w:eastAsia="仿宋_GB2312" w:cs="仿宋_GB2312"/>
                <w:b/>
                <w:bCs/>
                <w:color w:val="000000"/>
                <w:kern w:val="0"/>
                <w:sz w:val="28"/>
                <w:szCs w:val="28"/>
                <w:highlight w:val="none"/>
                <w:lang w:val="en-US" w:eastAsia="zh-CN"/>
              </w:rPr>
              <w:t>单位</w:t>
            </w:r>
          </w:p>
        </w:tc>
        <w:tc>
          <w:tcPr>
            <w:tcW w:w="1971" w:type="dxa"/>
            <w:vAlign w:val="center"/>
          </w:tcPr>
          <w:p w14:paraId="2315E335">
            <w:pPr>
              <w:keepNext w:val="0"/>
              <w:keepLines w:val="0"/>
              <w:pageBreakBefore w:val="0"/>
              <w:widowControl w:val="0"/>
              <w:shd w:val="clear" w:color="auto" w:fill="FFFFFF"/>
              <w:kinsoku/>
              <w:wordWrap/>
              <w:overflowPunct/>
              <w:topLinePunct w:val="0"/>
              <w:autoSpaceDE/>
              <w:autoSpaceDN/>
              <w:bidi w:val="0"/>
              <w:adjustRightInd/>
              <w:snapToGrid/>
              <w:spacing w:line="540" w:lineRule="exact"/>
              <w:jc w:val="center"/>
              <w:textAlignment w:val="auto"/>
              <w:rPr>
                <w:rFonts w:hint="eastAsia" w:ascii="仿宋_GB2312" w:hAnsi="仿宋_GB2312" w:eastAsia="仿宋_GB2312" w:cs="仿宋_GB2312"/>
                <w:b/>
                <w:bCs/>
                <w:color w:val="000000"/>
                <w:kern w:val="0"/>
                <w:sz w:val="28"/>
                <w:szCs w:val="28"/>
                <w:highlight w:val="none"/>
                <w:lang w:eastAsia="zh-CN"/>
              </w:rPr>
            </w:pPr>
            <w:r>
              <w:rPr>
                <w:rFonts w:hint="eastAsia" w:ascii="仿宋_GB2312" w:hAnsi="仿宋_GB2312" w:eastAsia="仿宋_GB2312" w:cs="仿宋_GB2312"/>
                <w:b/>
                <w:bCs/>
                <w:color w:val="000000"/>
                <w:kern w:val="0"/>
                <w:sz w:val="28"/>
                <w:szCs w:val="28"/>
                <w:highlight w:val="none"/>
                <w:lang w:val="en-US" w:eastAsia="zh-CN"/>
              </w:rPr>
              <w:t>备注</w:t>
            </w:r>
          </w:p>
        </w:tc>
      </w:tr>
      <w:tr w14:paraId="57E6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0" w:type="dxa"/>
            <w:vAlign w:val="center"/>
          </w:tcPr>
          <w:p w14:paraId="3564C9F0">
            <w:pPr>
              <w:keepNext w:val="0"/>
              <w:keepLines w:val="0"/>
              <w:pageBreakBefore w:val="0"/>
              <w:widowControl w:val="0"/>
              <w:shd w:val="clear" w:color="auto" w:fill="FFFFFF"/>
              <w:kinsoku/>
              <w:wordWrap/>
              <w:overflowPunct/>
              <w:topLinePunct w:val="0"/>
              <w:autoSpaceDE/>
              <w:autoSpaceDN/>
              <w:bidi w:val="0"/>
              <w:adjustRightInd/>
              <w:snapToGrid/>
              <w:spacing w:line="560" w:lineRule="exact"/>
              <w:jc w:val="center"/>
              <w:textAlignment w:val="auto"/>
              <w:rPr>
                <w:rFonts w:ascii="仿宋_GB2312" w:hAnsi="仿宋_GB2312" w:eastAsia="仿宋_GB2312" w:cs="仿宋_GB2312"/>
                <w:color w:val="000000"/>
                <w:kern w:val="0"/>
                <w:sz w:val="28"/>
                <w:szCs w:val="28"/>
                <w:highlight w:val="none"/>
                <w:lang w:val="en-US" w:eastAsia="zh-CN"/>
              </w:rPr>
            </w:pPr>
            <w:r>
              <w:rPr>
                <w:rFonts w:hint="eastAsia" w:ascii="仿宋_GB2312" w:hAnsi="仿宋_GB2312" w:eastAsia="仿宋_GB2312" w:cs="仿宋_GB2312"/>
                <w:color w:val="000000"/>
                <w:kern w:val="0"/>
                <w:sz w:val="28"/>
                <w:szCs w:val="28"/>
                <w:lang w:val="en-US" w:eastAsia="zh-CN"/>
              </w:rPr>
              <w:t>职业学校办学情况统计系统</w:t>
            </w:r>
          </w:p>
        </w:tc>
        <w:tc>
          <w:tcPr>
            <w:tcW w:w="3989" w:type="dxa"/>
            <w:vAlign w:val="center"/>
          </w:tcPr>
          <w:p w14:paraId="5D8B7F58">
            <w:pPr>
              <w:keepNext w:val="0"/>
              <w:keepLines w:val="0"/>
              <w:pageBreakBefore w:val="0"/>
              <w:widowControl w:val="0"/>
              <w:shd w:val="clear" w:color="auto" w:fill="FFFFFF"/>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kern w:val="0"/>
                <w:sz w:val="28"/>
                <w:szCs w:val="28"/>
                <w:highlight w:val="none"/>
                <w:lang w:eastAsia="zh-CN"/>
              </w:rPr>
            </w:pPr>
            <w:r>
              <w:rPr>
                <w:rFonts w:hint="eastAsia" w:ascii="仿宋_GB2312" w:hAnsi="仿宋_GB2312" w:eastAsia="仿宋_GB2312" w:cs="仿宋_GB2312"/>
                <w:color w:val="000000"/>
                <w:kern w:val="0"/>
                <w:sz w:val="28"/>
                <w:szCs w:val="28"/>
                <w:highlight w:val="none"/>
                <w:lang w:val="en-US" w:eastAsia="zh-CN"/>
              </w:rPr>
              <w:t>包含职业学校办学情况统计系统综合门户、</w:t>
            </w:r>
            <w:r>
              <w:rPr>
                <w:rFonts w:hint="eastAsia" w:ascii="仿宋_GB2312" w:hAnsi="仿宋_GB2312" w:eastAsia="仿宋_GB2312" w:cs="仿宋_GB2312"/>
                <w:color w:val="000000"/>
                <w:kern w:val="0"/>
                <w:sz w:val="28"/>
                <w:szCs w:val="28"/>
                <w:highlight w:val="none"/>
              </w:rPr>
              <w:t>产教资源管理模块</w:t>
            </w:r>
            <w:r>
              <w:rPr>
                <w:rFonts w:hint="eastAsia" w:ascii="仿宋_GB2312" w:hAnsi="仿宋_GB2312" w:eastAsia="仿宋_GB2312" w:cs="仿宋_GB2312"/>
                <w:color w:val="000000"/>
                <w:kern w:val="0"/>
                <w:sz w:val="28"/>
                <w:szCs w:val="28"/>
                <w:highlight w:val="none"/>
                <w:lang w:eastAsia="zh-CN"/>
              </w:rPr>
              <w:t>、</w:t>
            </w:r>
            <w:r>
              <w:rPr>
                <w:rFonts w:hint="eastAsia" w:ascii="仿宋_GB2312" w:hAnsi="仿宋_GB2312" w:eastAsia="仿宋_GB2312" w:cs="仿宋_GB2312"/>
                <w:color w:val="000000"/>
                <w:kern w:val="0"/>
                <w:sz w:val="28"/>
                <w:szCs w:val="28"/>
                <w:lang w:val="en-US" w:eastAsia="zh-CN"/>
              </w:rPr>
              <w:t>职业学校办学情况统计系统项目</w:t>
            </w:r>
            <w:r>
              <w:rPr>
                <w:rFonts w:hint="eastAsia" w:ascii="仿宋_GB2312" w:hAnsi="仿宋_GB2312" w:eastAsia="仿宋_GB2312" w:cs="仿宋_GB2312"/>
                <w:color w:val="000000"/>
                <w:kern w:val="0"/>
                <w:sz w:val="28"/>
                <w:szCs w:val="28"/>
                <w:highlight w:val="none"/>
                <w:lang w:val="en-US" w:eastAsia="zh-CN"/>
              </w:rPr>
              <w:t>信息采集模块、</w:t>
            </w:r>
            <w:r>
              <w:rPr>
                <w:rFonts w:hint="eastAsia" w:ascii="仿宋_GB2312" w:hAnsi="仿宋_GB2312" w:eastAsia="仿宋_GB2312" w:cs="仿宋_GB2312"/>
                <w:color w:val="000000"/>
                <w:kern w:val="0"/>
                <w:sz w:val="28"/>
                <w:szCs w:val="28"/>
                <w:lang w:val="en-US" w:eastAsia="zh-CN"/>
              </w:rPr>
              <w:t>职业学校办学情况统计系统项目</w:t>
            </w:r>
            <w:r>
              <w:rPr>
                <w:rFonts w:hint="eastAsia" w:ascii="仿宋_GB2312" w:hAnsi="仿宋_GB2312" w:eastAsia="仿宋_GB2312" w:cs="仿宋_GB2312"/>
                <w:color w:val="000000"/>
                <w:kern w:val="0"/>
                <w:sz w:val="28"/>
                <w:szCs w:val="28"/>
                <w:highlight w:val="none"/>
                <w:lang w:val="en-US" w:eastAsia="zh-CN"/>
              </w:rPr>
              <w:t>管理流程模块、</w:t>
            </w:r>
            <w:r>
              <w:rPr>
                <w:rFonts w:hint="eastAsia" w:ascii="仿宋_GB2312" w:hAnsi="仿宋_GB2312" w:eastAsia="仿宋_GB2312" w:cs="仿宋_GB2312"/>
                <w:color w:val="000000"/>
                <w:kern w:val="0"/>
                <w:sz w:val="28"/>
                <w:szCs w:val="28"/>
                <w:lang w:val="en-US" w:eastAsia="zh-CN"/>
              </w:rPr>
              <w:t>职业学校办学情况统计系统项目</w:t>
            </w:r>
            <w:r>
              <w:rPr>
                <w:rFonts w:hint="eastAsia" w:ascii="仿宋_GB2312" w:hAnsi="仿宋_GB2312" w:eastAsia="仿宋_GB2312" w:cs="仿宋_GB2312"/>
                <w:color w:val="000000"/>
                <w:kern w:val="0"/>
                <w:sz w:val="28"/>
                <w:szCs w:val="28"/>
                <w:highlight w:val="none"/>
                <w:lang w:val="en-US" w:eastAsia="zh-CN"/>
              </w:rPr>
              <w:t>任务管理模块、校企供需匹配模块、产教融合定制看板、产教融合数据管理模块以及平台运行服务，详见技术要求。</w:t>
            </w:r>
          </w:p>
        </w:tc>
        <w:tc>
          <w:tcPr>
            <w:tcW w:w="945" w:type="dxa"/>
            <w:vAlign w:val="center"/>
          </w:tcPr>
          <w:p w14:paraId="4CAE2A9D">
            <w:pPr>
              <w:keepNext w:val="0"/>
              <w:keepLines w:val="0"/>
              <w:pageBreakBefore w:val="0"/>
              <w:widowControl w:val="0"/>
              <w:shd w:val="clear" w:color="auto" w:fill="FFFFFF"/>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kern w:val="0"/>
                <w:sz w:val="28"/>
                <w:szCs w:val="28"/>
                <w:highlight w:val="none"/>
                <w:lang w:eastAsia="zh-CN"/>
              </w:rPr>
            </w:pPr>
            <w:r>
              <w:rPr>
                <w:rFonts w:hint="eastAsia" w:ascii="仿宋_GB2312" w:hAnsi="仿宋_GB2312" w:eastAsia="仿宋_GB2312" w:cs="仿宋_GB2312"/>
                <w:color w:val="000000"/>
                <w:kern w:val="0"/>
                <w:sz w:val="28"/>
                <w:szCs w:val="28"/>
                <w:highlight w:val="none"/>
                <w:lang w:val="en-US" w:eastAsia="zh-CN"/>
              </w:rPr>
              <w:t>1</w:t>
            </w:r>
          </w:p>
        </w:tc>
        <w:tc>
          <w:tcPr>
            <w:tcW w:w="979" w:type="dxa"/>
            <w:vAlign w:val="center"/>
          </w:tcPr>
          <w:p w14:paraId="55E2F432">
            <w:pPr>
              <w:keepNext w:val="0"/>
              <w:keepLines w:val="0"/>
              <w:pageBreakBefore w:val="0"/>
              <w:widowControl w:val="0"/>
              <w:shd w:val="clear" w:color="auto" w:fill="FFFFFF"/>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000000"/>
                <w:kern w:val="0"/>
                <w:sz w:val="28"/>
                <w:szCs w:val="28"/>
                <w:highlight w:val="none"/>
                <w:lang w:eastAsia="zh-CN"/>
              </w:rPr>
            </w:pPr>
            <w:r>
              <w:rPr>
                <w:rFonts w:hint="eastAsia" w:ascii="仿宋_GB2312" w:hAnsi="仿宋_GB2312" w:eastAsia="仿宋_GB2312" w:cs="仿宋_GB2312"/>
                <w:color w:val="000000"/>
                <w:kern w:val="0"/>
                <w:sz w:val="28"/>
                <w:szCs w:val="28"/>
                <w:highlight w:val="none"/>
                <w:lang w:val="en-US" w:eastAsia="zh-CN"/>
              </w:rPr>
              <w:t>套</w:t>
            </w:r>
          </w:p>
        </w:tc>
        <w:tc>
          <w:tcPr>
            <w:tcW w:w="1971" w:type="dxa"/>
            <w:vAlign w:val="center"/>
          </w:tcPr>
          <w:p w14:paraId="695A5F2C">
            <w:pPr>
              <w:keepNext w:val="0"/>
              <w:keepLines w:val="0"/>
              <w:pageBreakBefore w:val="0"/>
              <w:widowControl w:val="0"/>
              <w:shd w:val="clear" w:color="auto" w:fill="FFFFFF"/>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kern w:val="0"/>
                <w:sz w:val="28"/>
                <w:szCs w:val="28"/>
                <w:highlight w:val="none"/>
                <w:lang w:eastAsia="zh-CN"/>
              </w:rPr>
            </w:pPr>
            <w:r>
              <w:rPr>
                <w:rFonts w:hint="eastAsia" w:ascii="仿宋_GB2312" w:hAnsi="仿宋_GB2312" w:eastAsia="仿宋_GB2312" w:cs="仿宋_GB2312"/>
                <w:color w:val="000000"/>
                <w:kern w:val="0"/>
                <w:sz w:val="28"/>
                <w:szCs w:val="28"/>
                <w:highlight w:val="none"/>
                <w:lang w:val="en-US" w:eastAsia="zh-CN"/>
              </w:rPr>
              <w:t>交付物包括：可部署的软件产品、完整源代码、数据库脚本、部署文档、用户手册、技术手册等。</w:t>
            </w:r>
          </w:p>
        </w:tc>
      </w:tr>
    </w:tbl>
    <w:p w14:paraId="583F3D32">
      <w:pPr>
        <w:pStyle w:val="84"/>
        <w:shd w:val="clear" w:color="auto" w:fill="FFFFFF"/>
        <w:spacing w:line="312" w:lineRule="auto"/>
        <w:ind w:left="0" w:firstLine="640" w:firstLineChars="200"/>
        <w:jc w:val="both"/>
        <w:outlineLvl w:val="0"/>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b/>
          <w:bCs/>
          <w:color w:val="000000"/>
          <w:sz w:val="32"/>
          <w:szCs w:val="32"/>
          <w:highlight w:val="none"/>
          <w:lang w:eastAsia="zh-CN"/>
        </w:rPr>
        <w:t>三、技术要求（包括对产品的认证等）</w:t>
      </w:r>
    </w:p>
    <w:p w14:paraId="67CEF2DF">
      <w:pPr>
        <w:pStyle w:val="84"/>
        <w:shd w:val="clear" w:color="auto" w:fill="FFFFFF"/>
        <w:spacing w:line="312" w:lineRule="auto"/>
        <w:ind w:left="0" w:firstLine="560" w:firstLineChars="200"/>
        <w:jc w:val="both"/>
        <w:outlineLvl w:val="1"/>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（一）功能要求</w:t>
      </w:r>
    </w:p>
    <w:p w14:paraId="4638160A">
      <w:pPr>
        <w:pStyle w:val="84"/>
        <w:shd w:val="clear" w:color="auto" w:fill="FFFFFF"/>
        <w:spacing w:line="312" w:lineRule="auto"/>
        <w:ind w:left="0" w:firstLine="560" w:firstLineChars="200"/>
        <w:jc w:val="both"/>
        <w:outlineLvl w:val="2"/>
        <w:rPr>
          <w:rFonts w:ascii="仿宋_GB2312" w:hAnsi="仿宋_GB2312" w:eastAsia="仿宋_GB2312" w:cs="仿宋_GB2312"/>
          <w:b/>
          <w:bCs/>
          <w:color w:val="000000"/>
          <w:sz w:val="28"/>
          <w:szCs w:val="28"/>
          <w:highlight w:val="none"/>
          <w:lang w:val="en-US" w:eastAsia="zh-CN"/>
        </w:rPr>
      </w:pPr>
      <w:bookmarkStart w:id="1" w:name="_Toc7427"/>
      <w:bookmarkStart w:id="2" w:name="_Toc6571"/>
      <w:bookmarkStart w:id="3" w:name="_Toc24052"/>
      <w:bookmarkStart w:id="4" w:name="_Toc3106"/>
      <w:r>
        <w:rPr>
          <w:rFonts w:hint="eastAsia" w:ascii="仿宋_GB2312" w:hAnsi="仿宋_GB2312" w:eastAsia="仿宋_GB2312" w:cs="仿宋_GB2312"/>
          <w:b/>
          <w:bCs/>
          <w:color w:val="000000"/>
          <w:sz w:val="28"/>
          <w:szCs w:val="28"/>
          <w:highlight w:val="none"/>
          <w:lang w:val="en-US" w:eastAsia="zh-CN"/>
        </w:rPr>
        <w:t>1.</w:t>
      </w:r>
      <w:r>
        <w:rPr>
          <w:rFonts w:hint="eastAsia" w:ascii="仿宋_GB2312" w:hAnsi="仿宋_GB2312" w:eastAsia="仿宋_GB2312" w:cs="仿宋_GB2312"/>
          <w:b/>
          <w:bCs/>
          <w:color w:val="000000"/>
          <w:sz w:val="28"/>
          <w:szCs w:val="28"/>
          <w:lang w:val="en-US" w:eastAsia="zh-CN"/>
        </w:rPr>
        <w:t>职业学校办学情况统计系统</w:t>
      </w:r>
      <w:r>
        <w:rPr>
          <w:rFonts w:hint="eastAsia" w:ascii="仿宋_GB2312" w:hAnsi="仿宋_GB2312" w:eastAsia="仿宋_GB2312" w:cs="仿宋_GB2312"/>
          <w:b/>
          <w:bCs/>
          <w:color w:val="000000"/>
          <w:sz w:val="28"/>
          <w:szCs w:val="28"/>
          <w:highlight w:val="none"/>
          <w:lang w:val="en-US" w:eastAsia="zh-CN"/>
        </w:rPr>
        <w:t>部署</w:t>
      </w:r>
    </w:p>
    <w:p w14:paraId="303C8DFF">
      <w:pPr>
        <w:pStyle w:val="84"/>
        <w:shd w:val="clear" w:color="auto" w:fill="FFFFFF"/>
        <w:spacing w:line="312" w:lineRule="auto"/>
        <w:ind w:left="0" w:firstLine="560" w:firstLineChars="200"/>
        <w:jc w:val="both"/>
        <w:outlineLvl w:val="3"/>
        <w:rPr>
          <w:rFonts w:ascii="微软雅黑" w:hAnsi="微软雅黑" w:eastAsia="微软雅黑" w:cs="微软雅黑"/>
          <w:b/>
          <w:bCs/>
          <w:color w:val="000000"/>
          <w:szCs w:val="36"/>
          <w:highlight w:val="none"/>
          <w:vertAlign w:val="baseline"/>
          <w:lang w:val="en-US" w:eastAsia="zh-CN"/>
        </w:rPr>
      </w:pPr>
      <w:r>
        <w:rPr>
          <w:rFonts w:hint="eastAsia" w:ascii="仿宋_GB2312" w:hAnsi="仿宋_GB2312" w:eastAsia="仿宋_GB2312" w:cs="仿宋_GB2312"/>
          <w:b/>
          <w:bCs/>
          <w:color w:val="000000"/>
          <w:sz w:val="28"/>
          <w:szCs w:val="28"/>
          <w:highlight w:val="none"/>
          <w:lang w:val="en-US" w:eastAsia="zh-CN"/>
        </w:rPr>
        <w:t>1.1职业学校办学情况统计系统综合门户</w:t>
      </w:r>
      <w:bookmarkEnd w:id="1"/>
      <w:bookmarkEnd w:id="2"/>
    </w:p>
    <w:p w14:paraId="306298D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val="en-US" w:eastAsia="zh-CN"/>
        </w:rPr>
        <w:t>职业学校办学情况统计系统</w:t>
      </w:r>
      <w:r>
        <w:rPr>
          <w:rFonts w:hint="eastAsia" w:ascii="仿宋_GB2312" w:hAnsi="仿宋_GB2312" w:eastAsia="仿宋_GB2312" w:cs="仿宋_GB2312"/>
          <w:color w:val="000000"/>
          <w:sz w:val="28"/>
          <w:szCs w:val="28"/>
          <w:lang w:eastAsia="zh-CN"/>
        </w:rPr>
        <w:t>综合门户，作为平台面向政府、行业、企业、学校等多方用户的统一入口与信息枢纽，旨在打造开放、协同、高效的数字化窗口。门户需集中展示区域产教融合的核心成果、动态资讯与合作资源，并提供一站式导航至各业务子系统，需要支持用户根据角色与需求快速访问相关功能，实现信息聚合、业务协同与资源调度。</w:t>
      </w:r>
    </w:p>
    <w:p w14:paraId="767FF93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门户需要集中展示区域产教融合的最新资讯与优秀案例，并设有个人工作台与消息中心，方便用户处理待办事务与接收通知。门户需要支持“市域产教联合体”“行业产教融合共同体”“产业学院”等职业学校办学情况统计系统项目的备案入库及独立运营，提供职业学校办学情况统计系统项目的展示、申报、任务调度与案例推广功能，覆盖校企合作从需求发布到成果归档的全生命周期管理，以及学校与地方政府、产业园区的战略合作与区域性服务对接。</w:t>
      </w:r>
    </w:p>
    <w:p w14:paraId="1896CB18">
      <w:pPr>
        <w:pStyle w:val="84"/>
        <w:shd w:val="clear" w:color="auto" w:fill="FFFFFF"/>
        <w:spacing w:line="312" w:lineRule="auto"/>
        <w:ind w:left="0" w:firstLine="560" w:firstLineChars="200"/>
        <w:jc w:val="both"/>
        <w:outlineLvl w:val="9"/>
        <w:rPr>
          <w:rFonts w:hint="eastAsia"/>
          <w:color w:val="000000"/>
          <w:highlight w:val="none"/>
          <w:lang w:val="en-US" w:eastAsia="zh-CN"/>
        </w:rPr>
      </w:pPr>
      <w:r>
        <w:rPr>
          <w:rFonts w:hint="eastAsia" w:ascii="仿宋_GB2312" w:hAnsi="仿宋_GB2312" w:eastAsia="仿宋_GB2312" w:cs="仿宋_GB2312"/>
          <w:color w:val="000000"/>
          <w:sz w:val="28"/>
          <w:szCs w:val="28"/>
          <w:lang w:eastAsia="zh-CN"/>
        </w:rPr>
        <w:t>同时，门户需设有项目任务拆解入口，可一键跳转至对应项目的管理模块；并需要提供建设总览大屏与产融发展态势大屏，分别实时可视化项目进展与基于大数据的区域产业、人才及专业布局分析，从而实现信息聚合、业务协同与资源调度的数字化整合</w:t>
      </w:r>
      <w:r>
        <w:rPr>
          <w:rFonts w:hint="eastAsia" w:ascii="仿宋_GB2312" w:hAnsi="仿宋_GB2312" w:eastAsia="仿宋_GB2312" w:cs="仿宋_GB2312"/>
          <w:color w:val="000000"/>
          <w:sz w:val="28"/>
          <w:szCs w:val="28"/>
          <w:highlight w:val="none"/>
          <w:lang w:val="en-US" w:eastAsia="zh-CN"/>
        </w:rPr>
        <w:t>。</w:t>
      </w:r>
    </w:p>
    <w:p w14:paraId="63428C6B">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bookmarkStart w:id="5" w:name="_Toc5630"/>
      <w:bookmarkStart w:id="6" w:name="_Toc12704"/>
      <w:r>
        <w:rPr>
          <w:rFonts w:hint="eastAsia" w:ascii="仿宋_GB2312" w:hAnsi="仿宋_GB2312" w:eastAsia="仿宋_GB2312" w:cs="仿宋_GB2312"/>
          <w:b/>
          <w:bCs/>
          <w:color w:val="000000"/>
          <w:sz w:val="28"/>
          <w:szCs w:val="28"/>
          <w:highlight w:val="none"/>
          <w:lang w:val="en-US" w:eastAsia="zh-CN"/>
        </w:rPr>
        <w:t>1.2产教资源管理模块</w:t>
      </w:r>
    </w:p>
    <w:p w14:paraId="122CE67E">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产教资源库用于统一管理学校的产教融合合作资源，需要将企业、院校、专家等各类合作对象汇聚成可查询、可展示的数据资产，帮助学校清晰呈现合作网络与办学成果。资源库既方便校内师生快速查找对接渠道，提升协作效率，也为学校对外展示产教融合实力提供直观依据，支撑资源的常态化管理与持续拓展</w:t>
      </w:r>
      <w:r>
        <w:rPr>
          <w:rFonts w:hint="eastAsia" w:ascii="仿宋_GB2312" w:hAnsi="仿宋_GB2312" w:eastAsia="仿宋_GB2312" w:cs="仿宋_GB2312"/>
          <w:color w:val="000000"/>
          <w:sz w:val="28"/>
          <w:szCs w:val="28"/>
          <w:highlight w:val="none"/>
          <w:lang w:val="en-US" w:eastAsia="zh-CN"/>
        </w:rPr>
        <w:t>。</w:t>
      </w:r>
    </w:p>
    <w:p w14:paraId="50CEFD9B">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1.2.1企业库</w:t>
      </w:r>
    </w:p>
    <w:p w14:paraId="626401C8">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企业库用于集中管理学校的合作企业，需要全面记录企业基本信息、主营产品等内容。要求通过统一的企业档案管理，帮助学校清晰掌握合作脉络，快速查询对接渠道，也为对外展示产教融合办学成果提供直观支撑，让分散的企业合作关系变成可查询、可运营的数据资产</w:t>
      </w:r>
      <w:r>
        <w:rPr>
          <w:rFonts w:hint="eastAsia" w:ascii="仿宋_GB2312" w:hAnsi="仿宋_GB2312" w:eastAsia="仿宋_GB2312" w:cs="仿宋_GB2312"/>
          <w:color w:val="000000"/>
          <w:sz w:val="28"/>
          <w:szCs w:val="28"/>
          <w:highlight w:val="none"/>
          <w:lang w:val="en-US" w:eastAsia="zh-CN"/>
        </w:rPr>
        <w:t>。</w:t>
      </w:r>
    </w:p>
    <w:p w14:paraId="131150CC">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1.2.2专家库</w:t>
      </w:r>
    </w:p>
    <w:p w14:paraId="7579C76B">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专家库用于集中管理学校的产业教授、兼职教师、行业专家等智力资源，需要记录专家基本信息、专业领域、参与项目、指导成果等内容。要求通过统一的人才档案管理，帮助学校清晰掌握专家资源分布，快速匹配合适人选参与专业建设、课程开发、项目评审等工作，也为对外展示学校师资力量与产教融合深度提供有力支撑</w:t>
      </w:r>
      <w:r>
        <w:rPr>
          <w:rFonts w:hint="eastAsia" w:ascii="仿宋_GB2312" w:hAnsi="仿宋_GB2312" w:eastAsia="仿宋_GB2312" w:cs="仿宋_GB2312"/>
          <w:color w:val="000000"/>
          <w:sz w:val="28"/>
          <w:szCs w:val="28"/>
          <w:highlight w:val="none"/>
          <w:lang w:val="en-US" w:eastAsia="zh-CN"/>
        </w:rPr>
        <w:t>。</w:t>
      </w:r>
    </w:p>
    <w:p w14:paraId="5E490992">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1.2.3院校库</w:t>
      </w:r>
    </w:p>
    <w:p w14:paraId="1B0C1245">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院校库用于集中管理学校的合作院校资源，需要记录合作院校基本信息、优势专业、交流动态等内容。要求通过统一的校际档案管理，帮助学校清晰呈现合作网络，方便快速查询对接渠道，也为校际经验共享、资源互通、协同发展提供基础支撑，让校际合作关系从零散的线下往来转变为可查询、可运营的数据资产</w:t>
      </w:r>
      <w:r>
        <w:rPr>
          <w:rFonts w:hint="eastAsia" w:ascii="仿宋_GB2312" w:hAnsi="仿宋_GB2312" w:eastAsia="仿宋_GB2312" w:cs="仿宋_GB2312"/>
          <w:color w:val="000000"/>
          <w:sz w:val="28"/>
          <w:szCs w:val="28"/>
          <w:highlight w:val="none"/>
          <w:lang w:val="en-US" w:eastAsia="zh-CN"/>
        </w:rPr>
        <w:t>。</w:t>
      </w:r>
    </w:p>
    <w:p w14:paraId="6DE8FC4C">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1.2.4产业数据库（提供铁道交通运营管理专业群、铁道机车运用与维护专业群、铁道供电技术专业群对应的3条产业链数据分析，数据持续更新1年）</w:t>
      </w:r>
    </w:p>
    <w:p w14:paraId="0D38D29B">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产业数据库深度融合产业链、岗位、企业三大维度数据，需要以图谱技术可视化呈现产业链全景结构与关联关系，并围绕具体岗位进行多维度的人才需求分析。同时，需集成海量企业信息，为用户提供全面的企业画像查询。要求通过对产业脉络的深度解构和对人才市场需求的精准刻画，帮助院校与教育管理者把握产业发展趋势，明确人才培养方向，并为校企合作寻源、专业规划论证等关键决策提供客观、系统的数据依据</w:t>
      </w:r>
      <w:r>
        <w:rPr>
          <w:rFonts w:hint="eastAsia" w:ascii="仿宋_GB2312" w:hAnsi="仿宋_GB2312" w:eastAsia="仿宋_GB2312" w:cs="仿宋_GB2312"/>
          <w:color w:val="000000"/>
          <w:sz w:val="28"/>
          <w:szCs w:val="28"/>
          <w:highlight w:val="none"/>
          <w:lang w:val="en-US" w:eastAsia="zh-CN"/>
        </w:rPr>
        <w:t>。</w:t>
      </w:r>
    </w:p>
    <w:p w14:paraId="1991A0CD">
      <w:pPr>
        <w:pStyle w:val="84"/>
        <w:shd w:val="clear" w:color="auto" w:fill="FFFFFF"/>
        <w:spacing w:line="312" w:lineRule="auto"/>
        <w:ind w:left="0" w:firstLine="560" w:firstLineChars="200"/>
        <w:jc w:val="both"/>
        <w:outlineLvl w:val="5"/>
        <w:rPr>
          <w:rFonts w:hint="eastAsia" w:ascii="仿宋_GB2312" w:hAnsi="仿宋_GB2312" w:eastAsia="仿宋_GB2312" w:cs="仿宋_GB2312"/>
          <w:color w:val="000000"/>
          <w:sz w:val="28"/>
          <w:szCs w:val="28"/>
          <w:highlight w:val="yellow"/>
          <w:lang w:val="en-US" w:eastAsia="zh-CN"/>
        </w:rPr>
      </w:pPr>
      <w:r>
        <w:rPr>
          <w:rFonts w:hint="eastAsia" w:ascii="微软雅黑" w:hAnsi="微软雅黑" w:eastAsia="微软雅黑" w:cs="微软雅黑"/>
          <w:b/>
          <w:bCs/>
          <w:color w:val="000000"/>
          <w:sz w:val="28"/>
          <w:szCs w:val="28"/>
          <w:highlight w:val="none"/>
          <w:lang w:val="en-US" w:eastAsia="zh-CN"/>
        </w:rPr>
        <w:t>★</w:t>
      </w:r>
      <w:r>
        <w:rPr>
          <w:rFonts w:hint="eastAsia" w:ascii="仿宋_GB2312" w:hAnsi="仿宋_GB2312" w:eastAsia="仿宋_GB2312" w:cs="仿宋_GB2312"/>
          <w:color w:val="000000"/>
          <w:sz w:val="28"/>
          <w:szCs w:val="28"/>
          <w:highlight w:val="none"/>
          <w:lang w:val="en-US" w:eastAsia="zh-CN"/>
        </w:rPr>
        <w:t>（1）产业链图谱（谈判时，进行现场实操平台功能演示）</w:t>
      </w:r>
    </w:p>
    <w:p w14:paraId="1919E0D4">
      <w:pPr>
        <w:pStyle w:val="26"/>
        <w:keepNext w:val="0"/>
        <w:keepLines w:val="0"/>
        <w:widowControl/>
        <w:suppressLineNumbers w:val="0"/>
        <w:spacing w:before="0" w:beforeAutospacing="0" w:after="0" w:afterAutospacing="0"/>
        <w:ind w:left="0" w:right="0" w:firstLine="560" w:firstLineChars="20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①</w:t>
      </w:r>
      <w:r>
        <w:rPr>
          <w:rFonts w:hint="eastAsia" w:ascii="仿宋_GB2312" w:hAnsi="仿宋_GB2312" w:eastAsia="仿宋_GB2312" w:cs="仿宋_GB2312"/>
          <w:color w:val="000000"/>
          <w:sz w:val="28"/>
          <w:szCs w:val="28"/>
          <w:lang w:eastAsia="zh-CN"/>
        </w:rPr>
        <w:t>要求</w:t>
      </w:r>
      <w:r>
        <w:rPr>
          <w:rFonts w:hint="eastAsia" w:ascii="仿宋_GB2312" w:hAnsi="仿宋_GB2312" w:eastAsia="仿宋_GB2312" w:cs="仿宋_GB2312"/>
          <w:color w:val="000000"/>
          <w:sz w:val="28"/>
          <w:szCs w:val="28"/>
          <w:lang w:val="en-US" w:eastAsia="zh-CN"/>
        </w:rPr>
        <w:t>系统呈现</w:t>
      </w:r>
      <w:r>
        <w:rPr>
          <w:rFonts w:hint="eastAsia" w:ascii="仿宋_GB2312" w:hAnsi="仿宋_GB2312" w:eastAsia="仿宋_GB2312" w:cs="仿宋_GB2312"/>
          <w:color w:val="000000"/>
          <w:sz w:val="28"/>
          <w:szCs w:val="28"/>
          <w:lang w:eastAsia="zh-CN"/>
        </w:rPr>
        <w:t>产业链的上中下游、</w:t>
      </w:r>
      <w:r>
        <w:rPr>
          <w:rFonts w:hint="eastAsia" w:ascii="仿宋_GB2312" w:hAnsi="仿宋_GB2312" w:eastAsia="仿宋_GB2312" w:cs="仿宋_GB2312"/>
          <w:color w:val="000000"/>
          <w:sz w:val="28"/>
          <w:szCs w:val="28"/>
          <w:lang w:val="en-US" w:eastAsia="zh-CN"/>
        </w:rPr>
        <w:t>核心技术、岗位等关键构成要素，形成“产业链-技术链-岗位链”结构的数字化产业链结构图谱。</w:t>
      </w:r>
    </w:p>
    <w:p w14:paraId="0AA73E35">
      <w:pPr>
        <w:pStyle w:val="26"/>
        <w:keepNext w:val="0"/>
        <w:keepLines w:val="0"/>
        <w:widowControl/>
        <w:suppressLineNumbers w:val="0"/>
        <w:spacing w:before="0" w:beforeAutospacing="0" w:after="0" w:afterAutospacing="0"/>
        <w:ind w:left="0" w:right="0" w:firstLine="560" w:firstLineChars="200"/>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②支持查看岗位需求特征数据，包括岗位名称、需求总量、平均薪资、学历要求层级分布。</w:t>
      </w:r>
    </w:p>
    <w:p w14:paraId="7687C8A7">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val="en-US" w:eastAsia="zh-CN"/>
        </w:rPr>
        <w:t>③支持筛选</w:t>
      </w:r>
      <w:r>
        <w:rPr>
          <w:rFonts w:hint="eastAsia" w:ascii="仿宋_GB2312" w:hAnsi="仿宋_GB2312" w:eastAsia="仿宋_GB2312" w:cs="仿宋_GB2312"/>
          <w:color w:val="000000"/>
          <w:sz w:val="28"/>
          <w:szCs w:val="28"/>
          <w:lang w:eastAsia="zh-CN"/>
        </w:rPr>
        <w:t>产业链</w:t>
      </w:r>
      <w:r>
        <w:rPr>
          <w:rFonts w:hint="eastAsia" w:ascii="仿宋_GB2312" w:hAnsi="仿宋_GB2312" w:eastAsia="仿宋_GB2312" w:cs="仿宋_GB2312"/>
          <w:color w:val="000000"/>
          <w:sz w:val="28"/>
          <w:szCs w:val="28"/>
          <w:lang w:val="en-US" w:eastAsia="zh-CN"/>
        </w:rPr>
        <w:t>上游、中游、下游，进行特定节点查看“技术链-岗位链”</w:t>
      </w:r>
      <w:r>
        <w:rPr>
          <w:rFonts w:hint="eastAsia" w:ascii="仿宋_GB2312" w:hAnsi="仿宋_GB2312" w:eastAsia="仿宋_GB2312" w:cs="仿宋_GB2312"/>
          <w:b w:val="0"/>
          <w:bCs w:val="0"/>
          <w:i w:val="0"/>
          <w:iCs w:val="0"/>
          <w:caps w:val="0"/>
          <w:smallCaps w:val="0"/>
          <w:color w:val="0F1115"/>
          <w:spacing w:val="0"/>
          <w:sz w:val="28"/>
          <w:szCs w:val="28"/>
          <w:shd w:val="clear" w:color="auto" w:fill="auto"/>
        </w:rPr>
        <w:t>数据视图</w:t>
      </w:r>
      <w:r>
        <w:rPr>
          <w:rFonts w:hint="eastAsia" w:ascii="仿宋_GB2312" w:hAnsi="仿宋_GB2312" w:eastAsia="仿宋_GB2312" w:cs="仿宋_GB2312"/>
          <w:color w:val="000000"/>
          <w:sz w:val="28"/>
          <w:szCs w:val="28"/>
          <w:highlight w:val="none"/>
          <w:lang w:val="en-US" w:eastAsia="zh-CN"/>
        </w:rPr>
        <w:t>。</w:t>
      </w:r>
    </w:p>
    <w:p w14:paraId="2B7F5D0D">
      <w:pPr>
        <w:pStyle w:val="84"/>
        <w:shd w:val="clear" w:color="auto" w:fill="FFFFFF"/>
        <w:spacing w:line="312" w:lineRule="auto"/>
        <w:ind w:left="0" w:firstLine="560" w:firstLineChars="200"/>
        <w:jc w:val="both"/>
        <w:outlineLvl w:val="5"/>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（2）岗位数据</w:t>
      </w:r>
    </w:p>
    <w:p w14:paraId="7B10815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每条产业链提供不少于50个核心关联岗位的需求数据，并在平台进行可视化呈现，满足如下功能要求：</w:t>
      </w:r>
    </w:p>
    <w:p w14:paraId="2F613B8F">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eastAsia="zh-CN"/>
        </w:rPr>
        <w:t>①区域需求分析</w:t>
      </w:r>
      <w:r>
        <w:rPr>
          <w:rFonts w:hint="eastAsia" w:ascii="仿宋_GB2312" w:hAnsi="仿宋_GB2312" w:eastAsia="仿宋_GB2312" w:cs="仿宋_GB2312"/>
          <w:color w:val="000000"/>
          <w:sz w:val="28"/>
          <w:szCs w:val="28"/>
          <w:lang w:val="en-US" w:eastAsia="zh-CN"/>
        </w:rPr>
        <w:t>页面</w:t>
      </w:r>
    </w:p>
    <w:p w14:paraId="3DD7BE25">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a.要求</w:t>
      </w:r>
      <w:r>
        <w:rPr>
          <w:rFonts w:hint="eastAsia" w:ascii="仿宋_GB2312" w:hAnsi="仿宋_GB2312" w:eastAsia="仿宋_GB2312" w:cs="仿宋_GB2312"/>
          <w:color w:val="000000"/>
          <w:sz w:val="28"/>
          <w:szCs w:val="28"/>
          <w:lang w:eastAsia="zh-CN"/>
        </w:rPr>
        <w:t>展示当前岗位名称、需求总量、平均薪资；</w:t>
      </w:r>
    </w:p>
    <w:p w14:paraId="2504309A">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lang w:val="en-US"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lang w:eastAsia="zh-CN"/>
        </w:rPr>
        <w:t>b.需通过地图展示全国不同省（市）的岗位需求分布，支持点击不同省（市）查看该区域的岗位需求情况；支持呈现岗位需求量排名前10的城市名单，及不同城市的岗位需求总量与平均薪资；（</w:t>
      </w:r>
      <w:r>
        <w:rPr>
          <w:rFonts w:hint="eastAsia" w:ascii="仿宋_GB2312" w:hAnsi="仿宋_GB2312" w:eastAsia="仿宋_GB2312" w:cs="仿宋_GB2312"/>
          <w:color w:val="000000"/>
          <w:sz w:val="28"/>
          <w:szCs w:val="28"/>
          <w:lang w:val="en-US" w:eastAsia="zh-CN"/>
        </w:rPr>
        <w:t>响应</w:t>
      </w:r>
      <w:r>
        <w:rPr>
          <w:rFonts w:hint="eastAsia" w:ascii="仿宋_GB2312" w:hAnsi="仿宋_GB2312" w:eastAsia="仿宋_GB2312" w:cs="仿宋_GB2312"/>
          <w:color w:val="000000"/>
          <w:sz w:val="28"/>
          <w:szCs w:val="28"/>
          <w:lang w:eastAsia="zh-CN"/>
        </w:rPr>
        <w:t>文件中提供相关截图证明，并加盖供应商公章。）</w:t>
      </w:r>
    </w:p>
    <w:p w14:paraId="198C8CA1">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c.</w:t>
      </w:r>
      <w:r>
        <w:rPr>
          <w:rFonts w:hint="eastAsia" w:ascii="仿宋_GB2312" w:hAnsi="仿宋_GB2312" w:eastAsia="仿宋_GB2312" w:cs="仿宋_GB2312"/>
          <w:color w:val="000000"/>
          <w:sz w:val="28"/>
          <w:szCs w:val="28"/>
          <w:lang w:eastAsia="zh-CN"/>
        </w:rPr>
        <w:t>要求支持展示一线城市、新一线城市、二线城市、三线城市、四五线城市的岗位需求量占比，并支持以城市等级作为筛选条件，查看需求总量、平均薪资、岗位需求量排名前10城市名单的情况</w:t>
      </w:r>
      <w:r>
        <w:rPr>
          <w:rFonts w:hint="eastAsia" w:ascii="仿宋_GB2312" w:hAnsi="仿宋_GB2312" w:eastAsia="仿宋_GB2312" w:cs="仿宋_GB2312"/>
          <w:color w:val="000000"/>
          <w:sz w:val="28"/>
          <w:szCs w:val="28"/>
          <w:lang w:val="en-US" w:eastAsia="zh-CN"/>
        </w:rPr>
        <w:t>；</w:t>
      </w:r>
    </w:p>
    <w:p w14:paraId="45700583">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lang w:val="en-US" w:eastAsia="zh-CN"/>
        </w:rPr>
      </w:pPr>
      <w:r>
        <w:rPr>
          <w:rFonts w:hint="eastAsia" w:ascii="仿宋_GB2312" w:hAnsi="仿宋_GB2312" w:eastAsia="仿宋_GB2312" w:cs="仿宋_GB2312"/>
          <w:color w:val="000000"/>
          <w:sz w:val="28"/>
          <w:szCs w:val="28"/>
          <w:lang w:val="en-US" w:eastAsia="zh-CN"/>
        </w:rPr>
        <w:t>d.</w:t>
      </w:r>
      <w:r>
        <w:rPr>
          <w:rFonts w:hint="eastAsia" w:ascii="仿宋_GB2312" w:hAnsi="仿宋_GB2312" w:eastAsia="仿宋_GB2312" w:cs="仿宋_GB2312"/>
          <w:color w:val="000000"/>
          <w:sz w:val="28"/>
          <w:szCs w:val="28"/>
          <w:lang w:eastAsia="zh-CN"/>
        </w:rPr>
        <w:t>支持展示热门经济区（如：</w:t>
      </w:r>
      <w:r>
        <w:rPr>
          <w:rFonts w:hint="eastAsia" w:ascii="仿宋_GB2312" w:hAnsi="仿宋_GB2312" w:eastAsia="仿宋_GB2312" w:cs="仿宋_GB2312"/>
          <w:color w:val="000000"/>
          <w:kern w:val="0"/>
          <w:sz w:val="28"/>
          <w:szCs w:val="28"/>
          <w:highlight w:val="none"/>
          <w:lang w:eastAsia="zh-CN"/>
        </w:rPr>
        <w:t>环渤海、粤港澳大湾区、长三角</w:t>
      </w:r>
      <w:r>
        <w:rPr>
          <w:rFonts w:hint="eastAsia" w:ascii="仿宋_GB2312" w:hAnsi="仿宋_GB2312" w:eastAsia="仿宋_GB2312" w:cs="仿宋_GB2312"/>
          <w:color w:val="000000"/>
          <w:sz w:val="28"/>
          <w:szCs w:val="28"/>
          <w:lang w:eastAsia="zh-CN"/>
        </w:rPr>
        <w:t>等）岗位需求总量</w:t>
      </w:r>
      <w:r>
        <w:rPr>
          <w:rFonts w:hint="eastAsia" w:ascii="仿宋_GB2312" w:hAnsi="仿宋_GB2312" w:eastAsia="仿宋_GB2312" w:cs="仿宋_GB2312"/>
          <w:color w:val="000000"/>
          <w:sz w:val="28"/>
          <w:szCs w:val="28"/>
          <w:lang w:val="en-US" w:eastAsia="zh-CN"/>
        </w:rPr>
        <w:t>。</w:t>
      </w:r>
    </w:p>
    <w:p w14:paraId="6A130DA2">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val="en-US" w:eastAsia="zh-CN"/>
        </w:rPr>
        <w:t>e.</w:t>
      </w:r>
      <w:r>
        <w:rPr>
          <w:rFonts w:hint="eastAsia" w:ascii="仿宋_GB2312" w:hAnsi="仿宋_GB2312" w:eastAsia="仿宋_GB2312" w:cs="仿宋_GB2312"/>
          <w:color w:val="000000"/>
          <w:sz w:val="28"/>
          <w:szCs w:val="28"/>
          <w:lang w:eastAsia="zh-CN"/>
        </w:rPr>
        <w:t>本页面需支持按区域、城市等级维度筛选，筛选后需求总量、平均薪资、岗位需求量排名前10城市名单数据实时联动更新。</w:t>
      </w:r>
    </w:p>
    <w:p w14:paraId="54F9F92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lang w:eastAsia="zh-CN"/>
        </w:rPr>
        <w:t>②行业企业分析页面（</w:t>
      </w:r>
      <w:r>
        <w:rPr>
          <w:rFonts w:hint="eastAsia" w:ascii="仿宋_GB2312" w:hAnsi="仿宋_GB2312" w:eastAsia="仿宋_GB2312" w:cs="仿宋_GB2312"/>
          <w:color w:val="000000"/>
          <w:sz w:val="28"/>
          <w:szCs w:val="28"/>
          <w:lang w:val="en-US" w:eastAsia="zh-CN"/>
        </w:rPr>
        <w:t>谈判</w:t>
      </w:r>
      <w:r>
        <w:rPr>
          <w:rFonts w:hint="eastAsia" w:ascii="仿宋_GB2312" w:hAnsi="仿宋_GB2312" w:eastAsia="仿宋_GB2312" w:cs="仿宋_GB2312"/>
          <w:color w:val="000000"/>
          <w:sz w:val="28"/>
          <w:szCs w:val="28"/>
          <w:lang w:eastAsia="zh-CN"/>
        </w:rPr>
        <w:t>时，进行现场实操平台功能演示）</w:t>
      </w:r>
    </w:p>
    <w:p w14:paraId="5F6852A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a.要求展示多个行业分类的该岗位需求量及需求占比；</w:t>
      </w:r>
    </w:p>
    <w:p w14:paraId="22C2BA9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b.要求展示该岗位在50-150人、150-500人、500-1000人、1000-5000人、5000</w:t>
      </w:r>
      <w:r>
        <w:rPr>
          <w:rFonts w:hint="eastAsia" w:ascii="仿宋_GB2312" w:hAnsi="仿宋_GB2312" w:eastAsia="仿宋_GB2312" w:cs="仿宋_GB2312"/>
          <w:color w:val="000000"/>
          <w:sz w:val="28"/>
          <w:szCs w:val="28"/>
          <w:lang w:val="en-US" w:eastAsia="zh-CN"/>
        </w:rPr>
        <w:t>-10000</w:t>
      </w:r>
      <w:r>
        <w:rPr>
          <w:rFonts w:hint="eastAsia" w:ascii="仿宋_GB2312" w:hAnsi="仿宋_GB2312" w:eastAsia="仿宋_GB2312" w:cs="仿宋_GB2312"/>
          <w:color w:val="000000"/>
          <w:sz w:val="28"/>
          <w:szCs w:val="28"/>
          <w:lang w:eastAsia="zh-CN"/>
        </w:rPr>
        <w:t>人、</w:t>
      </w:r>
      <w:r>
        <w:rPr>
          <w:rFonts w:hint="eastAsia" w:ascii="仿宋_GB2312" w:hAnsi="仿宋_GB2312" w:eastAsia="仿宋_GB2312" w:cs="仿宋_GB2312"/>
          <w:color w:val="000000"/>
          <w:sz w:val="28"/>
          <w:szCs w:val="28"/>
          <w:lang w:val="en-US" w:eastAsia="zh-CN"/>
        </w:rPr>
        <w:t>10000</w:t>
      </w:r>
      <w:r>
        <w:rPr>
          <w:rFonts w:hint="eastAsia" w:ascii="仿宋_GB2312" w:hAnsi="仿宋_GB2312" w:eastAsia="仿宋_GB2312" w:cs="仿宋_GB2312"/>
          <w:color w:val="000000"/>
          <w:sz w:val="28"/>
          <w:szCs w:val="28"/>
          <w:lang w:eastAsia="zh-CN"/>
        </w:rPr>
        <w:t>人以上等不同规模企业的需求量人数与占比，并支持对不同规模进行条件筛选；</w:t>
      </w:r>
    </w:p>
    <w:p w14:paraId="5EC91FA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c.要求展示该岗位在国企、外资、民营、上市公司、政府/非盈利机构、事业单位等不同性质企业的需求量人数与占比，并支持对不同性质进行条件筛选；</w:t>
      </w:r>
    </w:p>
    <w:p w14:paraId="060DAAB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d.要求展示招聘该岗位的重点企业名单，并呈现企业基本信息，包括企业名称、所在行业、用人城市、企业规模、企业性质等，关联企业数据可随其他维度组合筛选实时展示对应企业；</w:t>
      </w:r>
    </w:p>
    <w:p w14:paraId="420B7E1D">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e.本页面需支持按区域、城市等级、行业、企业性质、企业规模、学历要求、经验要求、薪资要求等多维度筛选，筛选后行业分布、企业类型分布、重点企业数据实时联动更新。</w:t>
      </w:r>
    </w:p>
    <w:p w14:paraId="6414681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③招聘要求分析页面</w:t>
      </w:r>
    </w:p>
    <w:p w14:paraId="031A885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a.要求支持根据岗位能力词的需求量排名，展示该岗位的能力词云图；</w:t>
      </w:r>
    </w:p>
    <w:p w14:paraId="71CBC3B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val="en-US"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lang w:eastAsia="zh-CN"/>
        </w:rPr>
        <w:t>b.要求支持展示该岗位的50条技术技能关键词及其对应的需求占比、要求程度；50条综合素质关键词及其对应的需求占比、要求程度；50条工具要求关键词及其对应的需求占比、要求程度。（</w:t>
      </w:r>
      <w:r>
        <w:rPr>
          <w:rFonts w:hint="eastAsia" w:ascii="仿宋_GB2312" w:hAnsi="仿宋_GB2312" w:eastAsia="仿宋_GB2312" w:cs="仿宋_GB2312"/>
          <w:color w:val="000000"/>
          <w:sz w:val="28"/>
          <w:szCs w:val="28"/>
          <w:lang w:val="en-US" w:eastAsia="zh-CN"/>
        </w:rPr>
        <w:t>响应</w:t>
      </w:r>
      <w:r>
        <w:rPr>
          <w:rFonts w:hint="eastAsia" w:ascii="仿宋_GB2312" w:hAnsi="仿宋_GB2312" w:eastAsia="仿宋_GB2312" w:cs="仿宋_GB2312"/>
          <w:color w:val="000000"/>
          <w:sz w:val="28"/>
          <w:szCs w:val="28"/>
          <w:lang w:eastAsia="zh-CN"/>
        </w:rPr>
        <w:t>文件中提供相关截图证明，并加盖供应商公章。）</w:t>
      </w:r>
    </w:p>
    <w:p w14:paraId="56908F1D">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c.要求展示该岗位在</w:t>
      </w:r>
      <w:r>
        <w:rPr>
          <w:rFonts w:hint="eastAsia" w:ascii="仿宋_GB2312" w:hAnsi="仿宋_GB2312" w:eastAsia="仿宋_GB2312" w:cs="仿宋_GB2312"/>
          <w:color w:val="000000"/>
          <w:kern w:val="0"/>
          <w:sz w:val="28"/>
          <w:szCs w:val="28"/>
          <w:lang w:eastAsia="zh-CN"/>
        </w:rPr>
        <w:t>无经验要求</w:t>
      </w:r>
      <w:r>
        <w:rPr>
          <w:rFonts w:hint="eastAsia" w:ascii="仿宋_GB2312" w:hAnsi="仿宋_GB2312" w:eastAsia="仿宋_GB2312" w:cs="仿宋_GB2312"/>
          <w:color w:val="000000"/>
          <w:sz w:val="28"/>
          <w:szCs w:val="28"/>
          <w:lang w:eastAsia="zh-CN"/>
        </w:rPr>
        <w:t>、</w:t>
      </w:r>
      <w:r>
        <w:rPr>
          <w:rFonts w:ascii="仿宋_GB2312" w:hAnsi="仿宋_GB2312" w:eastAsia="仿宋_GB2312" w:cs="仿宋_GB2312"/>
          <w:color w:val="000000"/>
          <w:kern w:val="0"/>
          <w:sz w:val="28"/>
          <w:szCs w:val="28"/>
          <w:lang w:eastAsia="zh-CN"/>
        </w:rPr>
        <w:t>1-3</w:t>
      </w:r>
      <w:r>
        <w:rPr>
          <w:rFonts w:hint="eastAsia" w:ascii="仿宋_GB2312" w:hAnsi="仿宋_GB2312" w:eastAsia="仿宋_GB2312" w:cs="仿宋_GB2312"/>
          <w:color w:val="000000"/>
          <w:sz w:val="28"/>
          <w:szCs w:val="28"/>
          <w:lang w:eastAsia="zh-CN"/>
        </w:rPr>
        <w:t>年、</w:t>
      </w:r>
      <w:r>
        <w:rPr>
          <w:rFonts w:hint="eastAsia" w:ascii="仿宋_GB2312" w:hAnsi="仿宋_GB2312" w:eastAsia="仿宋_GB2312" w:cs="仿宋_GB2312"/>
          <w:color w:val="000000"/>
          <w:kern w:val="0"/>
          <w:sz w:val="28"/>
          <w:szCs w:val="28"/>
          <w:lang w:eastAsia="zh-CN"/>
        </w:rPr>
        <w:t>3-5年</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kern w:val="0"/>
          <w:sz w:val="28"/>
          <w:szCs w:val="28"/>
          <w:lang w:eastAsia="zh-CN"/>
        </w:rPr>
        <w:t>5-10年</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kern w:val="0"/>
          <w:sz w:val="28"/>
          <w:szCs w:val="28"/>
          <w:lang w:eastAsia="zh-CN"/>
        </w:rPr>
        <w:t>10年以上</w:t>
      </w:r>
      <w:r>
        <w:rPr>
          <w:rFonts w:hint="eastAsia" w:ascii="仿宋_GB2312" w:hAnsi="仿宋_GB2312" w:eastAsia="仿宋_GB2312" w:cs="仿宋_GB2312"/>
          <w:color w:val="000000"/>
          <w:sz w:val="28"/>
          <w:szCs w:val="28"/>
          <w:lang w:eastAsia="zh-CN"/>
        </w:rPr>
        <w:t>等不同经验要求区间的需求量占比，并支持对不同经验要求进行条件筛选；</w:t>
      </w:r>
    </w:p>
    <w:p w14:paraId="45D2FCB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d.要求展示该岗位</w:t>
      </w:r>
      <w:r>
        <w:rPr>
          <w:rFonts w:hint="eastAsia" w:ascii="仿宋_GB2312" w:hAnsi="仿宋_GB2312" w:eastAsia="仿宋_GB2312" w:cs="仿宋_GB2312"/>
          <w:color w:val="000000"/>
          <w:kern w:val="0"/>
          <w:sz w:val="28"/>
          <w:szCs w:val="28"/>
          <w:lang w:eastAsia="zh-CN"/>
        </w:rPr>
        <w:t>不限学历</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kern w:val="0"/>
          <w:sz w:val="28"/>
          <w:szCs w:val="28"/>
          <w:lang w:eastAsia="zh-CN"/>
        </w:rPr>
        <w:t>大专</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kern w:val="0"/>
          <w:sz w:val="28"/>
          <w:szCs w:val="28"/>
          <w:lang w:eastAsia="zh-CN"/>
        </w:rPr>
        <w:t>本科</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kern w:val="0"/>
          <w:sz w:val="28"/>
          <w:szCs w:val="28"/>
          <w:lang w:eastAsia="zh-CN"/>
        </w:rPr>
        <w:t>高中/中技/中专</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kern w:val="0"/>
          <w:sz w:val="28"/>
          <w:szCs w:val="28"/>
          <w:lang w:eastAsia="zh-CN"/>
        </w:rPr>
        <w:t>硕士及以上</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kern w:val="0"/>
          <w:sz w:val="28"/>
          <w:szCs w:val="28"/>
          <w:lang w:eastAsia="zh-CN"/>
        </w:rPr>
        <w:t>初中及以下</w:t>
      </w:r>
      <w:r>
        <w:rPr>
          <w:rFonts w:hint="eastAsia" w:ascii="仿宋_GB2312" w:hAnsi="仿宋_GB2312" w:eastAsia="仿宋_GB2312" w:cs="仿宋_GB2312"/>
          <w:color w:val="000000"/>
          <w:sz w:val="28"/>
          <w:szCs w:val="28"/>
          <w:lang w:eastAsia="zh-CN"/>
        </w:rPr>
        <w:t>等不同学历要求区间上的需求量占比，并支持对不同学历要求进行条件筛选；</w:t>
      </w:r>
    </w:p>
    <w:p w14:paraId="0EB516CC">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e.本页面需模块支持按区域、城市等级、行业、企业性质、企业规模、学历要求、经验要求、薪资要求等多维度筛选，筛选后能力词云图、经验要求、学历要求数据实时联动更新。</w:t>
      </w:r>
    </w:p>
    <w:p w14:paraId="4348C60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④职业发展分析页面</w:t>
      </w:r>
    </w:p>
    <w:p w14:paraId="0E35AF5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a.要求展示该岗位在不同层级水平的需求量、薪资、经验要求、学历要求；</w:t>
      </w:r>
    </w:p>
    <w:p w14:paraId="32B0A87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b.要求支持呈现该岗位各经验年限对应的平均薪资走势，支持点击查看显示不同经验年限的平均薪资情况；</w:t>
      </w:r>
    </w:p>
    <w:p w14:paraId="136BFDD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c.能够展示该岗位不同薪资水平下的岗位需求量，可将薪资作为筛选条件；</w:t>
      </w:r>
    </w:p>
    <w:p w14:paraId="55C2D40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lang w:eastAsia="zh-CN"/>
        </w:rPr>
        <w:t>d.本页面需支持按区域、城市等级、行业、企业性质、企业规模、学历要求、经验要求、薪资要求等多维度筛选，筛选后职业发展、经验年限对薪资的影响、薪资水平分布数据实时联动更新。（</w:t>
      </w:r>
      <w:r>
        <w:rPr>
          <w:rFonts w:hint="eastAsia" w:ascii="仿宋_GB2312" w:hAnsi="仿宋_GB2312" w:eastAsia="仿宋_GB2312" w:cs="仿宋_GB2312"/>
          <w:color w:val="000000"/>
          <w:sz w:val="28"/>
          <w:szCs w:val="28"/>
          <w:lang w:val="en-US" w:eastAsia="zh-CN"/>
        </w:rPr>
        <w:t>响应</w:t>
      </w:r>
      <w:r>
        <w:rPr>
          <w:rFonts w:hint="eastAsia" w:ascii="仿宋_GB2312" w:hAnsi="仿宋_GB2312" w:eastAsia="仿宋_GB2312" w:cs="仿宋_GB2312"/>
          <w:color w:val="000000"/>
          <w:sz w:val="28"/>
          <w:szCs w:val="28"/>
          <w:lang w:eastAsia="zh-CN"/>
        </w:rPr>
        <w:t>文件中提供相关截图证明，并加盖供应商公章。）</w:t>
      </w:r>
    </w:p>
    <w:p w14:paraId="214016E6">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（3）企业数据</w:t>
      </w:r>
    </w:p>
    <w:p w14:paraId="34D76E52">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产业数据库的企业数据模块，需要为用户提供全面、清晰的企业信息查询服务。要求汇聚并整合公开的企业多维数据，涵盖企业基本信息、登记状态、详细地址等数据，以结构化的方式清晰呈现。支持用户可通过该模块高效获取企业画像，辅助进行背景调查、合作评估及产业分析，为产教融合决策提供可靠的数据参考</w:t>
      </w:r>
      <w:r>
        <w:rPr>
          <w:rFonts w:hint="eastAsia" w:ascii="仿宋_GB2312" w:hAnsi="仿宋_GB2312" w:eastAsia="仿宋_GB2312" w:cs="仿宋_GB2312"/>
          <w:color w:val="000000"/>
          <w:sz w:val="28"/>
          <w:szCs w:val="28"/>
          <w:highlight w:val="none"/>
          <w:lang w:val="en-US" w:eastAsia="zh-CN"/>
        </w:rPr>
        <w:t>。</w:t>
      </w:r>
    </w:p>
    <w:p w14:paraId="6523CA62">
      <w:pPr>
        <w:pStyle w:val="84"/>
        <w:shd w:val="clear" w:color="auto" w:fill="FFFFFF"/>
        <w:spacing w:line="312" w:lineRule="auto"/>
        <w:ind w:left="0" w:firstLine="560" w:firstLineChars="200"/>
        <w:jc w:val="both"/>
        <w:outlineLvl w:val="3"/>
        <w:rPr>
          <w:color w:val="000000"/>
          <w:highlight w:val="none"/>
          <w:lang w:val="en-US" w:eastAsia="zh-CN"/>
        </w:rPr>
      </w:pPr>
      <w:r>
        <w:rPr>
          <w:rFonts w:hint="eastAsia" w:ascii="仿宋_GB2312" w:hAnsi="仿宋_GB2312" w:eastAsia="仿宋_GB2312" w:cs="仿宋_GB2312"/>
          <w:b/>
          <w:bCs/>
          <w:color w:val="000000"/>
          <w:sz w:val="28"/>
          <w:szCs w:val="28"/>
          <w:highlight w:val="none"/>
          <w:lang w:val="en-US" w:eastAsia="zh-CN"/>
        </w:rPr>
        <w:t>1.3</w:t>
      </w:r>
      <w:r>
        <w:rPr>
          <w:rFonts w:ascii="仿宋_GB2312" w:hAnsi="仿宋_GB2312" w:eastAsia="仿宋_GB2312" w:cs="仿宋_GB2312"/>
          <w:b/>
          <w:bCs/>
          <w:color w:val="000000"/>
          <w:sz w:val="28"/>
          <w:szCs w:val="28"/>
          <w:highlight w:val="none"/>
          <w:lang w:val="en-US" w:eastAsia="zh-CN"/>
        </w:rPr>
        <w:t>职业学校办学情况统计系统</w:t>
      </w:r>
      <w:r>
        <w:rPr>
          <w:rFonts w:hint="eastAsia" w:ascii="仿宋_GB2312" w:hAnsi="仿宋_GB2312" w:eastAsia="仿宋_GB2312" w:cs="仿宋_GB2312"/>
          <w:b/>
          <w:bCs/>
          <w:color w:val="000000"/>
          <w:sz w:val="28"/>
          <w:szCs w:val="28"/>
          <w:highlight w:val="none"/>
          <w:lang w:val="en-US" w:eastAsia="zh-CN"/>
        </w:rPr>
        <w:t>项目信息采集模块</w:t>
      </w:r>
      <w:bookmarkEnd w:id="5"/>
      <w:bookmarkEnd w:id="6"/>
    </w:p>
    <w:p w14:paraId="3EEFCCFF">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本模块需要保证各类职业学校办学情况统计系统项目信息规范化采集。基于灵活的流程配置与电子表单，申报人员可便捷提交“行业产教融合共同体”“市域产教联合体”“产业学院”等不同职业学校办学情况统计系统项目的配套信息及佐证材料，例如《职业能力分析表》《行业人才供需清单》《技术供需清单》等核心业务材料。并经由预设的审批流程完成在线审核与数据归档，需确保项目信息从采集、审核到入库的全过程高效、透明、可追溯，为职业学校办学情况统计系统项目的精细化管理奠定坚实基础</w:t>
      </w:r>
      <w:r>
        <w:rPr>
          <w:rFonts w:hint="eastAsia" w:ascii="仿宋_GB2312" w:hAnsi="仿宋_GB2312" w:eastAsia="仿宋_GB2312" w:cs="仿宋_GB2312"/>
          <w:color w:val="000000"/>
          <w:sz w:val="28"/>
          <w:szCs w:val="28"/>
          <w:highlight w:val="none"/>
          <w:lang w:val="en-US" w:eastAsia="zh-CN"/>
        </w:rPr>
        <w:t>。</w:t>
      </w:r>
      <w:bookmarkStart w:id="7" w:name="_Toc3917"/>
      <w:bookmarkStart w:id="8" w:name="_Toc29093"/>
    </w:p>
    <w:p w14:paraId="5AB6C324">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1.3.1工作台</w:t>
      </w:r>
      <w:bookmarkEnd w:id="7"/>
      <w:bookmarkEnd w:id="8"/>
    </w:p>
    <w:p w14:paraId="64606B51">
      <w:pPr>
        <w:pStyle w:val="84"/>
        <w:shd w:val="clear" w:color="auto" w:fill="FFFFFF"/>
        <w:spacing w:line="312" w:lineRule="auto"/>
        <w:ind w:left="0" w:firstLine="560" w:firstLineChars="200"/>
        <w:jc w:val="both"/>
        <w:outlineLvl w:val="9"/>
        <w:rPr>
          <w:rFonts w:hint="eastAsia"/>
          <w:color w:val="000000"/>
          <w:highlight w:val="none"/>
          <w:lang w:val="en-US" w:eastAsia="zh-CN"/>
        </w:rPr>
      </w:pPr>
      <w:r>
        <w:rPr>
          <w:rFonts w:hint="eastAsia" w:ascii="仿宋_GB2312" w:hAnsi="仿宋_GB2312" w:eastAsia="仿宋_GB2312" w:cs="仿宋_GB2312"/>
          <w:color w:val="000000"/>
          <w:sz w:val="28"/>
          <w:szCs w:val="28"/>
          <w:lang w:eastAsia="zh-CN"/>
        </w:rPr>
        <w:t>个人工作台为</w:t>
      </w:r>
      <w:r>
        <w:rPr>
          <w:rFonts w:ascii="仿宋_GB2312" w:hAnsi="仿宋_GB2312" w:eastAsia="仿宋_GB2312" w:cs="仿宋_GB2312"/>
          <w:color w:val="000000"/>
          <w:sz w:val="28"/>
          <w:szCs w:val="28"/>
          <w:lang w:eastAsia="zh-CN"/>
        </w:rPr>
        <w:t>职业学校办学情况统计系统</w:t>
      </w:r>
      <w:r>
        <w:rPr>
          <w:rFonts w:hint="eastAsia" w:ascii="仿宋_GB2312" w:hAnsi="仿宋_GB2312" w:eastAsia="仿宋_GB2312" w:cs="仿宋_GB2312"/>
          <w:color w:val="000000"/>
          <w:sz w:val="28"/>
          <w:szCs w:val="28"/>
          <w:lang w:eastAsia="zh-CN"/>
        </w:rPr>
        <w:t>项目的日常管理提供了集成化操作界面，需要支持项目信息采集、审批及全流程跟踪。在该工作台中，可便捷查看任务要点、标志性成果、绩效指标与资金使用情况，并完成材料上传、进度更新、审批状态监控等操作。系统需要实现跨任务、跨层级的统一处理与实时反馈，有助于提升任务执行效率与团队协同效果。此外，作为项目数据及材料的审批入口，该模块也需要支持在线预览上报内容并完成审批处理，为产教融合相关工作的开展提供了结构清晰、操作集中的数字化支持</w:t>
      </w:r>
      <w:r>
        <w:rPr>
          <w:rFonts w:hint="eastAsia" w:ascii="仿宋_GB2312" w:hAnsi="仿宋_GB2312" w:eastAsia="仿宋_GB2312" w:cs="仿宋_GB2312"/>
          <w:color w:val="000000"/>
          <w:sz w:val="28"/>
          <w:szCs w:val="28"/>
          <w:highlight w:val="none"/>
          <w:lang w:val="en-US" w:eastAsia="zh-CN"/>
        </w:rPr>
        <w:t>。</w:t>
      </w:r>
    </w:p>
    <w:p w14:paraId="7EEABA93">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bookmarkStart w:id="9" w:name="_Toc18009"/>
      <w:bookmarkStart w:id="10" w:name="_Toc32106"/>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w:t>
      </w:r>
      <w:r>
        <w:rPr>
          <w:rFonts w:hint="eastAsia" w:ascii="仿宋_GB2312" w:hAnsi="仿宋_GB2312" w:eastAsia="仿宋_GB2312" w:cs="仿宋_GB2312"/>
          <w:b/>
          <w:bCs/>
          <w:color w:val="000000"/>
          <w:sz w:val="28"/>
          <w:szCs w:val="28"/>
          <w:highlight w:val="none"/>
          <w:lang w:val="en-US" w:eastAsia="zh-CN"/>
        </w:rPr>
        <w:t>3</w:t>
      </w:r>
      <w:r>
        <w:rPr>
          <w:rFonts w:ascii="仿宋_GB2312" w:hAnsi="仿宋_GB2312" w:eastAsia="仿宋_GB2312" w:cs="仿宋_GB2312"/>
          <w:b/>
          <w:bCs/>
          <w:color w:val="000000"/>
          <w:sz w:val="28"/>
          <w:szCs w:val="28"/>
          <w:highlight w:val="none"/>
          <w:lang w:val="en-US" w:eastAsia="zh-CN"/>
        </w:rPr>
        <w:t>.</w:t>
      </w:r>
      <w:r>
        <w:rPr>
          <w:rFonts w:hint="eastAsia" w:ascii="仿宋_GB2312" w:hAnsi="仿宋_GB2312" w:eastAsia="仿宋_GB2312" w:cs="仿宋_GB2312"/>
          <w:b/>
          <w:bCs/>
          <w:color w:val="000000"/>
          <w:sz w:val="28"/>
          <w:szCs w:val="28"/>
          <w:highlight w:val="none"/>
          <w:lang w:val="en-US" w:eastAsia="zh-CN"/>
        </w:rPr>
        <w:t>2</w:t>
      </w:r>
      <w:r>
        <w:rPr>
          <w:rFonts w:ascii="仿宋_GB2312" w:hAnsi="仿宋_GB2312" w:eastAsia="仿宋_GB2312" w:cs="仿宋_GB2312"/>
          <w:b/>
          <w:bCs/>
          <w:color w:val="000000"/>
          <w:sz w:val="28"/>
          <w:szCs w:val="28"/>
          <w:highlight w:val="none"/>
          <w:lang w:val="en-US" w:eastAsia="zh-CN"/>
        </w:rPr>
        <w:t>发起流程</w:t>
      </w:r>
      <w:bookmarkEnd w:id="9"/>
      <w:bookmarkEnd w:id="10"/>
    </w:p>
    <w:p w14:paraId="4A9A0B7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用户</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通过此功能便捷地启动已配置好的各类职业学校办学情况统计系统项目审批流程。</w:t>
      </w:r>
      <w:r>
        <w:rPr>
          <w:rFonts w:hint="eastAsia" w:ascii="仿宋_GB2312" w:hAnsi="仿宋_GB2312" w:eastAsia="仿宋_GB2312" w:cs="仿宋_GB2312"/>
          <w:color w:val="000000"/>
          <w:sz w:val="28"/>
          <w:szCs w:val="28"/>
          <w:lang w:eastAsia="zh-CN"/>
        </w:rPr>
        <w:t>例如，</w:t>
      </w:r>
      <w:r>
        <w:rPr>
          <w:rFonts w:ascii="仿宋_GB2312" w:hAnsi="仿宋_GB2312" w:eastAsia="仿宋_GB2312" w:cs="仿宋_GB2312"/>
          <w:color w:val="000000"/>
          <w:sz w:val="28"/>
          <w:szCs w:val="28"/>
          <w:lang w:eastAsia="zh-CN"/>
        </w:rPr>
        <w:t>当需要申报新的</w:t>
      </w:r>
      <w:r>
        <w:rPr>
          <w:rFonts w:hint="eastAsia" w:ascii="仿宋_GB2312" w:hAnsi="仿宋_GB2312" w:eastAsia="仿宋_GB2312" w:cs="仿宋_GB2312"/>
          <w:color w:val="000000"/>
          <w:sz w:val="28"/>
          <w:szCs w:val="28"/>
          <w:lang w:eastAsia="zh-CN"/>
        </w:rPr>
        <w:t>“行业产教融合共同体”</w:t>
      </w:r>
      <w:r>
        <w:rPr>
          <w:rFonts w:ascii="仿宋_GB2312" w:hAnsi="仿宋_GB2312" w:eastAsia="仿宋_GB2312" w:cs="仿宋_GB2312"/>
          <w:color w:val="000000"/>
          <w:sz w:val="28"/>
          <w:szCs w:val="28"/>
          <w:lang w:eastAsia="zh-CN"/>
        </w:rPr>
        <w:t>“市域产教联合体”或提交“</w:t>
      </w:r>
      <w:r>
        <w:rPr>
          <w:rFonts w:hint="eastAsia" w:ascii="仿宋_GB2312" w:hAnsi="仿宋_GB2312" w:eastAsia="仿宋_GB2312" w:cs="仿宋_GB2312"/>
          <w:color w:val="000000"/>
          <w:sz w:val="28"/>
          <w:szCs w:val="28"/>
          <w:lang w:eastAsia="zh-CN"/>
        </w:rPr>
        <w:t>共同体</w:t>
      </w:r>
      <w:r>
        <w:rPr>
          <w:rFonts w:ascii="仿宋_GB2312" w:hAnsi="仿宋_GB2312" w:eastAsia="仿宋_GB2312" w:cs="仿宋_GB2312"/>
          <w:color w:val="000000"/>
          <w:sz w:val="28"/>
          <w:szCs w:val="28"/>
          <w:lang w:eastAsia="zh-CN"/>
        </w:rPr>
        <w:t>阶段性建设报告”时，用户只需选择对应流程，并根据预置的电子表单在线填写项目基本信息、合作方案、资源投入、预期成效等业务内容。</w:t>
      </w:r>
    </w:p>
    <w:p w14:paraId="4B1DC051">
      <w:pPr>
        <w:pStyle w:val="84"/>
        <w:shd w:val="clear" w:color="auto" w:fill="FFFFFF"/>
        <w:spacing w:line="312" w:lineRule="auto"/>
        <w:ind w:left="0" w:firstLine="560" w:firstLineChars="200"/>
        <w:jc w:val="both"/>
        <w:outlineLvl w:val="9"/>
        <w:rPr>
          <w:color w:val="000000"/>
          <w:highlight w:val="none"/>
        </w:rPr>
      </w:pPr>
      <w:r>
        <w:rPr>
          <w:rFonts w:ascii="仿宋_GB2312" w:hAnsi="仿宋_GB2312" w:eastAsia="仿宋_GB2312" w:cs="仿宋_GB2312"/>
          <w:color w:val="000000"/>
          <w:sz w:val="28"/>
          <w:szCs w:val="28"/>
          <w:lang w:eastAsia="zh-CN"/>
        </w:rPr>
        <w:t>表单填写完毕并提交后，系统</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严格按照预设的流程逻辑，自动将任务推送至下一环节的指定审批人（如二级学院审核、职能部门会签、校领导审批），实现项目从发起到流转的智能化驱动，确保每一项合作意向都能进入规范、透明的审批通道，有效提升项目立项与管理的效率</w:t>
      </w:r>
      <w:r>
        <w:rPr>
          <w:rFonts w:ascii="仿宋_GB2312" w:hAnsi="仿宋_GB2312" w:eastAsia="仿宋_GB2312" w:cs="仿宋_GB2312"/>
          <w:color w:val="000000"/>
          <w:sz w:val="28"/>
          <w:szCs w:val="28"/>
          <w:highlight w:val="none"/>
          <w:lang w:val="en-US" w:eastAsia="zh-CN"/>
        </w:rPr>
        <w:t>。</w:t>
      </w:r>
    </w:p>
    <w:p w14:paraId="56651015">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bookmarkStart w:id="11" w:name="_Toc25747"/>
      <w:bookmarkStart w:id="12" w:name="_Toc7926"/>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w:t>
      </w:r>
      <w:r>
        <w:rPr>
          <w:rFonts w:hint="eastAsia" w:ascii="仿宋_GB2312" w:hAnsi="仿宋_GB2312" w:eastAsia="仿宋_GB2312" w:cs="仿宋_GB2312"/>
          <w:b/>
          <w:bCs/>
          <w:color w:val="000000"/>
          <w:sz w:val="28"/>
          <w:szCs w:val="28"/>
          <w:highlight w:val="none"/>
          <w:lang w:val="en-US" w:eastAsia="zh-CN"/>
        </w:rPr>
        <w:t>3</w:t>
      </w:r>
      <w:r>
        <w:rPr>
          <w:rFonts w:ascii="仿宋_GB2312" w:hAnsi="仿宋_GB2312" w:eastAsia="仿宋_GB2312" w:cs="仿宋_GB2312"/>
          <w:b/>
          <w:bCs/>
          <w:color w:val="000000"/>
          <w:sz w:val="28"/>
          <w:szCs w:val="28"/>
          <w:highlight w:val="none"/>
          <w:lang w:val="en-US" w:eastAsia="zh-CN"/>
        </w:rPr>
        <w:t>.</w:t>
      </w:r>
      <w:r>
        <w:rPr>
          <w:rFonts w:hint="eastAsia" w:ascii="仿宋_GB2312" w:hAnsi="仿宋_GB2312" w:eastAsia="仿宋_GB2312" w:cs="仿宋_GB2312"/>
          <w:b/>
          <w:bCs/>
          <w:color w:val="000000"/>
          <w:sz w:val="28"/>
          <w:szCs w:val="28"/>
          <w:highlight w:val="none"/>
          <w:lang w:val="en-US" w:eastAsia="zh-CN"/>
        </w:rPr>
        <w:t>3上报</w:t>
      </w:r>
      <w:r>
        <w:rPr>
          <w:rFonts w:ascii="仿宋_GB2312" w:hAnsi="仿宋_GB2312" w:eastAsia="仿宋_GB2312" w:cs="仿宋_GB2312"/>
          <w:b/>
          <w:bCs/>
          <w:color w:val="000000"/>
          <w:sz w:val="28"/>
          <w:szCs w:val="28"/>
          <w:highlight w:val="none"/>
          <w:lang w:val="en-US" w:eastAsia="zh-CN"/>
        </w:rPr>
        <w:t>任务管理</w:t>
      </w:r>
      <w:bookmarkEnd w:id="11"/>
      <w:bookmarkEnd w:id="12"/>
    </w:p>
    <w:p w14:paraId="5ABBC79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w:t>
      </w:r>
      <w:r>
        <w:rPr>
          <w:rFonts w:ascii="仿宋_GB2312" w:hAnsi="仿宋_GB2312" w:eastAsia="仿宋_GB2312" w:cs="仿宋_GB2312"/>
          <w:color w:val="000000"/>
          <w:sz w:val="28"/>
          <w:szCs w:val="28"/>
          <w:lang w:eastAsia="zh-CN"/>
        </w:rPr>
        <w:t>任务管理界面</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为项目管理员提供所有职业学校办学情况统计系统项目审批进度的</w:t>
      </w:r>
      <w:r>
        <w:rPr>
          <w:rFonts w:hint="eastAsia" w:ascii="仿宋_GB2312" w:hAnsi="仿宋_GB2312" w:eastAsia="仿宋_GB2312" w:cs="仿宋_GB2312"/>
          <w:color w:val="000000"/>
          <w:sz w:val="28"/>
          <w:szCs w:val="28"/>
          <w:lang w:eastAsia="zh-CN"/>
        </w:rPr>
        <w:t>整体</w:t>
      </w:r>
      <w:r>
        <w:rPr>
          <w:rFonts w:ascii="仿宋_GB2312" w:hAnsi="仿宋_GB2312" w:eastAsia="仿宋_GB2312" w:cs="仿宋_GB2312"/>
          <w:color w:val="000000"/>
          <w:sz w:val="28"/>
          <w:szCs w:val="28"/>
          <w:lang w:eastAsia="zh-CN"/>
        </w:rPr>
        <w:t>视图。界面以列表形式清晰展示全部流程实例，关键信息如流程名称、当前所处节点、发起人、创建时间、状态等</w:t>
      </w:r>
      <w:r>
        <w:rPr>
          <w:rFonts w:hint="eastAsia" w:ascii="仿宋_GB2312" w:hAnsi="仿宋_GB2312" w:eastAsia="仿宋_GB2312" w:cs="仿宋_GB2312"/>
          <w:color w:val="000000"/>
          <w:sz w:val="28"/>
          <w:szCs w:val="28"/>
          <w:lang w:eastAsia="zh-CN"/>
        </w:rPr>
        <w:t>。</w:t>
      </w:r>
    </w:p>
    <w:p w14:paraId="7CE098C8">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②需要</w:t>
      </w:r>
      <w:r>
        <w:rPr>
          <w:rFonts w:ascii="仿宋_GB2312" w:hAnsi="仿宋_GB2312" w:eastAsia="仿宋_GB2312" w:cs="仿宋_GB2312"/>
          <w:color w:val="000000"/>
          <w:sz w:val="28"/>
          <w:szCs w:val="28"/>
          <w:lang w:eastAsia="zh-CN"/>
        </w:rPr>
        <w:t>支持通过流程名称和审核状态进行快速查询与筛选，便于管理者快速定位特定项目或筛选出所有“审核中”的紧急事项。</w:t>
      </w:r>
    </w:p>
    <w:p w14:paraId="78A0274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③</w:t>
      </w:r>
      <w:r>
        <w:rPr>
          <w:rFonts w:ascii="仿宋_GB2312" w:hAnsi="仿宋_GB2312" w:eastAsia="仿宋_GB2312" w:cs="仿宋_GB2312"/>
          <w:color w:val="000000"/>
          <w:sz w:val="28"/>
          <w:szCs w:val="28"/>
          <w:lang w:eastAsia="zh-CN"/>
        </w:rPr>
        <w:t>在详情界面，任务管理功能</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提供单个流程实例的实时、透明化追踪</w:t>
      </w:r>
      <w:r>
        <w:rPr>
          <w:rFonts w:hint="eastAsia" w:ascii="仿宋_GB2312" w:hAnsi="仿宋_GB2312" w:eastAsia="仿宋_GB2312" w:cs="仿宋_GB2312"/>
          <w:color w:val="000000"/>
          <w:sz w:val="28"/>
          <w:szCs w:val="28"/>
          <w:lang w:eastAsia="zh-CN"/>
        </w:rPr>
        <w:t>功能，支持</w:t>
      </w:r>
      <w:r>
        <w:rPr>
          <w:rFonts w:ascii="仿宋_GB2312" w:hAnsi="仿宋_GB2312" w:eastAsia="仿宋_GB2312" w:cs="仿宋_GB2312"/>
          <w:color w:val="000000"/>
          <w:sz w:val="28"/>
          <w:szCs w:val="28"/>
          <w:lang w:eastAsia="zh-CN"/>
        </w:rPr>
        <w:t>管理者查看选定流程的完整生命周期状态，包括发起时间、当前所处节点、各节点审批处理方式以及当前状态（如审核中、已通过、已驳回）等关键信息。</w:t>
      </w:r>
    </w:p>
    <w:p w14:paraId="58055D92">
      <w:pPr>
        <w:pStyle w:val="84"/>
        <w:shd w:val="clear" w:color="auto" w:fill="FFFFFF"/>
        <w:spacing w:line="312" w:lineRule="auto"/>
        <w:ind w:left="0" w:firstLine="560" w:firstLineChars="200"/>
        <w:jc w:val="both"/>
        <w:outlineLvl w:val="9"/>
        <w:rPr>
          <w:color w:val="000000"/>
          <w:highlight w:val="none"/>
        </w:rPr>
      </w:pPr>
      <w:r>
        <w:rPr>
          <w:rFonts w:hint="eastAsia" w:ascii="仿宋_GB2312" w:hAnsi="仿宋_GB2312" w:eastAsia="仿宋_GB2312" w:cs="仿宋_GB2312"/>
          <w:color w:val="000000"/>
          <w:sz w:val="28"/>
          <w:szCs w:val="28"/>
          <w:lang w:eastAsia="zh-CN"/>
        </w:rPr>
        <w:t>④</w:t>
      </w:r>
      <w:r>
        <w:rPr>
          <w:rFonts w:ascii="仿宋_GB2312" w:hAnsi="仿宋_GB2312" w:eastAsia="仿宋_GB2312" w:cs="仿宋_GB2312"/>
          <w:color w:val="000000"/>
          <w:sz w:val="28"/>
          <w:szCs w:val="28"/>
          <w:lang w:eastAsia="zh-CN"/>
        </w:rPr>
        <w:t>系统</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支持随时回溯流程流转过程中产生的具体表单内容及每一步的审批意见，确保项目审批全过程的严格记录与信息可追溯</w:t>
      </w:r>
      <w:r>
        <w:rPr>
          <w:rFonts w:ascii="仿宋_GB2312" w:hAnsi="仿宋_GB2312" w:eastAsia="仿宋_GB2312" w:cs="仿宋_GB2312"/>
          <w:color w:val="000000"/>
          <w:sz w:val="28"/>
          <w:szCs w:val="28"/>
          <w:highlight w:val="none"/>
          <w:lang w:val="en-US" w:eastAsia="zh-CN"/>
        </w:rPr>
        <w:t>。</w:t>
      </w:r>
    </w:p>
    <w:p w14:paraId="4597E785">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13" w:name="_Toc1478"/>
      <w:bookmarkStart w:id="14" w:name="_Toc10212"/>
      <w:r>
        <w:rPr>
          <w:rFonts w:hint="eastAsia" w:ascii="仿宋_GB2312" w:hAnsi="仿宋_GB2312" w:eastAsia="仿宋_GB2312" w:cs="仿宋_GB2312"/>
          <w:b/>
          <w:bCs/>
          <w:color w:val="000000"/>
          <w:sz w:val="28"/>
          <w:szCs w:val="28"/>
          <w:highlight w:val="none"/>
          <w:lang w:val="en-US" w:eastAsia="zh-CN"/>
        </w:rPr>
        <w:t>1.3.4流程管理</w:t>
      </w:r>
      <w:bookmarkEnd w:id="13"/>
      <w:bookmarkEnd w:id="14"/>
    </w:p>
    <w:p w14:paraId="185925D7">
      <w:pPr>
        <w:pStyle w:val="84"/>
        <w:shd w:val="clear" w:color="auto" w:fill="FFFFFF"/>
        <w:spacing w:line="312" w:lineRule="auto"/>
        <w:ind w:left="0" w:firstLine="520" w:firstLineChars="200"/>
        <w:jc w:val="both"/>
        <w:outlineLvl w:val="9"/>
        <w:rPr>
          <w:color w:val="000000"/>
          <w:lang w:eastAsia="zh-CN"/>
        </w:rPr>
      </w:pPr>
      <w:r>
        <w:rPr>
          <w:color w:val="000000"/>
          <w:lang w:eastAsia="zh-CN"/>
        </w:rPr>
        <w:t>流</w:t>
      </w:r>
      <w:r>
        <w:rPr>
          <w:rFonts w:ascii="仿宋_GB2312" w:hAnsi="仿宋_GB2312" w:eastAsia="仿宋_GB2312" w:cs="仿宋_GB2312"/>
          <w:color w:val="000000"/>
          <w:sz w:val="28"/>
          <w:szCs w:val="28"/>
          <w:lang w:eastAsia="zh-CN"/>
        </w:rPr>
        <w:t>程管理</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为用户提供对所有业务流程进行集中化、可视化管理的能力，使管理员能够高效地浏览、组织、维护和控制学校内多样化的业务流程，如“</w:t>
      </w:r>
      <w:r>
        <w:rPr>
          <w:rFonts w:hint="eastAsia" w:ascii="仿宋_GB2312" w:hAnsi="仿宋_GB2312" w:eastAsia="仿宋_GB2312" w:cs="仿宋_GB2312"/>
          <w:color w:val="000000"/>
          <w:sz w:val="28"/>
          <w:szCs w:val="28"/>
          <w:lang w:eastAsia="zh-CN"/>
        </w:rPr>
        <w:t>共同体数据采集</w:t>
      </w:r>
      <w:r>
        <w:rPr>
          <w:rFonts w:ascii="仿宋_GB2312" w:hAnsi="仿宋_GB2312" w:eastAsia="仿宋_GB2312" w:cs="仿宋_GB2312"/>
          <w:color w:val="000000"/>
          <w:sz w:val="28"/>
          <w:szCs w:val="28"/>
          <w:lang w:eastAsia="zh-CN"/>
        </w:rPr>
        <w:t>”“产业学院合作申报”等，确保各类项目的信息采集流程既能符合通用规范，又能适应特定业务场景的灵活需求。</w:t>
      </w:r>
    </w:p>
    <w:p w14:paraId="4A9357A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（1）流程核心信息总览</w:t>
      </w:r>
    </w:p>
    <w:p w14:paraId="18CFD2B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①统一列表视图：</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以清晰的表格形式，集中展示平台中所有已创建的产教融合业务流程，管理员可一目了然地掌握全校范围内的项目流程全貌。</w:t>
      </w:r>
    </w:p>
    <w:p w14:paraId="1D39341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②关键信息字段：列表</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包含完整的流程元数据，如序号、流程名称、创建人、创建时间、更新人、最后更新时间，方便管理员快速了解每个流程的基本情况、责任归属和迭代历史，便于审计与管理</w:t>
      </w:r>
      <w:r>
        <w:rPr>
          <w:rFonts w:ascii="仿宋_GB2312" w:hAnsi="仿宋_GB2312" w:eastAsia="仿宋_GB2312" w:cs="仿宋_GB2312"/>
          <w:color w:val="000000"/>
          <w:sz w:val="28"/>
          <w:szCs w:val="28"/>
          <w:highlight w:val="none"/>
          <w:lang w:val="en-US" w:eastAsia="zh-CN"/>
        </w:rPr>
        <w:t>。</w:t>
      </w:r>
    </w:p>
    <w:p w14:paraId="2B559ED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highlight w:val="none"/>
          <w:lang w:val="en-US" w:eastAsia="zh-CN"/>
        </w:rPr>
        <w:t>（2）全生命周期操作</w:t>
      </w:r>
    </w:p>
    <w:p w14:paraId="0DE6675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针对每个流程，</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提供一套完整的操作功能，覆盖从设计、测试到权限管理与归档的整个生命周期，满足职业学校办学情况统计系统项目流程持续优化的需求。</w:t>
      </w:r>
    </w:p>
    <w:p w14:paraId="6E705C1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①发布：</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将已设计并测试好的流程正式启用，使其可供相关用户发起和使用，例如正式上线“</w:t>
      </w:r>
      <w:r>
        <w:rPr>
          <w:rFonts w:hint="eastAsia" w:ascii="仿宋_GB2312" w:hAnsi="仿宋_GB2312" w:eastAsia="仿宋_GB2312" w:cs="仿宋_GB2312"/>
          <w:color w:val="000000"/>
          <w:sz w:val="28"/>
          <w:szCs w:val="28"/>
          <w:lang w:eastAsia="zh-CN"/>
        </w:rPr>
        <w:t>共同体</w:t>
      </w:r>
      <w:r>
        <w:rPr>
          <w:rFonts w:ascii="仿宋_GB2312" w:hAnsi="仿宋_GB2312" w:eastAsia="仿宋_GB2312" w:cs="仿宋_GB2312"/>
          <w:color w:val="000000"/>
          <w:sz w:val="28"/>
          <w:szCs w:val="28"/>
          <w:lang w:eastAsia="zh-CN"/>
        </w:rPr>
        <w:t>年度考核材料提交”流程。</w:t>
      </w:r>
    </w:p>
    <w:p w14:paraId="3250CB5D">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②设计：进入直观的流程设计器，</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以拖拽式图形化界面对流程的节点、流转条件、审批人等核心逻辑进行设计与配置，快速响应新的管理要求。</w:t>
      </w:r>
    </w:p>
    <w:p w14:paraId="393D36A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③删除：将不再使用的流程（如已过时的旧版申报流程）</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从系统中安全移除，保持流程库的整洁与有效。</w:t>
      </w:r>
    </w:p>
    <w:p w14:paraId="25BBE8B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④编辑：</w:t>
      </w:r>
      <w:r>
        <w:rPr>
          <w:rFonts w:hint="eastAsia" w:ascii="仿宋_GB2312" w:hAnsi="仿宋_GB2312" w:eastAsia="仿宋_GB2312" w:cs="仿宋_GB2312"/>
          <w:color w:val="000000"/>
          <w:sz w:val="28"/>
          <w:szCs w:val="28"/>
          <w:lang w:eastAsia="zh-CN"/>
        </w:rPr>
        <w:t>需能</w:t>
      </w:r>
      <w:r>
        <w:rPr>
          <w:rFonts w:ascii="仿宋_GB2312" w:hAnsi="仿宋_GB2312" w:eastAsia="仿宋_GB2312" w:cs="仿宋_GB2312"/>
          <w:color w:val="000000"/>
          <w:sz w:val="28"/>
          <w:szCs w:val="28"/>
          <w:lang w:eastAsia="zh-CN"/>
        </w:rPr>
        <w:t>修改流程的基本属性，包括流程分类、流程名称，填写流程说明，以及选择流程所关联的业务表格，确保流程信息准确易懂。</w:t>
      </w:r>
    </w:p>
    <w:p w14:paraId="2FDA881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⑤复制：</w:t>
      </w:r>
      <w:r>
        <w:rPr>
          <w:rFonts w:hint="eastAsia" w:ascii="仿宋_GB2312" w:hAnsi="仿宋_GB2312" w:eastAsia="仿宋_GB2312" w:cs="仿宋_GB2312"/>
          <w:color w:val="000000"/>
          <w:sz w:val="28"/>
          <w:szCs w:val="28"/>
          <w:lang w:eastAsia="zh-CN"/>
        </w:rPr>
        <w:t>需能</w:t>
      </w:r>
      <w:r>
        <w:rPr>
          <w:rFonts w:ascii="仿宋_GB2312" w:hAnsi="仿宋_GB2312" w:eastAsia="仿宋_GB2312" w:cs="仿宋_GB2312"/>
          <w:color w:val="000000"/>
          <w:sz w:val="28"/>
          <w:szCs w:val="28"/>
          <w:lang w:eastAsia="zh-CN"/>
        </w:rPr>
        <w:t>快速复制一个现有流程，基于副本稍作修改即可创建新的类似流程，极大提升相似流程的搭建效率。</w:t>
      </w:r>
    </w:p>
    <w:p w14:paraId="3C8F658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⑥权限管理：</w:t>
      </w:r>
      <w:r>
        <w:rPr>
          <w:rFonts w:hint="eastAsia" w:ascii="仿宋_GB2312" w:hAnsi="仿宋_GB2312" w:eastAsia="仿宋_GB2312" w:cs="仿宋_GB2312"/>
          <w:color w:val="000000"/>
          <w:sz w:val="28"/>
          <w:szCs w:val="28"/>
          <w:lang w:eastAsia="zh-CN"/>
        </w:rPr>
        <w:t>需能</w:t>
      </w:r>
      <w:r>
        <w:rPr>
          <w:rFonts w:ascii="仿宋_GB2312" w:hAnsi="仿宋_GB2312" w:eastAsia="仿宋_GB2312" w:cs="仿宋_GB2312"/>
          <w:color w:val="000000"/>
          <w:sz w:val="28"/>
          <w:szCs w:val="28"/>
          <w:lang w:eastAsia="zh-CN"/>
        </w:rPr>
        <w:t>精细化配置不同角色或用户（如院系负责人、项目管理员）在该流程中的操作与数据权限，例如设置谁“可查看”或“不可查看”特定项目的申报信息，保障流程数据的保密性与安全性。</w:t>
      </w:r>
    </w:p>
    <w:p w14:paraId="14E558DC">
      <w:pPr>
        <w:pStyle w:val="84"/>
        <w:shd w:val="clear" w:color="auto" w:fill="FFFFFF"/>
        <w:spacing w:line="312" w:lineRule="auto"/>
        <w:ind w:left="0" w:firstLine="560" w:firstLineChars="200"/>
        <w:jc w:val="both"/>
        <w:outlineLvl w:val="9"/>
        <w:rPr>
          <w:color w:val="000000"/>
          <w:highlight w:val="none"/>
          <w:lang w:val="en-US"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支持对流程基础属性的灵活编辑，确保流程信息准确且易于理解。流程设计与配置完成后，可一键在线发布，使其即刻生效，供用户发起使用，快速响应业务变化</w:t>
      </w:r>
      <w:r>
        <w:rPr>
          <w:rFonts w:ascii="仿宋_GB2312" w:hAnsi="仿宋_GB2312" w:eastAsia="仿宋_GB2312" w:cs="仿宋_GB2312"/>
          <w:color w:val="000000"/>
          <w:sz w:val="28"/>
          <w:szCs w:val="28"/>
          <w:highlight w:val="none"/>
          <w:lang w:val="en-US" w:eastAsia="zh-CN"/>
        </w:rPr>
        <w:t>。</w:t>
      </w:r>
    </w:p>
    <w:p w14:paraId="3B8549E7">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（3）高效的视图与检索</w:t>
      </w:r>
    </w:p>
    <w:p w14:paraId="1A48985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①灵活排序与筛选：需支持对流程列表进行自定义排序，并可按照“申报类”“审批类”“备案类”等流程分类进行筛选查看，帮助管理员快速归类和集中管理特定类型的业务流程。</w:t>
      </w:r>
    </w:p>
    <w:p w14:paraId="679C0240">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②精准查询：需要提供搜索功能，支持按流程名称、创建人、创建时间等关键信息进行快速检索，使管理员能从大量流程中精准定位目标流程，提升运维效率</w:t>
      </w:r>
      <w:r>
        <w:rPr>
          <w:rFonts w:hint="eastAsia" w:ascii="仿宋_GB2312" w:hAnsi="仿宋_GB2312" w:eastAsia="仿宋_GB2312" w:cs="仿宋_GB2312"/>
          <w:color w:val="000000"/>
          <w:sz w:val="28"/>
          <w:szCs w:val="28"/>
          <w:highlight w:val="none"/>
          <w:lang w:val="en-US" w:eastAsia="zh-CN"/>
        </w:rPr>
        <w:t>。</w:t>
      </w:r>
    </w:p>
    <w:p w14:paraId="17024257">
      <w:pPr>
        <w:pStyle w:val="84"/>
        <w:shd w:val="clear" w:color="auto" w:fill="FFFFFF"/>
        <w:spacing w:line="312" w:lineRule="auto"/>
        <w:ind w:left="0" w:firstLine="560" w:firstLineChars="200"/>
        <w:jc w:val="both"/>
        <w:outlineLvl w:val="9"/>
        <w:rPr>
          <w:rFonts w:ascii="仿宋_GB2312" w:hAnsi="仿宋_GB2312" w:eastAsia="仿宋_GB2312" w:cs="仿宋_GB2312"/>
          <w:b/>
          <w:bCs/>
          <w:color w:val="000000"/>
          <w:sz w:val="28"/>
          <w:szCs w:val="28"/>
          <w:highlight w:val="none"/>
          <w:lang w:val="en-US" w:eastAsia="zh-CN"/>
        </w:rPr>
      </w:pPr>
      <w:bookmarkStart w:id="15" w:name="_Toc7319"/>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w:t>
      </w:r>
      <w:r>
        <w:rPr>
          <w:rFonts w:hint="eastAsia" w:ascii="仿宋_GB2312" w:hAnsi="仿宋_GB2312" w:eastAsia="仿宋_GB2312" w:cs="仿宋_GB2312"/>
          <w:b/>
          <w:bCs/>
          <w:color w:val="000000"/>
          <w:sz w:val="28"/>
          <w:szCs w:val="28"/>
          <w:highlight w:val="none"/>
          <w:lang w:val="en-US" w:eastAsia="zh-CN"/>
        </w:rPr>
        <w:t>2</w:t>
      </w:r>
      <w:r>
        <w:rPr>
          <w:rFonts w:ascii="仿宋_GB2312" w:hAnsi="仿宋_GB2312" w:eastAsia="仿宋_GB2312" w:cs="仿宋_GB2312"/>
          <w:b/>
          <w:bCs/>
          <w:color w:val="000000"/>
          <w:sz w:val="28"/>
          <w:szCs w:val="28"/>
          <w:highlight w:val="none"/>
          <w:lang w:val="en-US" w:eastAsia="zh-CN"/>
        </w:rPr>
        <w:t>.</w:t>
      </w:r>
      <w:r>
        <w:rPr>
          <w:rFonts w:hint="eastAsia" w:ascii="仿宋_GB2312" w:hAnsi="仿宋_GB2312" w:eastAsia="仿宋_GB2312" w:cs="仿宋_GB2312"/>
          <w:b/>
          <w:bCs/>
          <w:color w:val="000000"/>
          <w:sz w:val="28"/>
          <w:szCs w:val="28"/>
          <w:highlight w:val="none"/>
          <w:lang w:val="en-US" w:eastAsia="zh-CN"/>
        </w:rPr>
        <w:t>4</w:t>
      </w:r>
      <w:r>
        <w:rPr>
          <w:rFonts w:ascii="仿宋_GB2312" w:hAnsi="仿宋_GB2312" w:eastAsia="仿宋_GB2312" w:cs="仿宋_GB2312"/>
          <w:b/>
          <w:bCs/>
          <w:color w:val="000000"/>
          <w:sz w:val="28"/>
          <w:szCs w:val="28"/>
          <w:highlight w:val="none"/>
          <w:lang w:val="en-US" w:eastAsia="zh-CN"/>
        </w:rPr>
        <w:t>.1表单设计</w:t>
      </w:r>
      <w:bookmarkEnd w:id="15"/>
    </w:p>
    <w:p w14:paraId="1E5B6C4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平台</w:t>
      </w:r>
      <w:r>
        <w:rPr>
          <w:rFonts w:hint="eastAsia" w:ascii="仿宋_GB2312" w:hAnsi="仿宋_GB2312" w:eastAsia="仿宋_GB2312" w:cs="仿宋_GB2312"/>
          <w:color w:val="000000"/>
          <w:sz w:val="28"/>
          <w:szCs w:val="28"/>
          <w:lang w:eastAsia="zh-CN"/>
        </w:rPr>
        <w:t>需要支持</w:t>
      </w:r>
      <w:r>
        <w:rPr>
          <w:rFonts w:ascii="仿宋_GB2312" w:hAnsi="仿宋_GB2312" w:eastAsia="仿宋_GB2312" w:cs="仿宋_GB2312"/>
          <w:color w:val="000000"/>
          <w:sz w:val="28"/>
          <w:szCs w:val="28"/>
          <w:lang w:eastAsia="zh-CN"/>
        </w:rPr>
        <w:t>可视化表单设计</w:t>
      </w:r>
      <w:r>
        <w:rPr>
          <w:rFonts w:hint="eastAsia" w:ascii="仿宋_GB2312" w:hAnsi="仿宋_GB2312" w:eastAsia="仿宋_GB2312" w:cs="仿宋_GB2312"/>
          <w:color w:val="000000"/>
          <w:sz w:val="28"/>
          <w:szCs w:val="28"/>
          <w:lang w:eastAsia="zh-CN"/>
        </w:rPr>
        <w:t>。</w:t>
      </w:r>
      <w:r>
        <w:rPr>
          <w:rFonts w:ascii="仿宋_GB2312" w:hAnsi="仿宋_GB2312" w:eastAsia="仿宋_GB2312" w:cs="仿宋_GB2312"/>
          <w:color w:val="000000"/>
          <w:sz w:val="28"/>
          <w:szCs w:val="28"/>
          <w:lang w:eastAsia="zh-CN"/>
        </w:rPr>
        <w:t>业务管理员仅需通过直观的拖拽操作，即可快速构建贴合各类职业学校办学情况统计系统项目信息采集需求的电子审批表单，如“</w:t>
      </w:r>
      <w:r>
        <w:rPr>
          <w:rFonts w:hint="eastAsia" w:ascii="仿宋_GB2312" w:hAnsi="仿宋_GB2312" w:eastAsia="仿宋_GB2312" w:cs="仿宋_GB2312"/>
          <w:color w:val="000000"/>
          <w:sz w:val="28"/>
          <w:szCs w:val="28"/>
          <w:lang w:eastAsia="zh-CN"/>
        </w:rPr>
        <w:t>行业</w:t>
      </w:r>
      <w:r>
        <w:rPr>
          <w:rFonts w:ascii="仿宋_GB2312" w:hAnsi="仿宋_GB2312" w:eastAsia="仿宋_GB2312" w:cs="仿宋_GB2312"/>
          <w:color w:val="000000"/>
          <w:sz w:val="28"/>
          <w:szCs w:val="28"/>
          <w:lang w:eastAsia="zh-CN"/>
        </w:rPr>
        <w:t>产教融合共同体建设项目申报表”“产业学院合作意向书”等。</w:t>
      </w:r>
    </w:p>
    <w:p w14:paraId="421B2CD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（1）组件配置</w:t>
      </w:r>
    </w:p>
    <w:p w14:paraId="305DF75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①基础组件：</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提供完备的基础输入控件，如单行/多行文本框、单选/多选选择框、数字输入框、富文本输入框、日期选择器、下拉选择器、图片、附件、说明文字配置等，满足绝大部分信息录入需求。</w:t>
      </w:r>
    </w:p>
    <w:p w14:paraId="4E41F89D">
      <w:pPr>
        <w:pStyle w:val="84"/>
        <w:shd w:val="clear" w:color="auto" w:fill="FFFFFF"/>
        <w:spacing w:line="312" w:lineRule="auto"/>
        <w:ind w:left="0" w:firstLine="560" w:firstLineChars="200"/>
        <w:jc w:val="both"/>
        <w:outlineLvl w:val="9"/>
        <w:rPr>
          <w:color w:val="000000"/>
          <w:lang w:eastAsia="zh-CN"/>
        </w:rPr>
      </w:pPr>
      <w:r>
        <w:rPr>
          <w:rFonts w:ascii="仿宋_GB2312" w:hAnsi="仿宋_GB2312" w:eastAsia="仿宋_GB2312" w:cs="仿宋_GB2312"/>
          <w:color w:val="000000"/>
          <w:sz w:val="28"/>
          <w:szCs w:val="28"/>
          <w:lang w:eastAsia="zh-CN"/>
        </w:rPr>
        <w:t>②数据组件：</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集成业务场景化组件，包括人员选择器、部门选择器、表格、关联数据、</w:t>
      </w:r>
      <w:r>
        <w:rPr>
          <w:rFonts w:hint="eastAsia" w:ascii="仿宋_GB2312" w:hAnsi="仿宋_GB2312" w:eastAsia="仿宋_GB2312" w:cs="仿宋_GB2312"/>
          <w:color w:val="000000"/>
          <w:sz w:val="28"/>
          <w:szCs w:val="28"/>
          <w:lang w:eastAsia="zh-CN"/>
        </w:rPr>
        <w:t>级联</w:t>
      </w:r>
      <w:r>
        <w:rPr>
          <w:rFonts w:ascii="仿宋_GB2312" w:hAnsi="仿宋_GB2312" w:eastAsia="仿宋_GB2312" w:cs="仿宋_GB2312"/>
          <w:color w:val="000000"/>
          <w:sz w:val="28"/>
          <w:szCs w:val="28"/>
          <w:lang w:eastAsia="zh-CN"/>
        </w:rPr>
        <w:t>数据等，满足复杂数据录入与关联需求，提升数据规范性与采集效率。</w:t>
      </w:r>
    </w:p>
    <w:p w14:paraId="1478B9E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（2）显隐逻辑辑</w:t>
      </w:r>
    </w:p>
    <w:p w14:paraId="1D60993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支持配置表单字段的显隐逻辑，实现动态表单，当特定字段满足一定条件后，显示部分字段内容。</w:t>
      </w:r>
    </w:p>
    <w:p w14:paraId="3294F7B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（3）其他设置</w:t>
      </w:r>
    </w:p>
    <w:p w14:paraId="12D6AA7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①字段属性：设置字段类型、标题名称、操作提示。</w:t>
      </w:r>
    </w:p>
    <w:p w14:paraId="727A8CC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②布局：设置组件宽度、标题位置、标题文字颜色、内容对齐方式，优化表单视觉效果与易用性。</w:t>
      </w:r>
    </w:p>
    <w:p w14:paraId="3ED0495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③高级设置：设置每个组件的字数限制，以及默认值</w:t>
      </w:r>
      <w:r>
        <w:rPr>
          <w:rFonts w:ascii="仿宋_GB2312" w:hAnsi="仿宋_GB2312" w:eastAsia="仿宋_GB2312" w:cs="仿宋_GB2312"/>
          <w:color w:val="000000"/>
          <w:sz w:val="28"/>
          <w:szCs w:val="28"/>
          <w:highlight w:val="none"/>
          <w:lang w:val="en-US" w:eastAsia="zh-CN"/>
        </w:rPr>
        <w:t>。</w:t>
      </w:r>
    </w:p>
    <w:p w14:paraId="6DBE7EFF">
      <w:pPr>
        <w:pStyle w:val="84"/>
        <w:shd w:val="clear" w:color="auto" w:fill="FFFFFF"/>
        <w:spacing w:line="312" w:lineRule="auto"/>
        <w:ind w:left="0" w:firstLine="560" w:firstLineChars="200"/>
        <w:jc w:val="both"/>
        <w:outlineLvl w:val="9"/>
        <w:rPr>
          <w:rFonts w:ascii="仿宋_GB2312" w:hAnsi="仿宋_GB2312" w:eastAsia="仿宋_GB2312" w:cs="仿宋_GB2312"/>
          <w:b/>
          <w:bCs/>
          <w:color w:val="000000"/>
          <w:sz w:val="28"/>
          <w:szCs w:val="28"/>
          <w:highlight w:val="none"/>
          <w:lang w:val="en-US" w:eastAsia="zh-CN"/>
        </w:rPr>
      </w:pPr>
      <w:bookmarkStart w:id="16" w:name="_Toc11672"/>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w:t>
      </w:r>
      <w:r>
        <w:rPr>
          <w:rFonts w:hint="eastAsia" w:ascii="仿宋_GB2312" w:hAnsi="仿宋_GB2312" w:eastAsia="仿宋_GB2312" w:cs="仿宋_GB2312"/>
          <w:b/>
          <w:bCs/>
          <w:color w:val="000000"/>
          <w:sz w:val="28"/>
          <w:szCs w:val="28"/>
          <w:highlight w:val="none"/>
          <w:lang w:val="en-US" w:eastAsia="zh-CN"/>
        </w:rPr>
        <w:t>2</w:t>
      </w:r>
      <w:r>
        <w:rPr>
          <w:rFonts w:ascii="仿宋_GB2312" w:hAnsi="仿宋_GB2312" w:eastAsia="仿宋_GB2312" w:cs="仿宋_GB2312"/>
          <w:b/>
          <w:bCs/>
          <w:color w:val="000000"/>
          <w:sz w:val="28"/>
          <w:szCs w:val="28"/>
          <w:highlight w:val="none"/>
          <w:lang w:val="en-US" w:eastAsia="zh-CN"/>
        </w:rPr>
        <w:t>.</w:t>
      </w:r>
      <w:r>
        <w:rPr>
          <w:rFonts w:hint="eastAsia" w:ascii="仿宋_GB2312" w:hAnsi="仿宋_GB2312" w:eastAsia="仿宋_GB2312" w:cs="仿宋_GB2312"/>
          <w:b/>
          <w:bCs/>
          <w:color w:val="000000"/>
          <w:sz w:val="28"/>
          <w:szCs w:val="28"/>
          <w:highlight w:val="none"/>
          <w:lang w:val="en-US" w:eastAsia="zh-CN"/>
        </w:rPr>
        <w:t>4</w:t>
      </w:r>
      <w:r>
        <w:rPr>
          <w:rFonts w:ascii="仿宋_GB2312" w:hAnsi="仿宋_GB2312" w:eastAsia="仿宋_GB2312" w:cs="仿宋_GB2312"/>
          <w:b/>
          <w:bCs/>
          <w:color w:val="000000"/>
          <w:sz w:val="28"/>
          <w:szCs w:val="28"/>
          <w:highlight w:val="none"/>
          <w:lang w:val="en-US" w:eastAsia="zh-CN"/>
        </w:rPr>
        <w:t>.2流程设计</w:t>
      </w:r>
      <w:bookmarkEnd w:id="16"/>
    </w:p>
    <w:p w14:paraId="3F92973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通过图形化拖拽界面，用户可在“开始节点”与“结束节点”之间，自由定义审批路径与规则，</w:t>
      </w:r>
      <w:r>
        <w:rPr>
          <w:rFonts w:hint="eastAsia" w:ascii="仿宋_GB2312" w:hAnsi="仿宋_GB2312" w:eastAsia="仿宋_GB2312" w:cs="仿宋_GB2312"/>
          <w:color w:val="000000"/>
          <w:sz w:val="28"/>
          <w:szCs w:val="28"/>
          <w:lang w:eastAsia="zh-CN"/>
        </w:rPr>
        <w:t>支持</w:t>
      </w:r>
      <w:r>
        <w:rPr>
          <w:rFonts w:ascii="仿宋_GB2312" w:hAnsi="仿宋_GB2312" w:eastAsia="仿宋_GB2312" w:cs="仿宋_GB2312"/>
          <w:color w:val="000000"/>
          <w:sz w:val="28"/>
          <w:szCs w:val="28"/>
          <w:lang w:eastAsia="zh-CN"/>
        </w:rPr>
        <w:t>快速构建完全符合学校实际管理规范的职业学校办学情况统计系统项目审批流。</w:t>
      </w:r>
    </w:p>
    <w:p w14:paraId="2D58196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（1）基本属性</w:t>
      </w:r>
    </w:p>
    <w:p w14:paraId="16B779A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系统</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支持多种审批人员指定方式，包括“由上一节点指定”“固定指定人员”“按组织架构逐级审批”三种类型。</w:t>
      </w:r>
    </w:p>
    <w:p w14:paraId="690A424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①由上一节点指定：上一流程节点人员审批完成后，该审批人员将指定接下来的审批人员。</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适用于灵活性要求高的场景，如项目发起人提交后，由其直接主管指定下一步的评审专家。</w:t>
      </w:r>
    </w:p>
    <w:p w14:paraId="5D0A5DE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②固定指定人员：本审批节点均由一名固定人选审批；</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适用于职责明确的场景，如所有“资金预算审批”节点均固定由财务处长审批。</w:t>
      </w:r>
    </w:p>
    <w:p w14:paraId="01C936C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③按组织架构逐级审批：按照学校的部门组织架构，由上级部门逐级进行审批。</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适用于标准的行政审批场景，如按照“二级学院→教务处→校领导”的层级逐级上报审批。</w:t>
      </w:r>
    </w:p>
    <w:p w14:paraId="3A28BA16">
      <w:pPr>
        <w:pStyle w:val="84"/>
        <w:shd w:val="clear" w:color="auto" w:fill="FFFFFF"/>
        <w:spacing w:line="312" w:lineRule="auto"/>
        <w:ind w:left="0" w:firstLine="560" w:firstLineChars="200"/>
        <w:jc w:val="both"/>
        <w:outlineLvl w:val="9"/>
        <w:rPr>
          <w:color w:val="000000"/>
          <w:lang w:eastAsia="zh-CN"/>
        </w:rPr>
      </w:pPr>
      <w:r>
        <w:rPr>
          <w:rFonts w:ascii="仿宋_GB2312" w:hAnsi="仿宋_GB2312" w:eastAsia="仿宋_GB2312" w:cs="仿宋_GB2312"/>
          <w:color w:val="000000"/>
          <w:sz w:val="28"/>
          <w:szCs w:val="28"/>
          <w:lang w:eastAsia="zh-CN"/>
        </w:rPr>
        <w:t>系统内的审批类型完备，</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提供主流的审批决策模式：“会签”，需所有指定审批人均同意方可通过；“或签”，任意一名指定审批人做出通过或拒绝决定即可生效；“顺序签”，严格按照预设的成员顺序依次进行审批处理。</w:t>
      </w:r>
    </w:p>
    <w:p w14:paraId="60B3975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（2）组件权限</w:t>
      </w:r>
    </w:p>
    <w:p w14:paraId="2DDE469D">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针对流程表单中的具体字段，</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在每个审批节点上设置细粒度的字段权限，实现流程中数据的受控流转，满足信息保密与权责清晰的要求。</w:t>
      </w:r>
    </w:p>
    <w:p w14:paraId="02C366A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①必填：当流程流转至本节点时，该字段内容不允许为空，例如要求评审专家在审批时必须填写“评审意见”</w:t>
      </w:r>
      <w:r>
        <w:rPr>
          <w:rFonts w:ascii="仿宋_GB2312" w:hAnsi="仿宋_GB2312" w:eastAsia="仿宋_GB2312" w:cs="仿宋_GB2312"/>
          <w:color w:val="000000"/>
          <w:sz w:val="28"/>
          <w:szCs w:val="28"/>
          <w:highlight w:val="none"/>
          <w:lang w:val="en-US" w:eastAsia="zh-CN"/>
        </w:rPr>
        <w:t>。</w:t>
      </w:r>
    </w:p>
    <w:p w14:paraId="3589DCE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②可编辑：审批人在本节点有权修改该字段内容，例如允许项目管理员在初审时修正明显的格式错误。</w:t>
      </w:r>
    </w:p>
    <w:p w14:paraId="1F54761E">
      <w:pPr>
        <w:pStyle w:val="84"/>
        <w:shd w:val="clear" w:color="auto" w:fill="FFFFFF"/>
        <w:spacing w:line="312" w:lineRule="auto"/>
        <w:ind w:left="0" w:firstLine="560" w:firstLineChars="200"/>
        <w:jc w:val="both"/>
        <w:outlineLvl w:val="9"/>
        <w:rPr>
          <w:color w:val="000000"/>
          <w:lang w:eastAsia="zh-CN"/>
        </w:rPr>
      </w:pPr>
      <w:r>
        <w:rPr>
          <w:rFonts w:ascii="仿宋_GB2312" w:hAnsi="仿宋_GB2312" w:eastAsia="仿宋_GB2312" w:cs="仿宋_GB2312"/>
          <w:color w:val="000000"/>
          <w:sz w:val="28"/>
          <w:szCs w:val="28"/>
          <w:lang w:eastAsia="zh-CN"/>
        </w:rPr>
        <w:t>③可见：审批人在本节点仅可查看该字段内容但无权修改，例如向校领导展示项目全部信息，但敏感报价字段仅对采购部门可见。</w:t>
      </w:r>
    </w:p>
    <w:p w14:paraId="0DDC2A5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（3）任务流转</w:t>
      </w:r>
    </w:p>
    <w:p w14:paraId="7A6BA63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在节点操作方面，</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配置“允许转交”“允许撤回”“允许驳回”“允许加签”。</w:t>
      </w:r>
    </w:p>
    <w:p w14:paraId="430BA65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①允许转交：节点审核人员因故无法处理时，</w:t>
      </w:r>
      <w:r>
        <w:rPr>
          <w:rFonts w:hint="eastAsia" w:ascii="仿宋_GB2312" w:hAnsi="仿宋_GB2312" w:eastAsia="仿宋_GB2312" w:cs="仿宋_GB2312"/>
          <w:color w:val="000000"/>
          <w:sz w:val="28"/>
          <w:szCs w:val="28"/>
          <w:lang w:eastAsia="zh-CN"/>
        </w:rPr>
        <w:t>支持</w:t>
      </w:r>
      <w:r>
        <w:rPr>
          <w:rFonts w:ascii="仿宋_GB2312" w:hAnsi="仿宋_GB2312" w:eastAsia="仿宋_GB2312" w:cs="仿宋_GB2312"/>
          <w:color w:val="000000"/>
          <w:sz w:val="28"/>
          <w:szCs w:val="28"/>
          <w:lang w:eastAsia="zh-CN"/>
        </w:rPr>
        <w:t>将本次任务转交给其他授权人员代理审核。</w:t>
      </w:r>
    </w:p>
    <w:p w14:paraId="20F82A4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②允许撤回：发起人或指定人员在流程未进入下一关键节点前，</w:t>
      </w:r>
      <w:r>
        <w:rPr>
          <w:rFonts w:hint="eastAsia" w:ascii="仿宋_GB2312" w:hAnsi="仿宋_GB2312" w:eastAsia="仿宋_GB2312" w:cs="仿宋_GB2312"/>
          <w:color w:val="000000"/>
          <w:sz w:val="28"/>
          <w:szCs w:val="28"/>
          <w:lang w:eastAsia="zh-CN"/>
        </w:rPr>
        <w:t>需能</w:t>
      </w:r>
      <w:r>
        <w:rPr>
          <w:rFonts w:ascii="仿宋_GB2312" w:hAnsi="仿宋_GB2312" w:eastAsia="仿宋_GB2312" w:cs="仿宋_GB2312"/>
          <w:color w:val="000000"/>
          <w:sz w:val="28"/>
          <w:szCs w:val="28"/>
          <w:lang w:eastAsia="zh-CN"/>
        </w:rPr>
        <w:t>对已提交的申请进行撤回修改，避免因误操作导致流程中断。</w:t>
      </w:r>
    </w:p>
    <w:p w14:paraId="70B222D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③允许驳回：审批人员</w:t>
      </w:r>
      <w:r>
        <w:rPr>
          <w:rFonts w:hint="eastAsia" w:ascii="仿宋_GB2312" w:hAnsi="仿宋_GB2312" w:eastAsia="仿宋_GB2312" w:cs="仿宋_GB2312"/>
          <w:color w:val="000000"/>
          <w:sz w:val="28"/>
          <w:szCs w:val="28"/>
          <w:lang w:eastAsia="zh-CN"/>
        </w:rPr>
        <w:t>需能</w:t>
      </w:r>
      <w:r>
        <w:rPr>
          <w:rFonts w:ascii="仿宋_GB2312" w:hAnsi="仿宋_GB2312" w:eastAsia="仿宋_GB2312" w:cs="仿宋_GB2312"/>
          <w:color w:val="000000"/>
          <w:sz w:val="28"/>
          <w:szCs w:val="28"/>
          <w:lang w:eastAsia="zh-CN"/>
        </w:rPr>
        <w:t>将流程回退到之前的指定节点（仅审批节点可用），要求修改完善，形成质量管控闭环。</w:t>
      </w:r>
    </w:p>
    <w:p w14:paraId="27DCA1D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④允许加签：节点审批人员在遇到专业难题或需要更多意见时，</w:t>
      </w:r>
      <w:r>
        <w:rPr>
          <w:rFonts w:hint="eastAsia" w:ascii="仿宋_GB2312" w:hAnsi="仿宋_GB2312" w:eastAsia="仿宋_GB2312" w:cs="仿宋_GB2312"/>
          <w:color w:val="000000"/>
          <w:sz w:val="28"/>
          <w:szCs w:val="28"/>
          <w:lang w:eastAsia="zh-CN"/>
        </w:rPr>
        <w:t>需能</w:t>
      </w:r>
      <w:r>
        <w:rPr>
          <w:rFonts w:ascii="仿宋_GB2312" w:hAnsi="仿宋_GB2312" w:eastAsia="仿宋_GB2312" w:cs="仿宋_GB2312"/>
          <w:color w:val="000000"/>
          <w:sz w:val="28"/>
          <w:szCs w:val="28"/>
          <w:lang w:eastAsia="zh-CN"/>
        </w:rPr>
        <w:t>临时添加指定人员共同审批待办事项。</w:t>
      </w:r>
    </w:p>
    <w:p w14:paraId="08480338">
      <w:pPr>
        <w:pStyle w:val="84"/>
        <w:shd w:val="clear" w:color="auto" w:fill="FFFFFF"/>
        <w:spacing w:line="312" w:lineRule="auto"/>
        <w:ind w:left="0" w:firstLine="560" w:firstLineChars="200"/>
        <w:jc w:val="both"/>
        <w:outlineLvl w:val="9"/>
        <w:rPr>
          <w:color w:val="000000"/>
          <w:lang w:eastAsia="zh-CN"/>
        </w:rPr>
      </w:pPr>
      <w:r>
        <w:rPr>
          <w:rFonts w:ascii="仿宋_GB2312" w:hAnsi="仿宋_GB2312" w:eastAsia="仿宋_GB2312" w:cs="仿宋_GB2312"/>
          <w:color w:val="000000"/>
          <w:sz w:val="28"/>
          <w:szCs w:val="28"/>
          <w:lang w:eastAsia="zh-CN"/>
        </w:rPr>
        <w:t>当预设审批人缺失（如岗位空缺）时，</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提供智能处理策略：自动跳过进入下一环节/判定为流程异常并自动取消流程/自动转交至系统管理员处理。</w:t>
      </w:r>
    </w:p>
    <w:p w14:paraId="6351FB5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（4）拓展设置</w:t>
      </w:r>
    </w:p>
    <w:p w14:paraId="7488374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①流程取消设置：可配置是否“允许流程发起人主动取消”已发起的流程，赋予用户更大的灵活性，应对项目变更或误发起的情况。</w:t>
      </w:r>
    </w:p>
    <w:p w14:paraId="0B54E063">
      <w:pPr>
        <w:pStyle w:val="84"/>
        <w:shd w:val="clear" w:color="auto" w:fill="FFFFFF"/>
        <w:spacing w:line="312" w:lineRule="auto"/>
        <w:ind w:left="0" w:firstLine="560" w:firstLineChars="200"/>
        <w:jc w:val="both"/>
        <w:outlineLvl w:val="9"/>
        <w:rPr>
          <w:color w:val="000000"/>
          <w:highlight w:val="none"/>
        </w:rPr>
      </w:pPr>
      <w:r>
        <w:rPr>
          <w:rFonts w:ascii="仿宋_GB2312" w:hAnsi="仿宋_GB2312" w:eastAsia="仿宋_GB2312" w:cs="仿宋_GB2312"/>
          <w:color w:val="000000"/>
          <w:sz w:val="28"/>
          <w:szCs w:val="28"/>
          <w:lang w:eastAsia="zh-CN"/>
        </w:rPr>
        <w:t>②流程意见填写：可配置要求“审批人在执行驳回操作时，必须填写详细的驳回意见”，确保流程反馈的有效性与指导性，便于发起人理解问题并进行修改，提升沟通质量与流程效率</w:t>
      </w:r>
      <w:r>
        <w:rPr>
          <w:rFonts w:ascii="仿宋_GB2312" w:hAnsi="仿宋_GB2312" w:eastAsia="仿宋_GB2312" w:cs="仿宋_GB2312"/>
          <w:color w:val="000000"/>
          <w:sz w:val="28"/>
          <w:szCs w:val="28"/>
          <w:highlight w:val="none"/>
          <w:lang w:val="en-US" w:eastAsia="zh-CN"/>
        </w:rPr>
        <w:t>。</w:t>
      </w:r>
    </w:p>
    <w:p w14:paraId="78CE10B5">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bookmarkStart w:id="17" w:name="_Toc20474"/>
      <w:bookmarkStart w:id="18" w:name="_Toc27690"/>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w:t>
      </w:r>
      <w:r>
        <w:rPr>
          <w:rFonts w:hint="eastAsia" w:ascii="仿宋_GB2312" w:hAnsi="仿宋_GB2312" w:eastAsia="仿宋_GB2312" w:cs="仿宋_GB2312"/>
          <w:b/>
          <w:bCs/>
          <w:color w:val="000000"/>
          <w:sz w:val="28"/>
          <w:szCs w:val="28"/>
          <w:highlight w:val="none"/>
          <w:lang w:val="en-US" w:eastAsia="zh-CN"/>
        </w:rPr>
        <w:t>3</w:t>
      </w:r>
      <w:r>
        <w:rPr>
          <w:rFonts w:ascii="仿宋_GB2312" w:hAnsi="仿宋_GB2312" w:eastAsia="仿宋_GB2312" w:cs="仿宋_GB2312"/>
          <w:b/>
          <w:bCs/>
          <w:color w:val="000000"/>
          <w:sz w:val="28"/>
          <w:szCs w:val="28"/>
          <w:highlight w:val="none"/>
          <w:lang w:val="en-US" w:eastAsia="zh-CN"/>
        </w:rPr>
        <w:t>.5表格管理</w:t>
      </w:r>
      <w:bookmarkEnd w:id="17"/>
      <w:bookmarkEnd w:id="18"/>
    </w:p>
    <w:p w14:paraId="3A12259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表格管理模块</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负责集中管理所有与流程关联的业务数据表，确保数据的可追溯性、安全性与可维护性，为用户提供一个清晰、全面的数据资产视图。</w:t>
      </w:r>
    </w:p>
    <w:p w14:paraId="24C870AF">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（1）数据表格全景视图</w:t>
      </w:r>
    </w:p>
    <w:p w14:paraId="7B96C99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①集中化列表：</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以列表形式统一展示平台内创建的所有数据表格。</w:t>
      </w:r>
    </w:p>
    <w:p w14:paraId="2056964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②完整元数据展示：列表</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涵盖每个表格的关键信息，包括序号、表格名称、创建人、创建时间、更新人、最后更新时间以及数据量。其中，“数据量”直观反映了该表格当前积累的项目记录条数，便于管理员快速评估不同业务的数据规模与发展态势。</w:t>
      </w:r>
    </w:p>
    <w:p w14:paraId="154CF381">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（2）核心数据操作管理</w:t>
      </w:r>
    </w:p>
    <w:p w14:paraId="02F4E9D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针对每个数据表格，</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提供以下操作功能，实现对数据资产的精细化管理。</w:t>
      </w:r>
    </w:p>
    <w:p w14:paraId="3C45727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①详情：点击可查看表格内的具体数据记录，进行数据的浏览与核查。</w:t>
      </w:r>
    </w:p>
    <w:p w14:paraId="11D3668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②编辑：用于修改表格的基本信息，当前主要支持对表格名称的编辑。</w:t>
      </w:r>
    </w:p>
    <w:p w14:paraId="70DA7790">
      <w:pPr>
        <w:pStyle w:val="84"/>
        <w:shd w:val="clear" w:color="auto" w:fill="FFFFFF"/>
        <w:spacing w:line="312" w:lineRule="auto"/>
        <w:ind w:left="0" w:firstLine="560" w:firstLineChars="200"/>
        <w:jc w:val="both"/>
        <w:outlineLvl w:val="9"/>
        <w:rPr>
          <w:color w:val="000000"/>
          <w:lang w:eastAsia="zh-CN"/>
        </w:rPr>
      </w:pPr>
      <w:r>
        <w:rPr>
          <w:rFonts w:ascii="仿宋_GB2312" w:hAnsi="仿宋_GB2312" w:eastAsia="仿宋_GB2312" w:cs="仿宋_GB2312"/>
          <w:color w:val="000000"/>
          <w:sz w:val="28"/>
          <w:szCs w:val="28"/>
          <w:lang w:eastAsia="zh-CN"/>
        </w:rPr>
        <w:t>③权限管理：设置不同角色或用户对当前数据表格的访问权限，例如指定哪些角色“可查看”或“不可查看”，从底层保障业务数据的安全性与合规性。</w:t>
      </w:r>
    </w:p>
    <w:p w14:paraId="5436420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④删除：将无需再使用的冗余或测试数据表格从系统中彻底移除，保持数据环境的整洁与高效。</w:t>
      </w:r>
    </w:p>
    <w:p w14:paraId="2F878020">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（3）高效定位筛选</w:t>
      </w:r>
    </w:p>
    <w:p w14:paraId="2D50381B">
      <w:pPr>
        <w:pStyle w:val="84"/>
        <w:shd w:val="clear" w:color="auto" w:fill="FFFFFF"/>
        <w:spacing w:line="312" w:lineRule="auto"/>
        <w:ind w:left="0" w:firstLine="560" w:firstLineChars="200"/>
        <w:jc w:val="both"/>
        <w:outlineLvl w:val="9"/>
        <w:rPr>
          <w:color w:val="000000"/>
          <w:highlight w:val="none"/>
        </w:rPr>
      </w:pPr>
      <w:r>
        <w:rPr>
          <w:rFonts w:ascii="仿宋_GB2312" w:hAnsi="仿宋_GB2312" w:eastAsia="仿宋_GB2312" w:cs="仿宋_GB2312"/>
          <w:color w:val="000000"/>
          <w:sz w:val="28"/>
          <w:szCs w:val="28"/>
          <w:lang w:eastAsia="zh-CN"/>
        </w:rPr>
        <w:t>①精准查询：</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提供强大的搜索功能，支持根据表格名称、创建人、创建时间等关键字段进行快速检索，帮助用户从大量表格中瞬间定位目标</w:t>
      </w:r>
      <w:r>
        <w:rPr>
          <w:rFonts w:ascii="仿宋_GB2312" w:hAnsi="仿宋_GB2312" w:eastAsia="仿宋_GB2312" w:cs="仿宋_GB2312"/>
          <w:color w:val="000000"/>
          <w:sz w:val="28"/>
          <w:szCs w:val="28"/>
          <w:highlight w:val="none"/>
          <w:lang w:val="en-US" w:eastAsia="zh-CN"/>
        </w:rPr>
        <w:t>。</w:t>
      </w:r>
    </w:p>
    <w:p w14:paraId="183E7953">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bookmarkStart w:id="19" w:name="_Toc23941"/>
      <w:bookmarkStart w:id="20" w:name="_Toc17893"/>
      <w:r>
        <w:rPr>
          <w:rFonts w:hint="eastAsia" w:ascii="仿宋_GB2312" w:hAnsi="仿宋_GB2312" w:eastAsia="仿宋_GB2312" w:cs="仿宋_GB2312"/>
          <w:b/>
          <w:bCs/>
          <w:color w:val="000000"/>
          <w:sz w:val="28"/>
          <w:szCs w:val="28"/>
          <w:highlight w:val="none"/>
          <w:lang w:val="en-US" w:eastAsia="zh-CN"/>
        </w:rPr>
        <w:t>1.4</w:t>
      </w:r>
      <w:r>
        <w:rPr>
          <w:rFonts w:hint="eastAsia" w:ascii="仿宋_GB2312" w:hAnsi="仿宋_GB2312" w:eastAsia="仿宋_GB2312" w:cs="仿宋_GB2312"/>
          <w:b/>
          <w:bCs/>
          <w:color w:val="000000"/>
          <w:sz w:val="28"/>
          <w:szCs w:val="28"/>
          <w:lang w:val="en-US" w:eastAsia="zh-CN"/>
        </w:rPr>
        <w:t>职业学校办学情况统计系统项目</w:t>
      </w:r>
      <w:r>
        <w:rPr>
          <w:rFonts w:hint="eastAsia" w:ascii="仿宋_GB2312" w:hAnsi="仿宋_GB2312" w:eastAsia="仿宋_GB2312" w:cs="仿宋_GB2312"/>
          <w:b/>
          <w:bCs/>
          <w:color w:val="000000"/>
          <w:sz w:val="28"/>
          <w:szCs w:val="28"/>
          <w:highlight w:val="none"/>
          <w:lang w:val="en-US" w:eastAsia="zh-CN"/>
        </w:rPr>
        <w:t>管理流程模块</w:t>
      </w:r>
    </w:p>
    <w:p w14:paraId="6DC4A7A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建设</w:t>
      </w:r>
      <w:r>
        <w:rPr>
          <w:rFonts w:ascii="仿宋_GB2312" w:hAnsi="仿宋_GB2312" w:eastAsia="仿宋_GB2312" w:cs="仿宋_GB2312"/>
          <w:color w:val="000000"/>
          <w:sz w:val="28"/>
          <w:szCs w:val="28"/>
          <w:lang w:eastAsia="zh-CN"/>
        </w:rPr>
        <w:t>职业学校办学情况统计系统项目管理流程模块，</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构建一个覆盖“项目申报→项目审查→项目入库与储备→项目立项→项目实施→项目考核与退出→项目归档”项目全生命周期的数字化管理体系，以职业学校办学情况统计系统项目在线申报为起点，支持自定义的智能审查流程与专家评审论证，实现“行业产教融合共同体”、“市域产教联合体”、“开放型区域产教融合实践中心”、“产业学院”、“现场工程师学院”、“现代学徒制（订单）班”等项目从入库储备、动态优化到正式立项的规范化流转。在实施阶段，平台</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提供协议管理、实施过程监控与风险预警；项目完成后，</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支持年度考核与验收评价，并将结果应用于项目调整与资源配置，生成项目数字档案，实现从申报、审查、实施到验收归档的全流程闭环、协同管理与数据化决策支持</w:t>
      </w:r>
      <w:r>
        <w:rPr>
          <w:rFonts w:ascii="仿宋_GB2312" w:hAnsi="仿宋_GB2312" w:eastAsia="仿宋_GB2312" w:cs="仿宋_GB2312"/>
          <w:color w:val="000000"/>
          <w:sz w:val="28"/>
          <w:szCs w:val="28"/>
          <w:highlight w:val="none"/>
          <w:lang w:val="en-US" w:eastAsia="zh-CN"/>
        </w:rPr>
        <w:t>。</w:t>
      </w:r>
    </w:p>
    <w:p w14:paraId="0EBFCF32">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.4.1项目申报</w:t>
      </w:r>
    </w:p>
    <w:p w14:paraId="1B9D8B4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提供在线提交职业学校办学情况统计系统项目申报功能，支持选取项目类型。根据《西安铁路职业技术学院职业学校办学情况统计系统项目管理办法》，系统支持预置以下多种项目类型，并支持选中特定类型时弹窗凸显各类型的涵义以供申报人参考</w:t>
      </w:r>
      <w:r>
        <w:rPr>
          <w:rFonts w:ascii="仿宋_GB2312" w:hAnsi="仿宋_GB2312" w:eastAsia="仿宋_GB2312" w:cs="仿宋_GB2312"/>
          <w:color w:val="000000"/>
          <w:sz w:val="28"/>
          <w:szCs w:val="28"/>
          <w:highlight w:val="none"/>
          <w:lang w:val="en-US" w:eastAsia="zh-CN"/>
        </w:rPr>
        <w:t>：</w:t>
      </w:r>
    </w:p>
    <w:p w14:paraId="727AC9C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p>
    <w:tbl>
      <w:tblPr>
        <w:tblStyle w:val="30"/>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8"/>
        <w:gridCol w:w="1437"/>
        <w:gridCol w:w="7502"/>
      </w:tblGrid>
      <w:tr w14:paraId="20A5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8" w:type="dxa"/>
          </w:tcPr>
          <w:p w14:paraId="252033A6">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b/>
                <w:bCs/>
                <w:color w:val="000000"/>
                <w:sz w:val="24"/>
                <w:szCs w:val="24"/>
                <w:highlight w:val="none"/>
                <w:vertAlign w:val="baseline"/>
                <w:lang w:val="en-US" w:eastAsia="zh-CN"/>
              </w:rPr>
            </w:pPr>
            <w:r>
              <w:rPr>
                <w:rFonts w:hint="eastAsia" w:ascii="仿宋_GB2312" w:hAnsi="仿宋_GB2312" w:eastAsia="仿宋_GB2312" w:cs="仿宋_GB2312"/>
                <w:b/>
                <w:bCs/>
                <w:color w:val="000000"/>
                <w:sz w:val="24"/>
                <w:szCs w:val="24"/>
                <w:highlight w:val="none"/>
                <w:vertAlign w:val="baseline"/>
                <w:lang w:val="en-US" w:eastAsia="zh-CN"/>
              </w:rPr>
              <w:t>序号</w:t>
            </w:r>
          </w:p>
        </w:tc>
        <w:tc>
          <w:tcPr>
            <w:tcW w:w="1437" w:type="dxa"/>
          </w:tcPr>
          <w:p w14:paraId="32AA553A">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b/>
                <w:bCs/>
                <w:color w:val="000000"/>
                <w:sz w:val="24"/>
                <w:szCs w:val="24"/>
                <w:highlight w:val="none"/>
                <w:vertAlign w:val="baseline"/>
                <w:lang w:val="en-US" w:eastAsia="zh-CN"/>
              </w:rPr>
            </w:pPr>
            <w:r>
              <w:rPr>
                <w:rFonts w:hint="eastAsia" w:ascii="仿宋_GB2312" w:hAnsi="仿宋_GB2312" w:eastAsia="仿宋_GB2312" w:cs="仿宋_GB2312"/>
                <w:b/>
                <w:bCs/>
                <w:color w:val="000000"/>
                <w:sz w:val="24"/>
                <w:szCs w:val="24"/>
                <w:highlight w:val="none"/>
                <w:vertAlign w:val="baseline"/>
                <w:lang w:val="en-US" w:eastAsia="zh-CN"/>
              </w:rPr>
              <w:t>项目类型</w:t>
            </w:r>
          </w:p>
        </w:tc>
        <w:tc>
          <w:tcPr>
            <w:tcW w:w="7502" w:type="dxa"/>
          </w:tcPr>
          <w:p w14:paraId="44EC83C5">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b/>
                <w:bCs/>
                <w:color w:val="000000"/>
                <w:sz w:val="24"/>
                <w:szCs w:val="24"/>
                <w:highlight w:val="none"/>
                <w:vertAlign w:val="baseline"/>
                <w:lang w:val="en-US" w:eastAsia="zh-CN"/>
              </w:rPr>
            </w:pPr>
            <w:r>
              <w:rPr>
                <w:rFonts w:hint="eastAsia" w:ascii="仿宋_GB2312" w:hAnsi="仿宋_GB2312" w:eastAsia="仿宋_GB2312" w:cs="仿宋_GB2312"/>
                <w:b/>
                <w:bCs/>
                <w:color w:val="000000"/>
                <w:sz w:val="24"/>
                <w:szCs w:val="24"/>
                <w:highlight w:val="none"/>
                <w:vertAlign w:val="baseline"/>
                <w:lang w:val="en-US" w:eastAsia="zh-CN"/>
              </w:rPr>
              <w:t>项目涵义</w:t>
            </w:r>
          </w:p>
        </w:tc>
      </w:tr>
      <w:tr w14:paraId="75447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3801E1BD">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color w:val="000000"/>
                <w:sz w:val="24"/>
                <w:szCs w:val="24"/>
                <w:highlight w:val="none"/>
                <w:vertAlign w:val="baseline"/>
                <w:lang w:val="en-US" w:eastAsia="zh-CN"/>
              </w:rPr>
            </w:pPr>
            <w:r>
              <w:rPr>
                <w:rFonts w:hint="eastAsia" w:ascii="仿宋_GB2312" w:hAnsi="仿宋_GB2312" w:eastAsia="仿宋_GB2312" w:cs="仿宋_GB2312"/>
                <w:color w:val="000000"/>
                <w:sz w:val="24"/>
                <w:szCs w:val="24"/>
                <w:highlight w:val="none"/>
                <w:vertAlign w:val="baseline"/>
                <w:lang w:val="en-US" w:eastAsia="zh-CN"/>
              </w:rPr>
              <w:t>1</w:t>
            </w:r>
          </w:p>
        </w:tc>
        <w:tc>
          <w:tcPr>
            <w:tcW w:w="1437" w:type="dxa"/>
            <w:vAlign w:val="center"/>
          </w:tcPr>
          <w:p w14:paraId="7F804398">
            <w:pPr>
              <w:pStyle w:val="84"/>
              <w:shd w:val="clear" w:color="auto" w:fill="FFFFFF"/>
              <w:spacing w:line="312" w:lineRule="auto"/>
              <w:ind w:left="0"/>
              <w:jc w:val="center"/>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平台载体类</w:t>
            </w:r>
          </w:p>
        </w:tc>
        <w:tc>
          <w:tcPr>
            <w:tcW w:w="7502" w:type="dxa"/>
            <w:vAlign w:val="center"/>
          </w:tcPr>
          <w:p w14:paraId="4E5D347F">
            <w:pPr>
              <w:pStyle w:val="84"/>
              <w:shd w:val="clear" w:color="auto" w:fill="FFFFFF"/>
              <w:spacing w:line="312" w:lineRule="auto"/>
              <w:ind w:left="0"/>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涵盖市域产教联合体、行业产教融合共同体、产业学院等共建机构的申报与建设。支持申报人填写合作背景、平台架构、运行机制、预期成效等，系统自动关联合作协议管理与年度考核模块。</w:t>
            </w:r>
          </w:p>
        </w:tc>
      </w:tr>
      <w:tr w14:paraId="4B76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685BA974">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color w:val="000000"/>
                <w:sz w:val="24"/>
                <w:szCs w:val="24"/>
                <w:highlight w:val="none"/>
                <w:vertAlign w:val="baseline"/>
                <w:lang w:val="en-US" w:eastAsia="zh-CN"/>
              </w:rPr>
            </w:pPr>
            <w:r>
              <w:rPr>
                <w:rFonts w:hint="eastAsia" w:ascii="仿宋_GB2312" w:hAnsi="仿宋_GB2312" w:eastAsia="仿宋_GB2312" w:cs="仿宋_GB2312"/>
                <w:color w:val="000000"/>
                <w:sz w:val="24"/>
                <w:szCs w:val="24"/>
                <w:highlight w:val="none"/>
                <w:vertAlign w:val="baseline"/>
                <w:lang w:val="en-US" w:eastAsia="zh-CN"/>
              </w:rPr>
              <w:t>2</w:t>
            </w:r>
          </w:p>
        </w:tc>
        <w:tc>
          <w:tcPr>
            <w:tcW w:w="1437" w:type="dxa"/>
            <w:vAlign w:val="center"/>
          </w:tcPr>
          <w:p w14:paraId="6F37754F">
            <w:pPr>
              <w:pStyle w:val="84"/>
              <w:shd w:val="clear" w:color="auto" w:fill="FFFFFF"/>
              <w:spacing w:line="312" w:lineRule="auto"/>
              <w:ind w:left="0"/>
              <w:jc w:val="center"/>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人才培养类</w:t>
            </w:r>
          </w:p>
        </w:tc>
        <w:tc>
          <w:tcPr>
            <w:tcW w:w="7502" w:type="dxa"/>
            <w:vAlign w:val="center"/>
          </w:tcPr>
          <w:p w14:paraId="7F391725">
            <w:pPr>
              <w:pStyle w:val="84"/>
              <w:shd w:val="clear" w:color="auto" w:fill="FFFFFF"/>
              <w:spacing w:line="312" w:lineRule="auto"/>
              <w:ind w:left="0"/>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涵盖校企共同育人、联合培养、订单班、现代学徒制等合作项目。申报时需提交人才培养方案、企业参与方式、学生受益分析等材料。</w:t>
            </w:r>
          </w:p>
        </w:tc>
      </w:tr>
      <w:tr w14:paraId="74AB9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7D135229">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color w:val="000000"/>
                <w:sz w:val="24"/>
                <w:szCs w:val="24"/>
                <w:highlight w:val="none"/>
                <w:vertAlign w:val="baseline"/>
                <w:lang w:val="en-US" w:eastAsia="zh-CN"/>
              </w:rPr>
            </w:pPr>
            <w:r>
              <w:rPr>
                <w:rFonts w:hint="eastAsia" w:ascii="仿宋_GB2312" w:hAnsi="仿宋_GB2312" w:eastAsia="仿宋_GB2312" w:cs="仿宋_GB2312"/>
                <w:color w:val="000000"/>
                <w:sz w:val="24"/>
                <w:szCs w:val="24"/>
                <w:highlight w:val="none"/>
                <w:vertAlign w:val="baseline"/>
                <w:lang w:val="en-US" w:eastAsia="zh-CN"/>
              </w:rPr>
              <w:t>3</w:t>
            </w:r>
          </w:p>
        </w:tc>
        <w:tc>
          <w:tcPr>
            <w:tcW w:w="1437" w:type="dxa"/>
            <w:vAlign w:val="center"/>
          </w:tcPr>
          <w:p w14:paraId="7CD1DE9A">
            <w:pPr>
              <w:pStyle w:val="84"/>
              <w:shd w:val="clear" w:color="auto" w:fill="FFFFFF"/>
              <w:spacing w:line="312" w:lineRule="auto"/>
              <w:ind w:left="0"/>
              <w:jc w:val="center"/>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专业课程类</w:t>
            </w:r>
          </w:p>
        </w:tc>
        <w:tc>
          <w:tcPr>
            <w:tcW w:w="7502" w:type="dxa"/>
            <w:vAlign w:val="center"/>
          </w:tcPr>
          <w:p w14:paraId="697B39D7">
            <w:pPr>
              <w:pStyle w:val="84"/>
              <w:shd w:val="clear" w:color="auto" w:fill="FFFFFF"/>
              <w:spacing w:line="312" w:lineRule="auto"/>
              <w:ind w:left="0"/>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涵盖合作设置专业、研发专业标准、开发课程体系、教学标准、教材及教学辅助产品等。申报时需提交专业建设方案、课程开发计划、教材编写大纲等。</w:t>
            </w:r>
          </w:p>
        </w:tc>
      </w:tr>
      <w:tr w14:paraId="4E30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76ADCDBC">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color w:val="000000"/>
                <w:sz w:val="24"/>
                <w:szCs w:val="24"/>
                <w:highlight w:val="none"/>
                <w:vertAlign w:val="baseline"/>
                <w:lang w:val="en-US" w:eastAsia="zh-CN"/>
              </w:rPr>
            </w:pPr>
            <w:r>
              <w:rPr>
                <w:rFonts w:hint="eastAsia" w:ascii="仿宋_GB2312" w:hAnsi="仿宋_GB2312" w:eastAsia="仿宋_GB2312" w:cs="仿宋_GB2312"/>
                <w:color w:val="000000"/>
                <w:sz w:val="24"/>
                <w:szCs w:val="24"/>
                <w:highlight w:val="none"/>
                <w:vertAlign w:val="baseline"/>
                <w:lang w:val="en-US" w:eastAsia="zh-CN"/>
              </w:rPr>
              <w:t>4</w:t>
            </w:r>
          </w:p>
        </w:tc>
        <w:tc>
          <w:tcPr>
            <w:tcW w:w="1437" w:type="dxa"/>
            <w:vAlign w:val="center"/>
          </w:tcPr>
          <w:p w14:paraId="52A472D8">
            <w:pPr>
              <w:pStyle w:val="84"/>
              <w:shd w:val="clear" w:color="auto" w:fill="FFFFFF"/>
              <w:spacing w:line="312" w:lineRule="auto"/>
              <w:ind w:left="0"/>
              <w:jc w:val="center"/>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实训基地类</w:t>
            </w:r>
          </w:p>
        </w:tc>
        <w:tc>
          <w:tcPr>
            <w:tcW w:w="7502" w:type="dxa"/>
            <w:vAlign w:val="center"/>
          </w:tcPr>
          <w:p w14:paraId="0C3A1347">
            <w:pPr>
              <w:pStyle w:val="84"/>
              <w:shd w:val="clear" w:color="auto" w:fill="FFFFFF"/>
              <w:spacing w:line="312" w:lineRule="auto"/>
              <w:ind w:left="0"/>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涵盖校内外实训基地、产教融合实践中心等建设类项目。申报时需提交基地建设方案、场地需求、设备投入清单等，系统自动关联资产管理模块。</w:t>
            </w:r>
          </w:p>
        </w:tc>
      </w:tr>
      <w:tr w14:paraId="5E7FB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3A781CF1">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color w:val="000000"/>
                <w:sz w:val="24"/>
                <w:szCs w:val="24"/>
                <w:highlight w:val="none"/>
                <w:vertAlign w:val="baseline"/>
                <w:lang w:val="en-US" w:eastAsia="zh-CN"/>
              </w:rPr>
            </w:pPr>
            <w:r>
              <w:rPr>
                <w:rFonts w:hint="eastAsia" w:ascii="仿宋_GB2312" w:hAnsi="仿宋_GB2312" w:eastAsia="仿宋_GB2312" w:cs="仿宋_GB2312"/>
                <w:color w:val="000000"/>
                <w:sz w:val="24"/>
                <w:szCs w:val="24"/>
                <w:highlight w:val="none"/>
                <w:vertAlign w:val="baseline"/>
                <w:lang w:val="en-US" w:eastAsia="zh-CN"/>
              </w:rPr>
              <w:t>5</w:t>
            </w:r>
          </w:p>
        </w:tc>
        <w:tc>
          <w:tcPr>
            <w:tcW w:w="1437" w:type="dxa"/>
            <w:vAlign w:val="center"/>
          </w:tcPr>
          <w:p w14:paraId="64187EAE">
            <w:pPr>
              <w:pStyle w:val="84"/>
              <w:shd w:val="clear" w:color="auto" w:fill="FFFFFF"/>
              <w:spacing w:line="312" w:lineRule="auto"/>
              <w:ind w:left="0"/>
              <w:jc w:val="center"/>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师资共建类</w:t>
            </w:r>
          </w:p>
        </w:tc>
        <w:tc>
          <w:tcPr>
            <w:tcW w:w="7502" w:type="dxa"/>
            <w:vAlign w:val="center"/>
          </w:tcPr>
          <w:p w14:paraId="4BCBB564">
            <w:pPr>
              <w:pStyle w:val="84"/>
              <w:shd w:val="clear" w:color="auto" w:fill="FFFFFF"/>
              <w:spacing w:line="312" w:lineRule="auto"/>
              <w:ind w:left="0"/>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涵盖人员互相兼职、教师实践、企业专家聘任、双师型教师培养等。申报时需提交师资共建计划、互聘人员名单、培养方案等。</w:t>
            </w:r>
          </w:p>
        </w:tc>
      </w:tr>
      <w:tr w14:paraId="0FFA5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5912A97F">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color w:val="000000"/>
                <w:sz w:val="24"/>
                <w:szCs w:val="24"/>
                <w:highlight w:val="none"/>
                <w:vertAlign w:val="baseline"/>
                <w:lang w:val="en-US" w:eastAsia="zh-CN"/>
              </w:rPr>
            </w:pPr>
            <w:r>
              <w:rPr>
                <w:rFonts w:hint="eastAsia" w:ascii="仿宋_GB2312" w:hAnsi="仿宋_GB2312" w:eastAsia="仿宋_GB2312" w:cs="仿宋_GB2312"/>
                <w:color w:val="000000"/>
                <w:sz w:val="24"/>
                <w:szCs w:val="24"/>
                <w:highlight w:val="none"/>
                <w:vertAlign w:val="baseline"/>
                <w:lang w:val="en-US" w:eastAsia="zh-CN"/>
              </w:rPr>
              <w:t>6</w:t>
            </w:r>
          </w:p>
        </w:tc>
        <w:tc>
          <w:tcPr>
            <w:tcW w:w="1437" w:type="dxa"/>
            <w:vAlign w:val="center"/>
          </w:tcPr>
          <w:p w14:paraId="2F1CCC79">
            <w:pPr>
              <w:pStyle w:val="84"/>
              <w:shd w:val="clear" w:color="auto" w:fill="FFFFFF"/>
              <w:spacing w:line="312" w:lineRule="auto"/>
              <w:ind w:left="0"/>
              <w:jc w:val="center"/>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科研创新类</w:t>
            </w:r>
          </w:p>
        </w:tc>
        <w:tc>
          <w:tcPr>
            <w:tcW w:w="7502" w:type="dxa"/>
            <w:vAlign w:val="center"/>
          </w:tcPr>
          <w:p w14:paraId="45F810EC">
            <w:pPr>
              <w:pStyle w:val="84"/>
              <w:shd w:val="clear" w:color="auto" w:fill="FFFFFF"/>
              <w:spacing w:line="312" w:lineRule="auto"/>
              <w:ind w:left="0"/>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涵盖校企合作技术开发、技术服务、技术咨询、技术转让，以及工程技术研究中心、重点实验室等科研平台建设。申报时需提交技术需求说明、科研基础、预期成果及知识产权归属方案等。</w:t>
            </w:r>
          </w:p>
        </w:tc>
      </w:tr>
      <w:tr w14:paraId="42F46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8" w:type="dxa"/>
            <w:vAlign w:val="center"/>
          </w:tcPr>
          <w:p w14:paraId="1B6855F7">
            <w:pPr>
              <w:pStyle w:val="84"/>
              <w:keepNext w:val="0"/>
              <w:keepLines w:val="0"/>
              <w:pageBreakBefore w:val="0"/>
              <w:widowControl w:val="0"/>
              <w:shd w:val="clear" w:color="auto" w:fill="FFFFFF"/>
              <w:kinsoku/>
              <w:wordWrap/>
              <w:overflowPunct/>
              <w:topLinePunct w:val="0"/>
              <w:autoSpaceDE/>
              <w:autoSpaceDN/>
              <w:bidi w:val="0"/>
              <w:adjustRightInd/>
              <w:snapToGrid/>
              <w:spacing w:line="312" w:lineRule="auto"/>
              <w:ind w:left="0"/>
              <w:jc w:val="center"/>
              <w:textAlignment w:val="auto"/>
              <w:outlineLvl w:val="9"/>
              <w:rPr>
                <w:rFonts w:ascii="仿宋_GB2312" w:hAnsi="仿宋_GB2312" w:eastAsia="仿宋_GB2312" w:cs="仿宋_GB2312"/>
                <w:color w:val="000000"/>
                <w:sz w:val="24"/>
                <w:szCs w:val="24"/>
                <w:highlight w:val="none"/>
                <w:vertAlign w:val="baseline"/>
                <w:lang w:val="en-US" w:eastAsia="zh-CN"/>
              </w:rPr>
            </w:pPr>
            <w:r>
              <w:rPr>
                <w:rFonts w:hint="eastAsia" w:ascii="仿宋_GB2312" w:hAnsi="仿宋_GB2312" w:eastAsia="仿宋_GB2312" w:cs="仿宋_GB2312"/>
                <w:color w:val="000000"/>
                <w:sz w:val="24"/>
                <w:szCs w:val="24"/>
                <w:highlight w:val="none"/>
                <w:vertAlign w:val="baseline"/>
                <w:lang w:val="en-US" w:eastAsia="zh-CN"/>
              </w:rPr>
              <w:t>7</w:t>
            </w:r>
          </w:p>
        </w:tc>
        <w:tc>
          <w:tcPr>
            <w:tcW w:w="1437" w:type="dxa"/>
            <w:vAlign w:val="center"/>
          </w:tcPr>
          <w:p w14:paraId="0DFAB61B">
            <w:pPr>
              <w:pStyle w:val="84"/>
              <w:shd w:val="clear" w:color="auto" w:fill="FFFFFF"/>
              <w:spacing w:line="312" w:lineRule="auto"/>
              <w:ind w:left="0"/>
              <w:jc w:val="center"/>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就业服务类</w:t>
            </w:r>
          </w:p>
        </w:tc>
        <w:tc>
          <w:tcPr>
            <w:tcW w:w="7502" w:type="dxa"/>
            <w:vAlign w:val="center"/>
          </w:tcPr>
          <w:p w14:paraId="0589EBE8">
            <w:pPr>
              <w:pStyle w:val="84"/>
              <w:shd w:val="clear" w:color="auto" w:fill="FFFFFF"/>
              <w:spacing w:line="312" w:lineRule="auto"/>
              <w:ind w:left="0"/>
              <w:outlineLvl w:val="9"/>
              <w:rPr>
                <w:rFonts w:ascii="仿宋_GB2312" w:hAnsi="仿宋_GB2312" w:eastAsia="仿宋_GB2312" w:cs="仿宋_GB2312"/>
                <w:color w:val="000000"/>
                <w:sz w:val="24"/>
                <w:szCs w:val="24"/>
                <w:highlight w:val="none"/>
                <w:vertAlign w:val="baseline"/>
                <w:lang w:val="en-US" w:eastAsia="zh-CN"/>
              </w:rPr>
            </w:pPr>
            <w:r>
              <w:rPr>
                <w:rFonts w:ascii="仿宋_GB2312" w:hAnsi="仿宋_GB2312" w:eastAsia="仿宋_GB2312" w:cs="仿宋_GB2312"/>
                <w:color w:val="000000"/>
                <w:sz w:val="24"/>
                <w:szCs w:val="24"/>
                <w:lang w:eastAsia="zh-CN"/>
              </w:rPr>
              <w:t>涵盖学生就业创业、员工培训、技能鉴定等社会服务类项目。申报时需提交服务方案、受益群体分析、预期社会效益等材料。</w:t>
            </w:r>
          </w:p>
        </w:tc>
      </w:tr>
    </w:tbl>
    <w:p w14:paraId="2547585D">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.4.2项目审查</w:t>
      </w:r>
    </w:p>
    <w:p w14:paraId="0AF4B6F8">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highlight w:val="none"/>
          <w:lang w:val="en-US" w:eastAsia="zh-CN"/>
        </w:rPr>
        <w:t>（1）</w:t>
      </w:r>
      <w:r>
        <w:rPr>
          <w:rFonts w:ascii="仿宋_GB2312" w:hAnsi="仿宋_GB2312" w:eastAsia="仿宋_GB2312" w:cs="仿宋_GB2312"/>
          <w:color w:val="000000"/>
          <w:sz w:val="28"/>
          <w:szCs w:val="28"/>
          <w:lang w:eastAsia="zh-CN"/>
        </w:rPr>
        <w:t>审查流程设置</w:t>
      </w:r>
    </w:p>
    <w:p w14:paraId="40B270B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职业学校办学情况统计系统项目按类型流转至产教融合工作办公室（发展规划处）。</w:t>
      </w:r>
      <w:r>
        <w:rPr>
          <w:rFonts w:hint="eastAsia" w:ascii="仿宋_GB2312" w:hAnsi="仿宋_GB2312" w:eastAsia="仿宋_GB2312" w:cs="仿宋_GB2312"/>
          <w:color w:val="000000"/>
          <w:sz w:val="28"/>
          <w:szCs w:val="28"/>
          <w:lang w:eastAsia="zh-CN"/>
        </w:rPr>
        <w:t>要求</w:t>
      </w:r>
      <w:r>
        <w:rPr>
          <w:rFonts w:ascii="仿宋_GB2312" w:hAnsi="仿宋_GB2312" w:eastAsia="仿宋_GB2312" w:cs="仿宋_GB2312"/>
          <w:color w:val="000000"/>
          <w:sz w:val="28"/>
          <w:szCs w:val="28"/>
          <w:lang w:eastAsia="zh-CN"/>
        </w:rPr>
        <w:t>根据《西安铁路职业技术学院</w:t>
      </w:r>
      <w:r>
        <w:rPr>
          <w:rFonts w:hint="eastAsia" w:ascii="仿宋_GB2312" w:hAnsi="仿宋_GB2312" w:eastAsia="仿宋_GB2312" w:cs="仿宋_GB2312"/>
          <w:color w:val="000000"/>
          <w:sz w:val="28"/>
          <w:szCs w:val="28"/>
          <w:lang w:val="en-US" w:eastAsia="zh-CN"/>
        </w:rPr>
        <w:t>产教融合</w:t>
      </w:r>
      <w:r>
        <w:rPr>
          <w:rFonts w:ascii="仿宋_GB2312" w:hAnsi="仿宋_GB2312" w:eastAsia="仿宋_GB2312" w:cs="仿宋_GB2312"/>
          <w:color w:val="000000"/>
          <w:sz w:val="28"/>
          <w:szCs w:val="28"/>
          <w:lang w:eastAsia="zh-CN"/>
        </w:rPr>
        <w:t>项目管理办法》第八条，项目审查流程配置如下：申报单位内部初审（党政联席会议/部门会议集体决议）→产教融合工作办公室初审（完整性、规范性和合规性）→专家组评审论证→产教融合工作领导小组审议→（涉及混合所有制等重大改革事项）党委会研究决定。平台支持自定义多级审查节点配置。</w:t>
      </w:r>
    </w:p>
    <w:p w14:paraId="692334A3">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w:t>
      </w:r>
      <w:r>
        <w:rPr>
          <w:rFonts w:ascii="仿宋_GB2312" w:hAnsi="仿宋_GB2312" w:eastAsia="仿宋_GB2312" w:cs="仿宋_GB2312"/>
          <w:color w:val="000000"/>
          <w:sz w:val="28"/>
          <w:szCs w:val="28"/>
          <w:lang w:eastAsia="zh-CN"/>
        </w:rPr>
        <w:t>评审专家库建立</w:t>
      </w:r>
    </w:p>
    <w:p w14:paraId="100E457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建立并维护职业学校办学情况统计系统项目评审专家库，以支撑各类项目的公正、高效、专业评审。</w:t>
      </w:r>
      <w:r>
        <w:rPr>
          <w:rFonts w:hint="eastAsia" w:ascii="仿宋_GB2312" w:hAnsi="仿宋_GB2312" w:eastAsia="仿宋_GB2312" w:cs="仿宋_GB2312"/>
          <w:color w:val="000000"/>
          <w:sz w:val="28"/>
          <w:szCs w:val="28"/>
          <w:lang w:eastAsia="zh-CN"/>
        </w:rPr>
        <w:t>要求</w:t>
      </w:r>
      <w:r>
        <w:rPr>
          <w:rFonts w:ascii="仿宋_GB2312" w:hAnsi="仿宋_GB2312" w:eastAsia="仿宋_GB2312" w:cs="仿宋_GB2312"/>
          <w:color w:val="000000"/>
          <w:sz w:val="28"/>
          <w:szCs w:val="28"/>
          <w:lang w:eastAsia="zh-CN"/>
        </w:rPr>
        <w:t>根据《西安铁路职业技术学院</w:t>
      </w:r>
      <w:r>
        <w:rPr>
          <w:rFonts w:hint="eastAsia" w:ascii="仿宋_GB2312" w:hAnsi="仿宋_GB2312" w:eastAsia="仿宋_GB2312" w:cs="仿宋_GB2312"/>
          <w:color w:val="000000"/>
          <w:sz w:val="28"/>
          <w:szCs w:val="28"/>
          <w:lang w:val="en-US" w:eastAsia="zh-CN"/>
        </w:rPr>
        <w:t>产教融合</w:t>
      </w:r>
      <w:r>
        <w:rPr>
          <w:rFonts w:ascii="仿宋_GB2312" w:hAnsi="仿宋_GB2312" w:eastAsia="仿宋_GB2312" w:cs="仿宋_GB2312"/>
          <w:color w:val="000000"/>
          <w:sz w:val="28"/>
          <w:szCs w:val="28"/>
          <w:lang w:eastAsia="zh-CN"/>
        </w:rPr>
        <w:t>项目管理办法》第八条，校外专家不少于专家总数的三分之二。支持批量导入、专家本人通过邀请链接在线注册填报、从学校现有专家库中信息同步等多种方式建立专家库信息；支持录入和维护专家的基本信息（姓名、单位、职务/职称）、专业领域（关联至上述七类项目类型下的细分方向）、评审经历、联系方式等，支持专家在线更新个人信息。</w:t>
      </w:r>
    </w:p>
    <w:p w14:paraId="1E3A5446">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w:t>
      </w:r>
      <w:r>
        <w:rPr>
          <w:rFonts w:ascii="仿宋_GB2312" w:hAnsi="仿宋_GB2312" w:eastAsia="仿宋_GB2312" w:cs="仿宋_GB2312"/>
          <w:color w:val="000000"/>
          <w:sz w:val="28"/>
          <w:szCs w:val="28"/>
          <w:lang w:eastAsia="zh-CN"/>
        </w:rPr>
        <w:t>专家评审论证</w:t>
      </w:r>
    </w:p>
    <w:p w14:paraId="5C87891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支持发起项目评审时，根据项目类型、专家领域等选择符合条件的专家参与项目评审；支持在线邀请专家对项目进行线上或线下评审，重点评审项目的必要性、可行性、创新性、预期效益；支持在线查看项目申请材料、填写论证</w:t>
      </w:r>
      <w:r>
        <w:rPr>
          <w:rFonts w:ascii="仿宋_GB2312" w:hAnsi="仿宋_GB2312" w:eastAsia="仿宋_GB2312" w:cs="仿宋_GB2312"/>
          <w:color w:val="000000"/>
          <w:sz w:val="28"/>
          <w:szCs w:val="28"/>
          <w:highlight w:val="none"/>
          <w:lang w:val="en-US" w:eastAsia="zh-CN"/>
        </w:rPr>
        <w:t>意见并提交最终评审结论。</w:t>
      </w:r>
    </w:p>
    <w:p w14:paraId="7888C5A7">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（4）</w:t>
      </w:r>
      <w:r>
        <w:rPr>
          <w:rFonts w:ascii="仿宋_GB2312" w:hAnsi="仿宋_GB2312" w:eastAsia="仿宋_GB2312" w:cs="仿宋_GB2312"/>
          <w:color w:val="000000"/>
          <w:sz w:val="28"/>
          <w:szCs w:val="28"/>
          <w:highlight w:val="none"/>
          <w:lang w:val="en-US" w:eastAsia="zh-CN"/>
        </w:rPr>
        <w:t>审查信息通知</w:t>
      </w:r>
    </w:p>
    <w:p w14:paraId="43C6E38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支持在线发布审查通知，如通讯评审、集中评审、实地考察等，让项目申报单位及时收到审查通知；支持产教融合工作办公室一键向项目申报单位反馈评审意见及结论。若需复核的项目，由项目申报单位整改后重新提交复核。</w:t>
      </w:r>
    </w:p>
    <w:p w14:paraId="2311E1E6">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（5）</w:t>
      </w:r>
      <w:r>
        <w:rPr>
          <w:rFonts w:ascii="仿宋_GB2312" w:hAnsi="仿宋_GB2312" w:eastAsia="仿宋_GB2312" w:cs="仿宋_GB2312"/>
          <w:color w:val="000000"/>
          <w:sz w:val="28"/>
          <w:szCs w:val="28"/>
          <w:lang w:eastAsia="zh-CN"/>
        </w:rPr>
        <w:t>审查结果记录</w:t>
      </w:r>
    </w:p>
    <w:p w14:paraId="44314BA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支持归口管理部门和评审专家在线批注、驳回、退回修改等操作；支持在线记录合规性审查、项目评审、意见反馈和异议处理的全过程；支持评审组在线填写论证意见、上传相关项目文件。</w:t>
      </w:r>
    </w:p>
    <w:p w14:paraId="731D77F2">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（6）</w:t>
      </w:r>
      <w:r>
        <w:rPr>
          <w:rFonts w:ascii="仿宋_GB2312" w:hAnsi="仿宋_GB2312" w:eastAsia="仿宋_GB2312" w:cs="仿宋_GB2312"/>
          <w:color w:val="000000"/>
          <w:sz w:val="28"/>
          <w:szCs w:val="28"/>
          <w:lang w:eastAsia="zh-CN"/>
        </w:rPr>
        <w:t>审查结果流转</w:t>
      </w:r>
    </w:p>
    <w:p w14:paraId="7245060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审查通过的项目</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由产教融合工作办公室统一编号，正式立项，自动进入“项目储备库”；复核逾期或未通过复核的，项目自动进入“项目淘汰库”，不得进入下一程序。共建市域产教联合体、行业产教融合共同体、产业学院等项目须在立项后按上级要求报备</w:t>
      </w:r>
      <w:r>
        <w:rPr>
          <w:rFonts w:ascii="仿宋_GB2312" w:hAnsi="仿宋_GB2312" w:eastAsia="仿宋_GB2312" w:cs="仿宋_GB2312"/>
          <w:color w:val="000000"/>
          <w:sz w:val="28"/>
          <w:szCs w:val="28"/>
          <w:highlight w:val="none"/>
          <w:lang w:val="en-US" w:eastAsia="zh-CN"/>
        </w:rPr>
        <w:t>。</w:t>
      </w:r>
    </w:p>
    <w:p w14:paraId="0E3AF65D">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.4.3项目入库与储备管理</w:t>
      </w:r>
    </w:p>
    <w:p w14:paraId="6CFD8F0A">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w:t>
      </w:r>
      <w:r>
        <w:rPr>
          <w:rFonts w:ascii="仿宋_GB2312" w:hAnsi="仿宋_GB2312" w:eastAsia="仿宋_GB2312" w:cs="仿宋_GB2312"/>
          <w:color w:val="000000"/>
          <w:sz w:val="28"/>
          <w:szCs w:val="28"/>
          <w:lang w:eastAsia="zh-CN"/>
        </w:rPr>
        <w:t>项目储备库管理</w:t>
      </w:r>
    </w:p>
    <w:p w14:paraId="436E256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支持在线设置“职业学校办学情况统计系统项目储备库”的管理权限；支持在线汇总项目申报与审查全流程的数据与文本资料；支持自动发布项目入库公示，并记录公示起止时间。</w:t>
      </w:r>
    </w:p>
    <w:p w14:paraId="17F69EB9">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w:t>
      </w:r>
      <w:r>
        <w:rPr>
          <w:rFonts w:ascii="仿宋_GB2312" w:hAnsi="仿宋_GB2312" w:eastAsia="仿宋_GB2312" w:cs="仿宋_GB2312"/>
          <w:color w:val="000000"/>
          <w:sz w:val="28"/>
          <w:szCs w:val="28"/>
          <w:lang w:eastAsia="zh-CN"/>
        </w:rPr>
        <w:t>项目库动态管理</w:t>
      </w:r>
    </w:p>
    <w:p w14:paraId="476A629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支持对职业学校办学情况统计系统项目储备库进行开放式动态管理。支持设置项目库的定期清理规则，对长期未实质性推进的项目进行识别与清理；经产教融合工作办公室确认后，将其移入“项目淘汰库”，并记录清理原因与时间；支持对保留在储备库中的项目进行内容更新与版本管理，项目更新后，支持将其状态自动或手动标记为下一年度的储备项目，进入新一轮的申报准备周期</w:t>
      </w:r>
      <w:r>
        <w:rPr>
          <w:rFonts w:ascii="仿宋_GB2312" w:hAnsi="仿宋_GB2312" w:eastAsia="仿宋_GB2312" w:cs="仿宋_GB2312"/>
          <w:color w:val="000000"/>
          <w:sz w:val="28"/>
          <w:szCs w:val="28"/>
          <w:highlight w:val="none"/>
          <w:lang w:val="en-US" w:eastAsia="zh-CN"/>
        </w:rPr>
        <w:t>。</w:t>
      </w:r>
    </w:p>
    <w:p w14:paraId="5D228720">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highlight w:val="none"/>
          <w:lang w:val="en-US" w:eastAsia="zh-CN"/>
        </w:rPr>
        <w:t>（3）</w:t>
      </w:r>
      <w:r>
        <w:rPr>
          <w:rFonts w:ascii="仿宋_GB2312" w:hAnsi="仿宋_GB2312" w:eastAsia="仿宋_GB2312" w:cs="仿宋_GB2312"/>
          <w:color w:val="000000"/>
          <w:sz w:val="28"/>
          <w:szCs w:val="28"/>
          <w:lang w:eastAsia="zh-CN"/>
        </w:rPr>
        <w:t>项目查询与统计</w:t>
      </w:r>
    </w:p>
    <w:p w14:paraId="08F2608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支持多维度（如项目类型、状态、年份、申报单位等）查询与检索职业学校办学情况统计系统项目储备库和项目淘汰库中的项目；支持对项目库的总量、结构、状态变迁等情况进行可视化统计与分析，为管理决策提供数据参考</w:t>
      </w:r>
      <w:r>
        <w:rPr>
          <w:rFonts w:ascii="仿宋_GB2312" w:hAnsi="仿宋_GB2312" w:eastAsia="仿宋_GB2312" w:cs="仿宋_GB2312"/>
          <w:color w:val="000000"/>
          <w:sz w:val="28"/>
          <w:szCs w:val="28"/>
          <w:highlight w:val="none"/>
          <w:lang w:val="en-US" w:eastAsia="zh-CN"/>
        </w:rPr>
        <w:t>。</w:t>
      </w:r>
    </w:p>
    <w:p w14:paraId="6F1491BF">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.4.4项目立项</w:t>
      </w:r>
    </w:p>
    <w:p w14:paraId="76506AC1">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highlight w:val="none"/>
          <w:lang w:val="en-US" w:eastAsia="zh-CN"/>
        </w:rPr>
        <w:t>（1）</w:t>
      </w:r>
      <w:r>
        <w:rPr>
          <w:rFonts w:ascii="仿宋_GB2312" w:hAnsi="仿宋_GB2312" w:eastAsia="仿宋_GB2312" w:cs="仿宋_GB2312"/>
          <w:color w:val="000000"/>
          <w:sz w:val="28"/>
          <w:szCs w:val="28"/>
          <w:lang w:eastAsia="zh-CN"/>
        </w:rPr>
        <w:t>立项流程管理</w:t>
      </w:r>
    </w:p>
    <w:p w14:paraId="0C79B70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立项推荐：支持产教融合工作办公室根据学院产教融合发展规划、年度工作重点、资金预算额度以及项目的优先级，逐年从“项目储备库”中筛选立项项目，并支持在线批注说明推荐原因。</w:t>
      </w:r>
    </w:p>
    <w:p w14:paraId="090D50D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项目审定：支持产教融合工作领导小组在线审议立项项目；涉及混合所有制等重大改革事项的项目，须经党委会研究决定。平台支持在线记录审定结果，审定通过的项目状态从“储备库”正式转入“立项库”，并记录立项时间与立项批次。</w:t>
      </w:r>
    </w:p>
    <w:p w14:paraId="69E795A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立项通知下达：针对“立项库”的项目，支持产教融合工作办公室在线向项目申报单位下达正式的立项通知，并支持通知的归档与查询。</w:t>
      </w:r>
    </w:p>
    <w:p w14:paraId="3C4086FC">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w:t>
      </w:r>
      <w:r>
        <w:rPr>
          <w:rFonts w:ascii="仿宋_GB2312" w:hAnsi="仿宋_GB2312" w:eastAsia="仿宋_GB2312" w:cs="仿宋_GB2312"/>
          <w:color w:val="000000"/>
          <w:sz w:val="28"/>
          <w:szCs w:val="28"/>
          <w:lang w:eastAsia="zh-CN"/>
        </w:rPr>
        <w:t>协议管理</w:t>
      </w:r>
    </w:p>
    <w:p w14:paraId="237053C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平台支持对立项项目进行协议签订全流程电子化管理。协议由项目承担部门负责起草，产教融合工作办公室提供格式文本指导。协议签订前须经学院法律顾问审核。支持在线提交协议草案、法律顾问审核、授权代表签署、协议备案登记。协议到期后如需续约，双方须重新履行项目申报、审核、立项流程。协议签订完成后，项目状态自动更新为“实施中”</w:t>
      </w:r>
      <w:r>
        <w:rPr>
          <w:rFonts w:ascii="仿宋_GB2312" w:hAnsi="仿宋_GB2312" w:eastAsia="仿宋_GB2312" w:cs="仿宋_GB2312"/>
          <w:color w:val="000000"/>
          <w:sz w:val="28"/>
          <w:szCs w:val="28"/>
          <w:highlight w:val="none"/>
          <w:lang w:val="en-US" w:eastAsia="zh-CN"/>
        </w:rPr>
        <w:t>。</w:t>
      </w:r>
    </w:p>
    <w:p w14:paraId="322B518E">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.4.5项目实施与过程管理</w:t>
      </w:r>
    </w:p>
    <w:p w14:paraId="0C97F991">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highlight w:val="none"/>
          <w:lang w:val="en-US" w:eastAsia="zh-CN"/>
        </w:rPr>
        <w:t>（1）</w:t>
      </w:r>
      <w:r>
        <w:rPr>
          <w:rFonts w:ascii="仿宋_GB2312" w:hAnsi="仿宋_GB2312" w:eastAsia="仿宋_GB2312" w:cs="仿宋_GB2312"/>
          <w:color w:val="000000"/>
          <w:sz w:val="28"/>
          <w:szCs w:val="28"/>
          <w:lang w:eastAsia="zh-CN"/>
        </w:rPr>
        <w:t>项目启动与组织</w:t>
      </w:r>
    </w:p>
    <w:p w14:paraId="0ED61AC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项目进入实施阶段后，支持项目实施负责人/单位在协议生效后一个月内在线确认项目启动。支持在线组建校企联合项目管理小组；支持建立例会制度，统筹项目实施、沟通协调、问题处置。</w:t>
      </w:r>
    </w:p>
    <w:p w14:paraId="11477F31">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w:t>
      </w:r>
      <w:r>
        <w:rPr>
          <w:rFonts w:ascii="仿宋_GB2312" w:hAnsi="仿宋_GB2312" w:eastAsia="仿宋_GB2312" w:cs="仿宋_GB2312"/>
          <w:color w:val="000000"/>
          <w:sz w:val="28"/>
          <w:szCs w:val="28"/>
          <w:lang w:eastAsia="zh-CN"/>
        </w:rPr>
        <w:t>项目实施与监控</w:t>
      </w:r>
    </w:p>
    <w:p w14:paraId="26B8D6F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支持项目实施负责人/单位在线更新项目进度、上传阶段性成果与佐证材料、填报资源投入情况等；支持产教融合工作办公室对所有在实施项目进行全过程监督，重点核查合作协议履行情况、资金使用合规性、项目进度与质量达标情况。</w:t>
      </w:r>
    </w:p>
    <w:p w14:paraId="1FF2EF2D">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支持产教融合工作办公室及归口管理部门在线向项目实施负责人/单位发送工作提醒、督办通知，并跟踪通知的接收与反馈情况；支持项目负责人定期在线提交校企工作例会纪要。</w:t>
      </w:r>
    </w:p>
    <w:p w14:paraId="28D1AF1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平台</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提供项目监控看板，实时展示项目进度、资源到位率、风险预警等信息。《立项申请与论证报告》《投入情况表》和《合作协议》作为项目实施、检查、验收的法定依据。</w:t>
      </w:r>
    </w:p>
    <w:p w14:paraId="205C68EB">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w:t>
      </w:r>
      <w:r>
        <w:rPr>
          <w:rFonts w:ascii="仿宋_GB2312" w:hAnsi="仿宋_GB2312" w:eastAsia="仿宋_GB2312" w:cs="仿宋_GB2312"/>
          <w:color w:val="000000"/>
          <w:sz w:val="28"/>
          <w:szCs w:val="28"/>
          <w:lang w:eastAsia="zh-CN"/>
        </w:rPr>
        <w:t>重大变更管理</w:t>
      </w:r>
    </w:p>
    <w:p w14:paraId="5FB5FFF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项目合作内容、经费、场地、核心人员发生重大变更时，支持项目承担部门在线提交书面变更申请，经原审批部门书面同意后方可执行。系统自动记录变更审批全流程，未经审批私自变更的，由部门负责人、项目负责人承担全部责任</w:t>
      </w:r>
      <w:r>
        <w:rPr>
          <w:rFonts w:ascii="仿宋_GB2312" w:hAnsi="仿宋_GB2312" w:eastAsia="仿宋_GB2312" w:cs="仿宋_GB2312"/>
          <w:color w:val="000000"/>
          <w:sz w:val="28"/>
          <w:szCs w:val="28"/>
          <w:highlight w:val="none"/>
          <w:lang w:val="en-US" w:eastAsia="zh-CN"/>
        </w:rPr>
        <w:t>。</w:t>
      </w:r>
    </w:p>
    <w:p w14:paraId="342B5678">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w:t>
      </w:r>
      <w:r>
        <w:rPr>
          <w:rFonts w:ascii="仿宋_GB2312" w:hAnsi="仿宋_GB2312" w:eastAsia="仿宋_GB2312" w:cs="仿宋_GB2312"/>
          <w:b/>
          <w:bCs/>
          <w:color w:val="000000"/>
          <w:sz w:val="28"/>
          <w:szCs w:val="28"/>
          <w:highlight w:val="none"/>
          <w:lang w:val="en-US" w:eastAsia="zh-CN"/>
        </w:rPr>
        <w:t>.4.6项目考核、退出与归档</w:t>
      </w:r>
    </w:p>
    <w:p w14:paraId="2FDD190E">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w:t>
      </w:r>
      <w:r>
        <w:rPr>
          <w:rFonts w:ascii="仿宋_GB2312" w:hAnsi="仿宋_GB2312" w:eastAsia="仿宋_GB2312" w:cs="仿宋_GB2312"/>
          <w:color w:val="000000"/>
          <w:sz w:val="28"/>
          <w:szCs w:val="28"/>
          <w:highlight w:val="none"/>
          <w:lang w:val="en-US" w:eastAsia="zh-CN"/>
        </w:rPr>
        <w:t>年度考核管理</w:t>
      </w:r>
    </w:p>
    <w:p w14:paraId="555EA1F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平台支持对所有职业学校办学情况统计系统项目实施年度考核制度。支持项目实施负责人/单位在线提交《职业学校办学情况统计系统项目成效报告》，经部门负责人审核后提交产教融合工作办公室。</w:t>
      </w:r>
    </w:p>
    <w:p w14:paraId="2957A8F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支持产教融合工作办公室通过听取汇报、查阅资料、实地核查、师生和企业访谈等方式在线开展考核；考核结论分为通过、不通过两类。系统预设考核不通过的六种情形（未按协议履约、合作方未按承诺投入、预期成效完全未达成、考核材料虚假、发生安全事故、泄露保密信息）。考核不通过的项目，给予整改期，支持在线提交整改报告与复核申请。</w:t>
      </w:r>
    </w:p>
    <w:p w14:paraId="39EAC033">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w:t>
      </w:r>
      <w:r>
        <w:rPr>
          <w:rFonts w:ascii="仿宋_GB2312" w:hAnsi="仿宋_GB2312" w:eastAsia="仿宋_GB2312" w:cs="仿宋_GB2312"/>
          <w:color w:val="000000"/>
          <w:sz w:val="28"/>
          <w:szCs w:val="28"/>
          <w:lang w:eastAsia="zh-CN"/>
        </w:rPr>
        <w:t>项目验收管理</w:t>
      </w:r>
    </w:p>
    <w:p w14:paraId="4720359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项目期满或完成既定目标后，支持项目团队在线整理验收材料、提交验收申请。支持产教融合工作办公室组织联合验收工作组，通过资料审查、现场考察、成果演示等方式进行验收。重点项目的验收结论须报产教融合工作领导小组审定。</w:t>
      </w:r>
    </w:p>
    <w:p w14:paraId="0A527528">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w:t>
      </w:r>
      <w:r>
        <w:rPr>
          <w:rFonts w:ascii="仿宋_GB2312" w:hAnsi="仿宋_GB2312" w:eastAsia="仿宋_GB2312" w:cs="仿宋_GB2312"/>
          <w:color w:val="000000"/>
          <w:sz w:val="28"/>
          <w:szCs w:val="28"/>
          <w:lang w:eastAsia="zh-CN"/>
        </w:rPr>
        <w:t>项目退出管理</w:t>
      </w:r>
    </w:p>
    <w:p w14:paraId="27E4D2D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支持启动项目退出程序（协议单方解除、年度考核整改不合格、企业主动申请撤场、违规经营等需强制清退情形）。退出流程支持在线办理：资产清算→场地清退→手续办理→责任划分→学生安置。支持在线填写《职业学校办学情况统计系统项目退出申请表》。</w:t>
      </w:r>
    </w:p>
    <w:p w14:paraId="5C412635">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（4）</w:t>
      </w:r>
      <w:r>
        <w:rPr>
          <w:rFonts w:ascii="仿宋_GB2312" w:hAnsi="仿宋_GB2312" w:eastAsia="仿宋_GB2312" w:cs="仿宋_GB2312"/>
          <w:color w:val="000000"/>
          <w:sz w:val="28"/>
          <w:szCs w:val="28"/>
          <w:lang w:eastAsia="zh-CN"/>
        </w:rPr>
        <w:t>项目数字档案</w:t>
      </w:r>
    </w:p>
    <w:p w14:paraId="765E7E6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支持在职业学校办学情况统计系统项目申报、审查、立项、实施、考核、退出全过程中，在线上传并留存各类过程资料。项目实行一项一档、全程归档、分类整理、集中保管、闭环留存。归档范围包括：立项申报类、签约协议类、实施过程类、经费资产类、考核成效类、退出终结类及其他配套佐证资料</w:t>
      </w:r>
      <w:r>
        <w:rPr>
          <w:rFonts w:ascii="仿宋_GB2312" w:hAnsi="仿宋_GB2312" w:eastAsia="仿宋_GB2312" w:cs="仿宋_GB2312"/>
          <w:color w:val="000000"/>
          <w:sz w:val="28"/>
          <w:szCs w:val="28"/>
          <w:highlight w:val="none"/>
          <w:lang w:val="en-US" w:eastAsia="zh-CN"/>
        </w:rPr>
        <w:t>。</w:t>
      </w:r>
    </w:p>
    <w:p w14:paraId="76F5F9B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立项、签约资料在审批完成后归档；月度、季度过程资料在年末统一汇总归档；年度考核资料在考核结束后归档；项目终止、退出资料在办结后归档。归档标准：按照项目编号分类归档，需标注项目基本信息；涉密档案单独立卷。资料按申报→审核→立项→签约→实施→考核→退出顺序装订。电子档案统一为PDF格式，与纸质资料一一对应，双备份存储。建立全校项目档案总台账，实行动态管理。</w:t>
      </w:r>
    </w:p>
    <w:p w14:paraId="664107C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支持在项目完成退出与资料归档后，由系统自动或经管理员确认，将其状态从“立项库”转入“完工库”，标志项目全生命周期闭环。“项目完工库”按照项目类型分类，点击项目名称，可查看该项目从申报、审查、立项、协议签订、实施、考核到退出的全流程节点信息、审查记录、专家意见、会议纪要、合作协议、成效报告、验收报告及相关佐证材料，形成完整的项目数字档案。涉密项目档案单独归档，严格管控借阅权限</w:t>
      </w:r>
      <w:r>
        <w:rPr>
          <w:rFonts w:ascii="仿宋_GB2312" w:hAnsi="仿宋_GB2312" w:eastAsia="仿宋_GB2312" w:cs="仿宋_GB2312"/>
          <w:color w:val="000000"/>
          <w:sz w:val="28"/>
          <w:szCs w:val="28"/>
          <w:highlight w:val="none"/>
          <w:lang w:val="en-US" w:eastAsia="zh-CN"/>
        </w:rPr>
        <w:t>。</w:t>
      </w:r>
    </w:p>
    <w:p w14:paraId="587E21C1">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1.5</w:t>
      </w:r>
      <w:r>
        <w:rPr>
          <w:rFonts w:hint="eastAsia" w:ascii="仿宋_GB2312" w:hAnsi="仿宋_GB2312" w:eastAsia="仿宋_GB2312" w:cs="仿宋_GB2312"/>
          <w:b/>
          <w:bCs/>
          <w:color w:val="000000"/>
          <w:sz w:val="28"/>
          <w:szCs w:val="28"/>
          <w:lang w:val="en-US" w:eastAsia="zh-CN"/>
        </w:rPr>
        <w:t>职业学校办学情况统计系统项目</w:t>
      </w:r>
      <w:r>
        <w:rPr>
          <w:rFonts w:hint="eastAsia" w:ascii="仿宋_GB2312" w:hAnsi="仿宋_GB2312" w:eastAsia="仿宋_GB2312" w:cs="仿宋_GB2312"/>
          <w:b/>
          <w:bCs/>
          <w:color w:val="000000"/>
          <w:sz w:val="28"/>
          <w:szCs w:val="28"/>
          <w:highlight w:val="none"/>
          <w:lang w:val="en-US" w:eastAsia="zh-CN"/>
        </w:rPr>
        <w:t>任务管理模块</w:t>
      </w:r>
      <w:bookmarkEnd w:id="19"/>
      <w:bookmarkEnd w:id="20"/>
    </w:p>
    <w:p w14:paraId="658D2454">
      <w:pPr>
        <w:pStyle w:val="84"/>
        <w:shd w:val="clear" w:color="auto" w:fill="FFFFFF"/>
        <w:spacing w:line="312" w:lineRule="auto"/>
        <w:ind w:left="0" w:firstLine="560" w:firstLineChars="200"/>
        <w:jc w:val="both"/>
        <w:outlineLvl w:val="9"/>
        <w:rPr>
          <w:color w:val="000000"/>
          <w:highlight w:val="none"/>
          <w:lang w:val="en-US" w:eastAsia="zh-CN"/>
        </w:rPr>
      </w:pPr>
      <w:r>
        <w:rPr>
          <w:rFonts w:ascii="仿宋_GB2312" w:hAnsi="仿宋_GB2312" w:eastAsia="仿宋_GB2312" w:cs="仿宋_GB2312"/>
          <w:color w:val="000000"/>
          <w:sz w:val="28"/>
          <w:szCs w:val="28"/>
          <w:lang w:eastAsia="zh-CN"/>
        </w:rPr>
        <w:t>建设职业学校办学情况统计系统项目</w:t>
      </w:r>
      <w:r>
        <w:rPr>
          <w:rFonts w:hint="eastAsia" w:ascii="仿宋_GB2312" w:hAnsi="仿宋_GB2312" w:eastAsia="仿宋_GB2312" w:cs="仿宋_GB2312"/>
          <w:color w:val="000000"/>
          <w:sz w:val="28"/>
          <w:szCs w:val="28"/>
          <w:lang w:eastAsia="zh-CN"/>
        </w:rPr>
        <w:t>任务管理模块</w:t>
      </w:r>
      <w:r>
        <w:rPr>
          <w:rFonts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lang w:eastAsia="zh-CN"/>
        </w:rPr>
        <w:t>需要实</w:t>
      </w:r>
      <w:r>
        <w:rPr>
          <w:rFonts w:ascii="仿宋_GB2312" w:hAnsi="仿宋_GB2312" w:eastAsia="仿宋_GB2312" w:cs="仿宋_GB2312"/>
          <w:color w:val="000000"/>
          <w:sz w:val="28"/>
          <w:szCs w:val="28"/>
          <w:lang w:eastAsia="zh-CN"/>
        </w:rPr>
        <w:t>现职业学校办学情况统计系统项目从项目申报到全流程一站式管理的无缝衔接，提高项目管理效率和全流程监控，辅助政行校企各方用户高效推进职业学校办学情况统计系统项目建设实施。在职业学校办学情况统计系统项目建设过程中，</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支持将每个项目的建设任务细化分解，分配给学校方及企业方对应的任务负责人，明确各方职责以及每项任务的完成时间节点，并实时监控任务开展进度，对任务进度、质量、资金及绩效等关键要素进行多层级、精细化管控，确保每项任务都能按时按质完成。系统</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支持自动归档项目建设所有过程性与成果性材料，支持一键打包下载，极大减轻资料整理负担，提升管理效率</w:t>
      </w:r>
      <w:r>
        <w:rPr>
          <w:rFonts w:ascii="仿宋_GB2312" w:hAnsi="仿宋_GB2312" w:eastAsia="仿宋_GB2312" w:cs="仿宋_GB2312"/>
          <w:color w:val="000000"/>
          <w:sz w:val="28"/>
          <w:szCs w:val="28"/>
          <w:highlight w:val="none"/>
          <w:lang w:val="en-US" w:eastAsia="zh-CN"/>
        </w:rPr>
        <w:t>。</w:t>
      </w:r>
    </w:p>
    <w:p w14:paraId="54EBE0CB">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21" w:name="_Toc31182"/>
      <w:bookmarkStart w:id="22" w:name="_Toc30765"/>
      <w:r>
        <w:rPr>
          <w:rFonts w:hint="eastAsia" w:ascii="仿宋_GB2312" w:hAnsi="仿宋_GB2312" w:eastAsia="仿宋_GB2312" w:cs="仿宋_GB2312"/>
          <w:b/>
          <w:bCs/>
          <w:color w:val="000000"/>
          <w:sz w:val="28"/>
          <w:szCs w:val="28"/>
          <w:highlight w:val="none"/>
          <w:lang w:val="en-US" w:eastAsia="zh-CN"/>
        </w:rPr>
        <w:t>1.5.1项目管理</w:t>
      </w:r>
      <w:bookmarkEnd w:id="21"/>
      <w:bookmarkEnd w:id="22"/>
    </w:p>
    <w:p w14:paraId="0F49C40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本模块集中管理职业学校办学情况统计系统项目建设任务，需要支持查看每项任务的详细信息，包括任务基本信息、任务目标（含任务要点、标志性成果、绩效指标与建设资金）、项目台账、数据看板、佐证材料及相关设置。</w:t>
      </w:r>
    </w:p>
    <w:p w14:paraId="274E6621">
      <w:pPr>
        <w:pStyle w:val="84"/>
        <w:shd w:val="clear" w:color="auto" w:fill="FFFFFF"/>
        <w:spacing w:line="312" w:lineRule="auto"/>
        <w:ind w:left="0" w:firstLine="560" w:firstLineChars="200"/>
        <w:jc w:val="both"/>
        <w:outlineLvl w:val="9"/>
        <w:rPr>
          <w:rFonts w:hint="eastAsia"/>
          <w:color w:val="000000"/>
          <w:highlight w:val="none"/>
          <w:lang w:val="en-US" w:eastAsia="zh-CN"/>
        </w:rPr>
      </w:pPr>
      <w:r>
        <w:rPr>
          <w:rFonts w:hint="eastAsia" w:ascii="仿宋_GB2312" w:hAnsi="仿宋_GB2312" w:eastAsia="仿宋_GB2312" w:cs="仿宋_GB2312"/>
          <w:color w:val="000000"/>
          <w:sz w:val="28"/>
          <w:szCs w:val="28"/>
          <w:lang w:eastAsia="zh-CN"/>
        </w:rPr>
        <w:t>平台需要支持自定义建设项目（如“行业产教融合共同体”“市域产教联合体”“产业学院”“产教融合实践中心”等），满足学校个性化管理需求。所有项目数据均支持批量导入，可快速完成任务、目标、成果、绩效、材料及资金的初始化录入，大幅提升数据准备效率，保障项目及时进入管理与监控状态</w:t>
      </w:r>
      <w:r>
        <w:rPr>
          <w:rFonts w:hint="eastAsia" w:ascii="仿宋_GB2312" w:hAnsi="仿宋_GB2312" w:eastAsia="仿宋_GB2312" w:cs="仿宋_GB2312"/>
          <w:color w:val="000000"/>
          <w:sz w:val="28"/>
          <w:szCs w:val="28"/>
          <w:highlight w:val="none"/>
          <w:lang w:val="en-US" w:eastAsia="zh-CN"/>
        </w:rPr>
        <w:t>。</w:t>
      </w:r>
    </w:p>
    <w:p w14:paraId="02012A9F">
      <w:pPr>
        <w:pStyle w:val="84"/>
        <w:shd w:val="clear" w:color="auto" w:fill="FFFFFF"/>
        <w:spacing w:line="312" w:lineRule="auto"/>
        <w:ind w:left="0" w:firstLine="560" w:firstLineChars="200"/>
        <w:jc w:val="both"/>
        <w:rPr>
          <w:rFonts w:hint="eastAsia" w:ascii="仿宋_GB2312" w:hAnsi="仿宋_GB2312" w:eastAsia="仿宋_GB2312" w:cs="仿宋_GB2312"/>
          <w:b/>
          <w:bCs/>
          <w:color w:val="000000"/>
          <w:sz w:val="28"/>
          <w:szCs w:val="28"/>
          <w:lang w:eastAsia="zh-CN"/>
        </w:rPr>
      </w:pPr>
      <w:bookmarkStart w:id="23" w:name="_Toc8268"/>
      <w:bookmarkStart w:id="24" w:name="_Toc22129"/>
      <w:r>
        <w:rPr>
          <w:rFonts w:hint="eastAsia" w:ascii="仿宋_GB2312" w:hAnsi="仿宋_GB2312" w:eastAsia="仿宋_GB2312" w:cs="仿宋_GB2312"/>
          <w:b/>
          <w:bCs/>
          <w:color w:val="000000"/>
          <w:sz w:val="28"/>
          <w:szCs w:val="28"/>
          <w:lang w:eastAsia="zh-CN"/>
        </w:rPr>
        <w:t>1.5.2项目任务管理</w:t>
      </w:r>
      <w:bookmarkEnd w:id="23"/>
      <w:bookmarkEnd w:id="24"/>
    </w:p>
    <w:p w14:paraId="4EC98CA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①需要支持根据学校任务书内容进行建设任务创建，包括规划任务路径、分解任务目标、选择任务类型、分配任务干系人、设定任务周期及填写任务描述等。</w:t>
      </w:r>
    </w:p>
    <w:p w14:paraId="2C9020CC">
      <w:pPr>
        <w:pStyle w:val="84"/>
        <w:shd w:val="clear" w:color="auto" w:fill="FFFFFF"/>
        <w:spacing w:line="312" w:lineRule="auto"/>
        <w:ind w:left="0" w:firstLine="560" w:firstLineChars="200"/>
        <w:jc w:val="both"/>
        <w:outlineLvl w:val="9"/>
        <w:rPr>
          <w:rFonts w:ascii="仿宋_GB2312" w:hAnsi="仿宋_GB2312" w:eastAsia="仿宋_GB2312" w:cs="仿宋_GB2312"/>
          <w:b w:val="0"/>
          <w:bCs w:val="0"/>
          <w:color w:val="000000"/>
          <w:sz w:val="28"/>
          <w:szCs w:val="28"/>
          <w:lang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lang w:eastAsia="zh-CN"/>
        </w:rPr>
        <w:t>②任务可进一步细分为多级子任务，实现精细到具体负责人的管理模式。</w:t>
      </w:r>
      <w:r>
        <w:rPr>
          <w:rFonts w:hint="eastAsia" w:ascii="仿宋_GB2312" w:hAnsi="仿宋_GB2312" w:eastAsia="仿宋_GB2312" w:cs="仿宋_GB2312"/>
          <w:b w:val="0"/>
          <w:bCs w:val="0"/>
          <w:color w:val="000000"/>
          <w:sz w:val="28"/>
          <w:szCs w:val="28"/>
          <w:lang w:eastAsia="zh-CN"/>
        </w:rPr>
        <w:t>（</w:t>
      </w:r>
      <w:r>
        <w:rPr>
          <w:rFonts w:hint="eastAsia" w:ascii="仿宋_GB2312" w:hAnsi="仿宋_GB2312" w:eastAsia="仿宋_GB2312" w:cs="仿宋_GB2312"/>
          <w:b w:val="0"/>
          <w:bCs w:val="0"/>
          <w:color w:val="000000"/>
          <w:sz w:val="28"/>
          <w:szCs w:val="28"/>
          <w:lang w:val="en-US" w:eastAsia="zh-CN"/>
        </w:rPr>
        <w:t>响应</w:t>
      </w:r>
      <w:r>
        <w:rPr>
          <w:rFonts w:hint="eastAsia" w:ascii="仿宋_GB2312" w:hAnsi="仿宋_GB2312" w:eastAsia="仿宋_GB2312" w:cs="仿宋_GB2312"/>
          <w:b w:val="0"/>
          <w:bCs w:val="0"/>
          <w:color w:val="000000"/>
          <w:sz w:val="28"/>
          <w:szCs w:val="28"/>
          <w:lang w:eastAsia="zh-CN"/>
        </w:rPr>
        <w:t>文件中提供相关截图证明，并加盖供应商公章。）</w:t>
      </w:r>
    </w:p>
    <w:p w14:paraId="1D2D172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③当任务层级复杂或子任务数量较多时，需要支持通过电子表格模板批量导入任务信息。</w:t>
      </w:r>
    </w:p>
    <w:p w14:paraId="5E852EF6">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④系统支持自动生成任务编号，任务顺序可通过直观的拖拽方式灵活调整。</w:t>
      </w:r>
    </w:p>
    <w:p w14:paraId="5859353A">
      <w:pPr>
        <w:pStyle w:val="84"/>
        <w:shd w:val="clear" w:color="auto" w:fill="FFFFFF"/>
        <w:spacing w:line="312" w:lineRule="auto"/>
        <w:ind w:left="0" w:firstLine="560" w:firstLineChars="200"/>
        <w:jc w:val="both"/>
        <w:rPr>
          <w:rFonts w:ascii="仿宋_GB2312" w:hAnsi="仿宋_GB2312" w:eastAsia="仿宋_GB2312" w:cs="仿宋_GB2312"/>
          <w:b/>
          <w:bCs/>
          <w:color w:val="000000"/>
          <w:sz w:val="28"/>
          <w:szCs w:val="28"/>
          <w:lang w:eastAsia="zh-CN"/>
        </w:rPr>
      </w:pPr>
      <w:bookmarkStart w:id="25" w:name="_Toc14806"/>
      <w:bookmarkStart w:id="26" w:name="_Toc25693"/>
      <w:r>
        <w:rPr>
          <w:rFonts w:hint="eastAsia" w:ascii="仿宋_GB2312" w:hAnsi="仿宋_GB2312" w:eastAsia="仿宋_GB2312" w:cs="仿宋_GB2312"/>
          <w:b/>
          <w:bCs/>
          <w:color w:val="000000"/>
          <w:sz w:val="28"/>
          <w:szCs w:val="28"/>
          <w:lang w:eastAsia="zh-CN"/>
        </w:rPr>
        <w:t>1.5.3目标管理</w:t>
      </w:r>
      <w:bookmarkEnd w:id="25"/>
      <w:bookmarkEnd w:id="26"/>
    </w:p>
    <w:p w14:paraId="2E5BF08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本模块需要支持按年、月等不同时间维度对任务目标（含任务要点、绩效指标、标志性成果与建设资金）的运行情况进行全过程管控，助力管理者精准掌握项目进度，确保任务按计划推进。</w:t>
      </w:r>
    </w:p>
    <w:p w14:paraId="6EFFB90B">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任务目标经拆解并批量录入平台后，校领导或负责人可快速查看各项目标的状态与完成情况，并需支持进行任务催办。系统支持按年月维度查看特定时间段内的目标数量及状态分布</w:t>
      </w:r>
      <w:r>
        <w:rPr>
          <w:rFonts w:hint="eastAsia" w:ascii="仿宋_GB2312" w:hAnsi="仿宋_GB2312" w:eastAsia="仿宋_GB2312" w:cs="仿宋_GB2312"/>
          <w:color w:val="000000"/>
          <w:sz w:val="28"/>
          <w:szCs w:val="28"/>
          <w:highlight w:val="none"/>
          <w:lang w:val="en-US" w:eastAsia="zh-CN"/>
        </w:rPr>
        <w:t>。</w:t>
      </w:r>
    </w:p>
    <w:p w14:paraId="4DB17407">
      <w:pPr>
        <w:pStyle w:val="84"/>
        <w:shd w:val="clear" w:color="auto" w:fill="FFFFFF"/>
        <w:spacing w:line="312" w:lineRule="auto"/>
        <w:ind w:left="0" w:firstLine="560" w:firstLineChars="200"/>
        <w:jc w:val="both"/>
        <w:outlineLvl w:val="5"/>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（1）任务要点</w:t>
      </w:r>
    </w:p>
    <w:p w14:paraId="40F92231">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分页展示所选任务下的全部任务要点（含最末级任务点）。需要支持为任务要点创建材料要求、指定责任人及计划完成时间，并可实时跟踪状态、查看完成进度及相关佐证材料。目标创建前可预设审批流程，需要支持按年份、部门、负责人、状态进行筛选，并直观统计任务及各子级要点完成情况。</w:t>
      </w:r>
    </w:p>
    <w:p w14:paraId="489CDFC6">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（2）绩效指标</w:t>
      </w:r>
    </w:p>
    <w:p w14:paraId="11B47C3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分页展示所选任务下的全部绩效指标（含最末级任务点）。需要支持创建绩效目标值并进行目标分解，可指定多位负责人协同完成。任务建设过程中，负责人可实时填报绩效实现值，平台动态展示绩效达成全貌。</w:t>
      </w:r>
    </w:p>
    <w:p w14:paraId="3D2F715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②需要支持批量导入数量与质量指标，便于实时掌握完成情况。校领导或上级负责人可全程监控建设进度，支持按任务或年度查看绩效，筛选后系统实时统计指标数量及达成率。</w:t>
      </w:r>
    </w:p>
    <w:p w14:paraId="01011A0B">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lang w:eastAsia="zh-CN"/>
        </w:rPr>
        <w:t>③绩效实现值需要支持按“阶段实现值”或“阶段累加值”统计，适应不同目标设定模式。支持查看并导出一览表，直观呈现各类型指标完成情况。（</w:t>
      </w:r>
      <w:r>
        <w:rPr>
          <w:rFonts w:hint="eastAsia" w:ascii="仿宋_GB2312" w:hAnsi="仿宋_GB2312" w:eastAsia="仿宋_GB2312" w:cs="仿宋_GB2312"/>
          <w:color w:val="000000"/>
          <w:sz w:val="28"/>
          <w:szCs w:val="28"/>
          <w:lang w:val="en-US" w:eastAsia="zh-CN"/>
        </w:rPr>
        <w:t>响应</w:t>
      </w:r>
      <w:r>
        <w:rPr>
          <w:rFonts w:hint="eastAsia" w:ascii="仿宋_GB2312" w:hAnsi="仿宋_GB2312" w:eastAsia="仿宋_GB2312" w:cs="仿宋_GB2312"/>
          <w:color w:val="000000"/>
          <w:sz w:val="28"/>
          <w:szCs w:val="28"/>
          <w:lang w:eastAsia="zh-CN"/>
        </w:rPr>
        <w:t>文件中提供相关截图证明，并加盖供应商公章。）</w:t>
      </w:r>
    </w:p>
    <w:p w14:paraId="79069F83">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（3）标志性成果</w:t>
      </w:r>
    </w:p>
    <w:p w14:paraId="0919969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①分页展示所选任务下的全部标志性成果（含最末级任务点）。需能创建和查看成果的名称、类型、数量、状态、负责人、所属任务及相关材料等信息。</w:t>
      </w:r>
    </w:p>
    <w:p w14:paraId="3C28CFD9">
      <w:pPr>
        <w:pStyle w:val="84"/>
        <w:shd w:val="clear" w:color="auto" w:fill="FFFFFF"/>
        <w:spacing w:line="312" w:lineRule="auto"/>
        <w:ind w:left="0" w:firstLine="560" w:firstLineChars="200"/>
        <w:jc w:val="both"/>
        <w:outlineLvl w:val="5"/>
        <w:rPr>
          <w:rFonts w:hint="eastAsia" w:ascii="仿宋_GB2312" w:hAnsi="仿宋_GB2312" w:eastAsia="仿宋_GB2312" w:cs="仿宋_GB2312"/>
          <w:color w:val="000000"/>
          <w:sz w:val="28"/>
          <w:szCs w:val="28"/>
          <w:highlight w:val="none"/>
          <w:lang w:val="en-US"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lang w:eastAsia="zh-CN"/>
        </w:rPr>
        <w:t>②系统自动根据已获成果数量对比目标数量计算完成率；需要支持按任务、年度、类型进行筛选与分组统计，快速汇总不同维度下的成果数量。平台可一键生成成果一览表。（</w:t>
      </w:r>
      <w:r>
        <w:rPr>
          <w:rFonts w:hint="eastAsia" w:ascii="仿宋_GB2312" w:hAnsi="仿宋_GB2312" w:eastAsia="仿宋_GB2312" w:cs="仿宋_GB2312"/>
          <w:color w:val="000000"/>
          <w:sz w:val="28"/>
          <w:szCs w:val="28"/>
          <w:lang w:val="en-US" w:eastAsia="zh-CN"/>
        </w:rPr>
        <w:t>响应</w:t>
      </w:r>
      <w:r>
        <w:rPr>
          <w:rFonts w:hint="eastAsia" w:ascii="仿宋_GB2312" w:hAnsi="仿宋_GB2312" w:eastAsia="仿宋_GB2312" w:cs="仿宋_GB2312"/>
          <w:color w:val="000000"/>
          <w:sz w:val="28"/>
          <w:szCs w:val="28"/>
          <w:lang w:eastAsia="zh-CN"/>
        </w:rPr>
        <w:t>文件中提供相关截图证明，并加盖供应商公章。）</w:t>
      </w:r>
    </w:p>
    <w:p w14:paraId="161E3109">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lang w:eastAsia="zh-CN"/>
        </w:rPr>
        <w:t>（4）建设资金（</w:t>
      </w:r>
      <w:r>
        <w:rPr>
          <w:rFonts w:hint="eastAsia" w:ascii="仿宋_GB2312" w:hAnsi="仿宋_GB2312" w:eastAsia="仿宋_GB2312" w:cs="仿宋_GB2312"/>
          <w:color w:val="000000"/>
          <w:sz w:val="28"/>
          <w:szCs w:val="28"/>
          <w:lang w:val="en-US" w:eastAsia="zh-CN"/>
        </w:rPr>
        <w:t>响应</w:t>
      </w:r>
      <w:r>
        <w:rPr>
          <w:rFonts w:hint="eastAsia" w:ascii="仿宋_GB2312" w:hAnsi="仿宋_GB2312" w:eastAsia="仿宋_GB2312" w:cs="仿宋_GB2312"/>
          <w:color w:val="000000"/>
          <w:sz w:val="28"/>
          <w:szCs w:val="28"/>
          <w:lang w:eastAsia="zh-CN"/>
        </w:rPr>
        <w:t>文件中提供相关截图证明，并加盖供应商公章。）</w:t>
      </w:r>
    </w:p>
    <w:p w14:paraId="7FCC2550">
      <w:pPr>
        <w:pStyle w:val="84"/>
        <w:shd w:val="clear" w:color="auto" w:fill="FFFFFF"/>
        <w:spacing w:line="312" w:lineRule="auto"/>
        <w:ind w:left="0" w:firstLine="560" w:firstLineChars="200"/>
        <w:jc w:val="both"/>
        <w:outlineLvl w:val="9"/>
        <w:rPr>
          <w:rFonts w:hint="eastAsia"/>
          <w:color w:val="000000"/>
          <w:highlight w:val="none"/>
          <w:lang w:val="en-US" w:eastAsia="zh-CN"/>
        </w:rPr>
      </w:pPr>
      <w:r>
        <w:rPr>
          <w:rFonts w:hint="eastAsia" w:ascii="仿宋_GB2312" w:hAnsi="仿宋_GB2312" w:eastAsia="仿宋_GB2312" w:cs="仿宋_GB2312"/>
          <w:color w:val="000000"/>
          <w:sz w:val="28"/>
          <w:szCs w:val="28"/>
          <w:lang w:eastAsia="zh-CN"/>
        </w:rPr>
        <w:t>本模块用于管理与监控建设任务的资金流动情况，包括资金到位率、使用率、收支明细、来源去向及整体预算等。资金预算、到位及使用情况需要支持按年度单个录入或批量导入，并可对接学校财务系统批量同步数据。资金明细填报时可关联预设审批流程，并需上传相应佐证文件（如发票），确保每笔资金记录清晰、有据可查</w:t>
      </w:r>
      <w:r>
        <w:rPr>
          <w:rFonts w:hint="eastAsia" w:ascii="仿宋_GB2312" w:hAnsi="仿宋_GB2312" w:eastAsia="仿宋_GB2312" w:cs="仿宋_GB2312"/>
          <w:color w:val="000000"/>
          <w:sz w:val="28"/>
          <w:szCs w:val="28"/>
          <w:highlight w:val="none"/>
          <w:lang w:val="en-US" w:eastAsia="zh-CN"/>
        </w:rPr>
        <w:t>。</w:t>
      </w:r>
    </w:p>
    <w:p w14:paraId="77B65D34">
      <w:pPr>
        <w:pStyle w:val="84"/>
        <w:shd w:val="clear" w:color="auto" w:fill="FFFFFF"/>
        <w:spacing w:line="312" w:lineRule="auto"/>
        <w:ind w:left="0" w:firstLine="560" w:firstLineChars="200"/>
        <w:jc w:val="both"/>
        <w:rPr>
          <w:rFonts w:hint="eastAsia" w:ascii="仿宋_GB2312" w:hAnsi="仿宋_GB2312" w:eastAsia="仿宋_GB2312" w:cs="仿宋_GB2312"/>
          <w:b/>
          <w:bCs/>
          <w:color w:val="000000"/>
          <w:sz w:val="28"/>
          <w:szCs w:val="28"/>
          <w:lang w:eastAsia="zh-CN"/>
        </w:rPr>
      </w:pPr>
      <w:bookmarkStart w:id="27" w:name="_Toc26700"/>
      <w:bookmarkStart w:id="28" w:name="_Toc2296"/>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b/>
          <w:bCs/>
          <w:color w:val="000000"/>
          <w:sz w:val="28"/>
          <w:szCs w:val="28"/>
          <w:lang w:eastAsia="zh-CN"/>
        </w:rPr>
        <w:t>1.5.4项目台账</w:t>
      </w:r>
      <w:bookmarkEnd w:id="27"/>
      <w:bookmarkEnd w:id="28"/>
      <w:r>
        <w:rPr>
          <w:rFonts w:hint="eastAsia" w:ascii="仿宋_GB2312" w:hAnsi="仿宋_GB2312" w:eastAsia="仿宋_GB2312" w:cs="仿宋_GB2312"/>
          <w:b/>
          <w:bCs/>
          <w:color w:val="000000"/>
          <w:sz w:val="28"/>
          <w:szCs w:val="28"/>
          <w:lang w:eastAsia="zh-CN"/>
        </w:rPr>
        <w:t>（</w:t>
      </w:r>
      <w:r>
        <w:rPr>
          <w:rFonts w:hint="eastAsia" w:ascii="仿宋_GB2312" w:hAnsi="仿宋_GB2312" w:eastAsia="仿宋_GB2312" w:cs="仿宋_GB2312"/>
          <w:b/>
          <w:bCs/>
          <w:color w:val="000000"/>
          <w:sz w:val="28"/>
          <w:szCs w:val="28"/>
          <w:lang w:val="en-US" w:eastAsia="zh-CN"/>
        </w:rPr>
        <w:t>谈判</w:t>
      </w:r>
      <w:r>
        <w:rPr>
          <w:rFonts w:hint="eastAsia" w:ascii="仿宋_GB2312" w:hAnsi="仿宋_GB2312" w:eastAsia="仿宋_GB2312" w:cs="仿宋_GB2312"/>
          <w:b/>
          <w:bCs/>
          <w:color w:val="000000"/>
          <w:sz w:val="28"/>
          <w:szCs w:val="28"/>
          <w:lang w:eastAsia="zh-CN"/>
        </w:rPr>
        <w:t>时，进行现场实操平台功能演示）</w:t>
      </w:r>
    </w:p>
    <w:p w14:paraId="1EF5C11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①系统需要支持为所有建设项目灵活创建多维度台账，涵盖任务要点、成果、绩效、资金等关键信息，以表格化形式直观展示。</w:t>
      </w:r>
    </w:p>
    <w:p w14:paraId="1E8B30E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②台账分为公开台账与个人台账。需要支持自定义任务层级及各层级显示内容。</w:t>
      </w:r>
    </w:p>
    <w:p w14:paraId="42DE191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③台账创建后即可生成访问链接，需要支持随时通过链接查看。系统提供多种筛选方式：创建者可预设筛选条件，查看者也可在允许范围内自定义筛选。平台会自动记录用户的筛选条件并保存视图。</w:t>
      </w:r>
    </w:p>
    <w:p w14:paraId="21E6EFA2">
      <w:pPr>
        <w:pStyle w:val="84"/>
        <w:shd w:val="clear" w:color="auto" w:fill="FFFFFF"/>
        <w:spacing w:line="312" w:lineRule="auto"/>
        <w:ind w:left="0" w:firstLine="560" w:firstLineChars="200"/>
        <w:jc w:val="both"/>
        <w:outlineLvl w:val="9"/>
        <w:rPr>
          <w:color w:val="000000"/>
          <w:highlight w:val="none"/>
          <w:lang w:val="en-US" w:eastAsia="zh-CN"/>
        </w:rPr>
      </w:pPr>
      <w:r>
        <w:rPr>
          <w:rFonts w:hint="eastAsia" w:ascii="仿宋_GB2312" w:hAnsi="仿宋_GB2312" w:eastAsia="仿宋_GB2312" w:cs="仿宋_GB2312"/>
          <w:color w:val="000000"/>
          <w:sz w:val="28"/>
          <w:szCs w:val="28"/>
          <w:lang w:eastAsia="zh-CN"/>
        </w:rPr>
        <w:t>④台账数据需要支持电子表格格式导出，方便用户进一步处理与分析</w:t>
      </w:r>
      <w:r>
        <w:rPr>
          <w:rFonts w:hint="eastAsia" w:ascii="仿宋_GB2312" w:hAnsi="仿宋_GB2312" w:eastAsia="仿宋_GB2312" w:cs="仿宋_GB2312"/>
          <w:color w:val="000000"/>
          <w:sz w:val="28"/>
          <w:szCs w:val="28"/>
          <w:highlight w:val="none"/>
          <w:lang w:val="en-US" w:eastAsia="zh-CN"/>
        </w:rPr>
        <w:t>。</w:t>
      </w:r>
    </w:p>
    <w:p w14:paraId="571A386D">
      <w:pPr>
        <w:pStyle w:val="84"/>
        <w:shd w:val="clear" w:color="auto" w:fill="FFFFFF"/>
        <w:spacing w:line="312" w:lineRule="auto"/>
        <w:ind w:left="0" w:firstLine="560" w:firstLineChars="200"/>
        <w:jc w:val="both"/>
        <w:rPr>
          <w:rFonts w:hint="eastAsia" w:ascii="仿宋_GB2312" w:hAnsi="仿宋_GB2312" w:eastAsia="仿宋_GB2312" w:cs="仿宋_GB2312"/>
          <w:b/>
          <w:bCs/>
          <w:color w:val="000000"/>
          <w:sz w:val="28"/>
          <w:szCs w:val="28"/>
          <w:lang w:eastAsia="zh-CN"/>
        </w:rPr>
      </w:pPr>
      <w:bookmarkStart w:id="29" w:name="_Toc18391"/>
      <w:bookmarkStart w:id="30" w:name="_Toc5124"/>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b/>
          <w:bCs/>
          <w:color w:val="000000"/>
          <w:sz w:val="28"/>
          <w:szCs w:val="28"/>
          <w:lang w:eastAsia="zh-CN"/>
        </w:rPr>
        <w:t>1.5.5佐证材料</w:t>
      </w:r>
      <w:bookmarkEnd w:id="29"/>
      <w:bookmarkEnd w:id="30"/>
      <w:r>
        <w:rPr>
          <w:rFonts w:hint="eastAsia" w:ascii="仿宋_GB2312" w:hAnsi="仿宋_GB2312" w:eastAsia="仿宋_GB2312" w:cs="仿宋_GB2312"/>
          <w:b/>
          <w:bCs/>
          <w:color w:val="000000"/>
          <w:sz w:val="28"/>
          <w:szCs w:val="28"/>
          <w:lang w:eastAsia="zh-CN"/>
        </w:rPr>
        <w:t>（</w:t>
      </w:r>
      <w:r>
        <w:rPr>
          <w:rFonts w:hint="eastAsia" w:ascii="仿宋_GB2312" w:hAnsi="仿宋_GB2312" w:eastAsia="仿宋_GB2312" w:cs="仿宋_GB2312"/>
          <w:b/>
          <w:bCs/>
          <w:color w:val="000000"/>
          <w:sz w:val="28"/>
          <w:szCs w:val="28"/>
          <w:lang w:val="en-US" w:eastAsia="zh-CN"/>
        </w:rPr>
        <w:t>谈判</w:t>
      </w:r>
      <w:r>
        <w:rPr>
          <w:rFonts w:hint="eastAsia" w:ascii="仿宋_GB2312" w:hAnsi="仿宋_GB2312" w:eastAsia="仿宋_GB2312" w:cs="仿宋_GB2312"/>
          <w:b/>
          <w:bCs/>
          <w:color w:val="000000"/>
          <w:sz w:val="28"/>
          <w:szCs w:val="28"/>
          <w:lang w:eastAsia="zh-CN"/>
        </w:rPr>
        <w:t>时，进行现场实操平台功能演示）</w:t>
      </w:r>
    </w:p>
    <w:p w14:paraId="28D2BAB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①本模块汇总项目下所有已上传的佐证材料，并按任务要点、标志性成果、绩效指标、建设资金四类进行归类管理。</w:t>
      </w:r>
    </w:p>
    <w:p w14:paraId="79C7FB4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②系统需要根据材料所属任务自动生成文件夹结构，仅当任务下存在材料时才创建对应文件夹。每个文件夹内汇总当前任务及其所有子任务的佐证材料。</w:t>
      </w:r>
    </w:p>
    <w:p w14:paraId="0052EC01">
      <w:pPr>
        <w:pStyle w:val="84"/>
        <w:shd w:val="clear" w:color="auto" w:fill="FFFFFF"/>
        <w:spacing w:line="312" w:lineRule="auto"/>
        <w:ind w:left="0" w:firstLine="560" w:firstLineChars="200"/>
        <w:jc w:val="both"/>
        <w:outlineLvl w:val="9"/>
        <w:rPr>
          <w:color w:val="000000"/>
          <w:highlight w:val="none"/>
          <w:lang w:val="en-US" w:eastAsia="zh-CN"/>
        </w:rPr>
      </w:pPr>
      <w:r>
        <w:rPr>
          <w:rFonts w:hint="eastAsia" w:ascii="仿宋_GB2312" w:hAnsi="仿宋_GB2312" w:eastAsia="仿宋_GB2312" w:cs="仿宋_GB2312"/>
          <w:color w:val="000000"/>
          <w:sz w:val="28"/>
          <w:szCs w:val="28"/>
          <w:lang w:eastAsia="zh-CN"/>
        </w:rPr>
        <w:t>③需要支持一键下载标志性成果文件或任务点材料，便于年度检查或中期评估使用。材料可按任务结构自动生成目录打包下载，方便用于年度检查、专家评审等场景</w:t>
      </w:r>
      <w:r>
        <w:rPr>
          <w:rFonts w:hint="eastAsia" w:ascii="仿宋_GB2312" w:hAnsi="仿宋_GB2312" w:eastAsia="仿宋_GB2312" w:cs="仿宋_GB2312"/>
          <w:color w:val="000000"/>
          <w:sz w:val="28"/>
          <w:szCs w:val="28"/>
          <w:highlight w:val="none"/>
          <w:lang w:val="en-US" w:eastAsia="zh-CN"/>
        </w:rPr>
        <w:t>。</w:t>
      </w:r>
    </w:p>
    <w:p w14:paraId="0351FEBD">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31" w:name="_Toc26232"/>
      <w:bookmarkStart w:id="32" w:name="_Toc18907"/>
      <w:r>
        <w:rPr>
          <w:rFonts w:hint="eastAsia" w:ascii="仿宋_GB2312" w:hAnsi="仿宋_GB2312" w:eastAsia="仿宋_GB2312" w:cs="仿宋_GB2312"/>
          <w:b/>
          <w:bCs/>
          <w:color w:val="000000"/>
          <w:sz w:val="28"/>
          <w:szCs w:val="28"/>
          <w:highlight w:val="none"/>
          <w:lang w:val="en-US" w:eastAsia="zh-CN"/>
        </w:rPr>
        <w:t>1.5.6催办</w:t>
      </w:r>
      <w:bookmarkEnd w:id="31"/>
      <w:bookmarkEnd w:id="32"/>
    </w:p>
    <w:p w14:paraId="4C06CBF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在项目建设过程中，项目负责人或者父级任务负责人需能查看项目任务或者自己任务的整体进度，可通过催办来督促任务负责人加快任务进度建设。</w:t>
      </w:r>
    </w:p>
    <w:p w14:paraId="5CC87D2F">
      <w:pPr>
        <w:pStyle w:val="84"/>
        <w:shd w:val="clear" w:color="auto" w:fill="FFFFFF"/>
        <w:spacing w:line="312" w:lineRule="auto"/>
        <w:ind w:left="0" w:firstLine="560" w:firstLineChars="200"/>
        <w:jc w:val="both"/>
        <w:outlineLvl w:val="9"/>
        <w:rPr>
          <w:rFonts w:hint="eastAsia"/>
          <w:color w:val="000000"/>
          <w:highlight w:val="none"/>
          <w:lang w:val="en-US" w:eastAsia="zh-CN"/>
        </w:rPr>
      </w:pPr>
      <w:r>
        <w:rPr>
          <w:rFonts w:hint="eastAsia" w:ascii="仿宋_GB2312" w:hAnsi="仿宋_GB2312" w:eastAsia="仿宋_GB2312" w:cs="仿宋_GB2312"/>
          <w:color w:val="000000"/>
          <w:sz w:val="28"/>
          <w:szCs w:val="28"/>
          <w:lang w:eastAsia="zh-CN"/>
        </w:rPr>
        <w:t>新建催办时需要支持对建设任务、佐证材料、标志性成果、绩效指标、建设资金等方面事项进行催办，催办分为手动催办和自动催办，手动催办可在工作台进行批量发起，并可设置不允许重复催办的时间周期；自动催办需能在后台进行配置，分为任务开始时、任务即将逾期、任务逾期后自动发起，同时可按日、周、月、年设置不同的自动催办周期，由系统通过短信或oa渠道推送至任务负责人或任务审核者</w:t>
      </w:r>
      <w:r>
        <w:rPr>
          <w:rFonts w:hint="eastAsia" w:ascii="仿宋_GB2312" w:hAnsi="仿宋_GB2312" w:eastAsia="仿宋_GB2312" w:cs="仿宋_GB2312"/>
          <w:color w:val="000000"/>
          <w:sz w:val="28"/>
          <w:szCs w:val="28"/>
          <w:highlight w:val="none"/>
          <w:lang w:val="en-US" w:eastAsia="zh-CN"/>
        </w:rPr>
        <w:t>。</w:t>
      </w:r>
    </w:p>
    <w:p w14:paraId="09C34DC6">
      <w:pPr>
        <w:pStyle w:val="84"/>
        <w:shd w:val="clear" w:color="auto" w:fill="FFFFFF"/>
        <w:spacing w:line="312" w:lineRule="auto"/>
        <w:ind w:left="0" w:firstLine="560" w:firstLineChars="200"/>
        <w:jc w:val="both"/>
        <w:rPr>
          <w:rFonts w:ascii="仿宋_GB2312" w:hAnsi="仿宋_GB2312" w:eastAsia="仿宋_GB2312" w:cs="仿宋_GB2312"/>
          <w:b/>
          <w:bCs/>
          <w:color w:val="000000"/>
          <w:sz w:val="28"/>
          <w:szCs w:val="28"/>
          <w:lang w:eastAsia="zh-CN"/>
        </w:rPr>
      </w:pPr>
      <w:bookmarkStart w:id="33" w:name="_Toc15746"/>
      <w:bookmarkStart w:id="34" w:name="_Toc31184"/>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b/>
          <w:bCs/>
          <w:color w:val="000000"/>
          <w:sz w:val="28"/>
          <w:szCs w:val="28"/>
          <w:lang w:eastAsia="zh-CN"/>
        </w:rPr>
        <w:t>1.5.7</w:t>
      </w:r>
      <w:bookmarkEnd w:id="33"/>
      <w:bookmarkEnd w:id="34"/>
      <w:r>
        <w:rPr>
          <w:rFonts w:hint="eastAsia" w:ascii="仿宋_GB2312" w:hAnsi="仿宋_GB2312" w:eastAsia="仿宋_GB2312" w:cs="仿宋_GB2312"/>
          <w:b/>
          <w:bCs/>
          <w:color w:val="000000"/>
          <w:sz w:val="28"/>
          <w:szCs w:val="28"/>
          <w:lang w:eastAsia="zh-CN"/>
        </w:rPr>
        <w:t>移动端（</w:t>
      </w:r>
      <w:r>
        <w:rPr>
          <w:rFonts w:hint="eastAsia" w:ascii="仿宋_GB2312" w:hAnsi="仿宋_GB2312" w:eastAsia="仿宋_GB2312" w:cs="仿宋_GB2312"/>
          <w:b/>
          <w:bCs/>
          <w:color w:val="000000"/>
          <w:sz w:val="28"/>
          <w:szCs w:val="28"/>
          <w:lang w:val="en-US" w:eastAsia="zh-CN"/>
        </w:rPr>
        <w:t>响应</w:t>
      </w:r>
      <w:r>
        <w:rPr>
          <w:rFonts w:hint="eastAsia" w:ascii="仿宋_GB2312" w:hAnsi="仿宋_GB2312" w:eastAsia="仿宋_GB2312" w:cs="仿宋_GB2312"/>
          <w:b/>
          <w:bCs/>
          <w:color w:val="000000"/>
          <w:sz w:val="28"/>
          <w:szCs w:val="28"/>
          <w:lang w:eastAsia="zh-CN"/>
        </w:rPr>
        <w:t>文件中提供相关截图证明，并加盖供应商公章。）</w:t>
      </w:r>
    </w:p>
    <w:p w14:paraId="5D65D214">
      <w:pPr>
        <w:pStyle w:val="84"/>
        <w:shd w:val="clear" w:color="auto" w:fill="FFFFFF"/>
        <w:spacing w:line="312" w:lineRule="auto"/>
        <w:ind w:left="0" w:firstLine="560" w:firstLineChars="200"/>
        <w:jc w:val="both"/>
        <w:outlineLvl w:val="9"/>
        <w:rPr>
          <w:rFonts w:hint="eastAsia"/>
          <w:color w:val="000000"/>
          <w:highlight w:val="none"/>
          <w:lang w:val="en-US" w:eastAsia="zh-CN"/>
        </w:rPr>
      </w:pPr>
      <w:r>
        <w:rPr>
          <w:rFonts w:hint="eastAsia" w:ascii="仿宋_GB2312" w:hAnsi="仿宋_GB2312" w:eastAsia="仿宋_GB2312" w:cs="仿宋_GB2312"/>
          <w:color w:val="000000"/>
          <w:sz w:val="28"/>
          <w:szCs w:val="28"/>
          <w:lang w:eastAsia="zh-CN"/>
        </w:rPr>
        <w:t>能</w:t>
      </w:r>
      <w:r>
        <w:rPr>
          <w:rFonts w:ascii="仿宋_GB2312" w:hAnsi="仿宋_GB2312" w:eastAsia="仿宋_GB2312" w:cs="仿宋_GB2312"/>
          <w:color w:val="000000"/>
          <w:sz w:val="28"/>
          <w:szCs w:val="28"/>
          <w:lang w:eastAsia="zh-CN"/>
        </w:rPr>
        <w:t>总览所有项目的关键进度，掌握各项目的材料提交与审批状态。通过移动端，审批者</w:t>
      </w:r>
      <w:r>
        <w:rPr>
          <w:rFonts w:hint="eastAsia" w:ascii="仿宋_GB2312" w:hAnsi="仿宋_GB2312" w:eastAsia="仿宋_GB2312" w:cs="仿宋_GB2312"/>
          <w:color w:val="000000"/>
          <w:sz w:val="28"/>
          <w:szCs w:val="28"/>
          <w:lang w:eastAsia="zh-CN"/>
        </w:rPr>
        <w:t>需能</w:t>
      </w:r>
      <w:r>
        <w:rPr>
          <w:rFonts w:ascii="仿宋_GB2312" w:hAnsi="仿宋_GB2312" w:eastAsia="仿宋_GB2312" w:cs="仿宋_GB2312"/>
          <w:color w:val="000000"/>
          <w:sz w:val="28"/>
          <w:szCs w:val="28"/>
          <w:lang w:eastAsia="zh-CN"/>
        </w:rPr>
        <w:t>随时在线预览文档、图片等任务材料，并一键完成审批操作</w:t>
      </w:r>
      <w:r>
        <w:rPr>
          <w:rFonts w:ascii="仿宋_GB2312" w:hAnsi="仿宋_GB2312" w:eastAsia="仿宋_GB2312" w:cs="仿宋_GB2312"/>
          <w:color w:val="000000"/>
          <w:sz w:val="28"/>
          <w:szCs w:val="28"/>
          <w:highlight w:val="none"/>
          <w:lang w:val="en-US" w:eastAsia="zh-CN"/>
        </w:rPr>
        <w:t>。</w:t>
      </w:r>
    </w:p>
    <w:p w14:paraId="2A8BA002">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bookmarkStart w:id="35" w:name="_Toc4514"/>
      <w:bookmarkStart w:id="36" w:name="_Toc16418"/>
      <w:r>
        <w:rPr>
          <w:rFonts w:hint="eastAsia" w:ascii="仿宋_GB2312" w:hAnsi="仿宋_GB2312" w:eastAsia="仿宋_GB2312" w:cs="仿宋_GB2312"/>
          <w:b/>
          <w:bCs/>
          <w:color w:val="000000"/>
          <w:sz w:val="28"/>
          <w:szCs w:val="28"/>
          <w:lang w:eastAsia="zh-CN"/>
        </w:rPr>
        <w:t>1.5.8项目阶段报告</w:t>
      </w:r>
      <w:bookmarkEnd w:id="35"/>
      <w:bookmarkEnd w:id="36"/>
    </w:p>
    <w:p w14:paraId="1510A8C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项目负责人可自定义时间段，导出项目建设阶段报告，便于进行阶段性总结与进度管控，为各阶段决策提供数据支持。</w:t>
      </w:r>
    </w:p>
    <w:p w14:paraId="43FCCA04">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需支持设置报告时间范围、选择任务计划区间、自定义报告名称等，系统自动生成报告内容，用户可预览或下载查看。</w:t>
      </w:r>
    </w:p>
    <w:p w14:paraId="13B0D82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报告内容包括以下两部分：</w:t>
      </w:r>
    </w:p>
    <w:p w14:paraId="3397BA10">
      <w:pPr>
        <w:pStyle w:val="84"/>
        <w:shd w:val="clear" w:color="auto" w:fill="FFFFFF"/>
        <w:spacing w:line="312" w:lineRule="auto"/>
        <w:ind w:left="0" w:firstLine="560" w:firstLineChars="200"/>
        <w:jc w:val="both"/>
        <w:outlineLvl w:val="5"/>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（1）阶段性运行情况</w:t>
      </w:r>
    </w:p>
    <w:p w14:paraId="0BC778C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项目总体进度统计：统计时段内的任务数量、类型、涉及成员与部门数量、项目总体完成率及年度完成率。</w:t>
      </w:r>
    </w:p>
    <w:p w14:paraId="627F9B60">
      <w:pPr>
        <w:pStyle w:val="84"/>
        <w:shd w:val="clear" w:color="auto" w:fill="FFFFFF"/>
        <w:spacing w:line="312" w:lineRule="auto"/>
        <w:ind w:left="0" w:firstLine="560" w:firstLineChars="200"/>
        <w:jc w:val="both"/>
        <w:outlineLvl w:val="9"/>
        <w:rPr>
          <w:rFonts w:hint="eastAsia"/>
          <w:color w:val="000000"/>
          <w:highlight w:val="none"/>
          <w:lang w:eastAsia="zh-CN"/>
        </w:rPr>
      </w:pPr>
      <w:r>
        <w:rPr>
          <w:rFonts w:hint="eastAsia" w:ascii="仿宋_GB2312" w:hAnsi="仿宋_GB2312" w:eastAsia="仿宋_GB2312" w:cs="仿宋_GB2312"/>
          <w:color w:val="000000"/>
          <w:sz w:val="28"/>
          <w:szCs w:val="28"/>
          <w:lang w:eastAsia="zh-CN"/>
        </w:rPr>
        <w:t>成员访问行为分析：包括总访问次数与时长、各部门访问情况对比、访问次数前五人员排名，以及各成员具体访问次数、时长、最近访问时间等详细信息</w:t>
      </w:r>
      <w:r>
        <w:rPr>
          <w:rFonts w:hint="eastAsia" w:ascii="仿宋_GB2312" w:hAnsi="仿宋_GB2312" w:eastAsia="仿宋_GB2312" w:cs="仿宋_GB2312"/>
          <w:color w:val="000000"/>
          <w:sz w:val="28"/>
          <w:szCs w:val="28"/>
          <w:highlight w:val="none"/>
          <w:lang w:val="en-US" w:eastAsia="zh-CN"/>
        </w:rPr>
        <w:t>。</w:t>
      </w:r>
    </w:p>
    <w:p w14:paraId="58C7F9C7">
      <w:pPr>
        <w:pStyle w:val="84"/>
        <w:shd w:val="clear" w:color="auto" w:fill="FFFFFF"/>
        <w:spacing w:line="312" w:lineRule="auto"/>
        <w:ind w:left="0" w:firstLine="560" w:firstLineChars="200"/>
        <w:jc w:val="both"/>
        <w:outlineLvl w:val="5"/>
        <w:rPr>
          <w:rFonts w:hint="eastAsia" w:ascii="仿宋_GB2312" w:hAnsi="仿宋_GB2312" w:eastAsia="仿宋_GB2312" w:cs="仿宋_GB2312"/>
          <w:color w:val="000000"/>
          <w:sz w:val="28"/>
          <w:szCs w:val="28"/>
          <w:highlight w:val="none"/>
          <w:lang w:val="en-US"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highlight w:val="none"/>
          <w:lang w:val="en-US" w:eastAsia="zh-CN"/>
        </w:rPr>
        <w:t>（2）项目阶段性建设情况</w:t>
      </w:r>
      <w:r>
        <w:rPr>
          <w:rFonts w:hint="eastAsia" w:ascii="仿宋_GB2312" w:hAnsi="仿宋_GB2312" w:eastAsia="仿宋_GB2312" w:cs="仿宋_GB2312"/>
          <w:b w:val="0"/>
          <w:bCs w:val="0"/>
          <w:color w:val="000000"/>
          <w:sz w:val="28"/>
          <w:szCs w:val="28"/>
          <w:lang w:eastAsia="zh-CN"/>
        </w:rPr>
        <w:t>（</w:t>
      </w:r>
      <w:r>
        <w:rPr>
          <w:rFonts w:hint="eastAsia" w:ascii="仿宋_GB2312" w:hAnsi="仿宋_GB2312" w:eastAsia="仿宋_GB2312" w:cs="仿宋_GB2312"/>
          <w:b w:val="0"/>
          <w:bCs w:val="0"/>
          <w:color w:val="000000"/>
          <w:sz w:val="28"/>
          <w:szCs w:val="28"/>
          <w:lang w:val="en-US" w:eastAsia="zh-CN"/>
        </w:rPr>
        <w:t>响应</w:t>
      </w:r>
      <w:r>
        <w:rPr>
          <w:rFonts w:hint="eastAsia" w:ascii="仿宋_GB2312" w:hAnsi="仿宋_GB2312" w:eastAsia="仿宋_GB2312" w:cs="仿宋_GB2312"/>
          <w:b w:val="0"/>
          <w:bCs w:val="0"/>
          <w:color w:val="000000"/>
          <w:sz w:val="28"/>
          <w:szCs w:val="28"/>
          <w:lang w:eastAsia="zh-CN"/>
        </w:rPr>
        <w:t>文件中提供相关截图证明，并加盖供应商公章。）</w:t>
      </w:r>
    </w:p>
    <w:p w14:paraId="0142CF3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按任务类型统计四个维度的建设进度：</w:t>
      </w:r>
    </w:p>
    <w:p w14:paraId="52887DE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任务要点：时段内计划完成数量、累计完成数量、完成率，以及未完成要点中未提交、审核中、未通过的数量统计。</w:t>
      </w:r>
    </w:p>
    <w:p w14:paraId="5F1A5C5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标志性成果：计划完成成果总数与各级别分布、累计完成成果数量与进度，以及未完成成果的状态分布。</w:t>
      </w:r>
    </w:p>
    <w:p w14:paraId="68018EA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绩效指标：绩效指标总数、数量与质量指标分布，以及累计绩效指标达成度。</w:t>
      </w:r>
    </w:p>
    <w:p w14:paraId="2E3914FF">
      <w:pPr>
        <w:pStyle w:val="84"/>
        <w:shd w:val="clear" w:color="auto" w:fill="FFFFFF"/>
        <w:spacing w:line="312" w:lineRule="auto"/>
        <w:ind w:left="0" w:firstLine="560" w:firstLineChars="200"/>
        <w:jc w:val="both"/>
        <w:outlineLvl w:val="9"/>
        <w:rPr>
          <w:color w:val="000000"/>
          <w:highlight w:val="none"/>
          <w:lang w:val="en-US" w:eastAsia="zh-CN"/>
        </w:rPr>
      </w:pPr>
      <w:r>
        <w:rPr>
          <w:rFonts w:hint="eastAsia" w:ascii="仿宋_GB2312" w:hAnsi="仿宋_GB2312" w:eastAsia="仿宋_GB2312" w:cs="仿宋_GB2312"/>
          <w:color w:val="000000"/>
          <w:sz w:val="28"/>
          <w:szCs w:val="28"/>
          <w:lang w:eastAsia="zh-CN"/>
        </w:rPr>
        <w:t>建设资金：资金总预算、到位金额与到位率、支出金额与使用率，以及详细的资金到账与支出明细</w:t>
      </w:r>
      <w:r>
        <w:rPr>
          <w:rFonts w:hint="eastAsia" w:ascii="仿宋_GB2312" w:hAnsi="仿宋_GB2312" w:eastAsia="仿宋_GB2312" w:cs="仿宋_GB2312"/>
          <w:color w:val="000000"/>
          <w:sz w:val="28"/>
          <w:szCs w:val="28"/>
          <w:highlight w:val="none"/>
          <w:lang w:val="en-US" w:eastAsia="zh-CN"/>
        </w:rPr>
        <w:t>。</w:t>
      </w:r>
    </w:p>
    <w:p w14:paraId="2134AAFB">
      <w:pPr>
        <w:pStyle w:val="84"/>
        <w:shd w:val="clear" w:color="auto" w:fill="FFFFFF"/>
        <w:spacing w:line="312" w:lineRule="auto"/>
        <w:ind w:left="0" w:firstLine="560" w:firstLineChars="200"/>
        <w:jc w:val="both"/>
        <w:outlineLvl w:val="3"/>
        <w:rPr>
          <w:rFonts w:ascii="仿宋_GB2312" w:hAnsi="仿宋_GB2312" w:eastAsia="仿宋_GB2312" w:cs="仿宋_GB2312"/>
          <w:b/>
          <w:bCs/>
          <w:color w:val="000000"/>
          <w:sz w:val="28"/>
          <w:szCs w:val="28"/>
          <w:highlight w:val="none"/>
          <w:lang w:val="en-US" w:eastAsia="zh-CN"/>
        </w:rPr>
      </w:pPr>
      <w:bookmarkStart w:id="37" w:name="_Toc20279"/>
      <w:bookmarkStart w:id="38" w:name="_Toc31802"/>
      <w:bookmarkStart w:id="39" w:name="_Toc16909"/>
      <w:r>
        <w:rPr>
          <w:rFonts w:hint="eastAsia" w:ascii="仿宋_GB2312" w:hAnsi="仿宋_GB2312" w:eastAsia="仿宋_GB2312" w:cs="仿宋_GB2312"/>
          <w:b/>
          <w:bCs/>
          <w:color w:val="000000"/>
          <w:sz w:val="28"/>
          <w:szCs w:val="28"/>
          <w:highlight w:val="none"/>
          <w:lang w:val="en-US" w:eastAsia="zh-CN"/>
        </w:rPr>
        <w:t>1.6校企供需匹配模块</w:t>
      </w:r>
      <w:bookmarkEnd w:id="37"/>
      <w:bookmarkEnd w:id="38"/>
      <w:bookmarkEnd w:id="39"/>
    </w:p>
    <w:p w14:paraId="3DC61ABD">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校企供需匹配模块</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集成信息交流、项目管理、资源共享等功能，汇聚</w:t>
      </w:r>
      <w:r>
        <w:rPr>
          <w:rFonts w:hint="eastAsia" w:ascii="仿宋_GB2312" w:hAnsi="仿宋_GB2312" w:eastAsia="仿宋_GB2312" w:cs="仿宋_GB2312"/>
          <w:color w:val="000000"/>
          <w:sz w:val="28"/>
          <w:szCs w:val="28"/>
          <w:lang w:eastAsia="zh-CN"/>
        </w:rPr>
        <w:t>岗位招聘、技能培训、技术研发、</w:t>
      </w:r>
      <w:r>
        <w:rPr>
          <w:rFonts w:ascii="仿宋_GB2312" w:hAnsi="仿宋_GB2312" w:eastAsia="仿宋_GB2312" w:cs="仿宋_GB2312"/>
          <w:color w:val="000000"/>
          <w:sz w:val="28"/>
          <w:szCs w:val="28"/>
          <w:lang w:eastAsia="zh-CN"/>
        </w:rPr>
        <w:t>师资共享</w:t>
      </w:r>
      <w:r>
        <w:rPr>
          <w:rFonts w:hint="eastAsia" w:ascii="仿宋_GB2312" w:hAnsi="仿宋_GB2312" w:eastAsia="仿宋_GB2312" w:cs="仿宋_GB2312"/>
          <w:color w:val="000000"/>
          <w:sz w:val="28"/>
          <w:szCs w:val="28"/>
          <w:lang w:eastAsia="zh-CN"/>
        </w:rPr>
        <w:t>、人才共育</w:t>
      </w:r>
      <w:r>
        <w:rPr>
          <w:rFonts w:ascii="仿宋_GB2312" w:hAnsi="仿宋_GB2312" w:eastAsia="仿宋_GB2312" w:cs="仿宋_GB2312"/>
          <w:color w:val="000000"/>
          <w:sz w:val="28"/>
          <w:szCs w:val="28"/>
          <w:lang w:eastAsia="zh-CN"/>
        </w:rPr>
        <w:t>等各类供求信息，并提供一站式的项目对接管理流程。本</w:t>
      </w:r>
      <w:r>
        <w:rPr>
          <w:rFonts w:hint="eastAsia" w:ascii="仿宋_GB2312" w:hAnsi="仿宋_GB2312" w:eastAsia="仿宋_GB2312" w:cs="仿宋_GB2312"/>
          <w:color w:val="000000"/>
          <w:sz w:val="28"/>
          <w:szCs w:val="28"/>
          <w:lang w:eastAsia="zh-CN"/>
        </w:rPr>
        <w:t>模块需要</w:t>
      </w:r>
      <w:r>
        <w:rPr>
          <w:rFonts w:ascii="仿宋_GB2312" w:hAnsi="仿宋_GB2312" w:eastAsia="仿宋_GB2312" w:cs="仿宋_GB2312"/>
          <w:color w:val="000000"/>
          <w:sz w:val="28"/>
          <w:szCs w:val="28"/>
          <w:lang w:eastAsia="zh-CN"/>
        </w:rPr>
        <w:t>能够精准匹配教育资源与产业需求，实现资源的优化配置，支持学校的专业建设、课程开发、师资培训与企业的真实工作场景、技术需求、人才需求相对接，助力培养适应市场需求的高技能人才，推动经济社会的高质量发展。</w:t>
      </w:r>
    </w:p>
    <w:p w14:paraId="08ADA976">
      <w:pPr>
        <w:pStyle w:val="84"/>
        <w:shd w:val="clear" w:color="auto" w:fill="FFFFFF"/>
        <w:spacing w:line="312" w:lineRule="auto"/>
        <w:ind w:left="0" w:firstLine="560" w:firstLineChars="200"/>
        <w:jc w:val="both"/>
        <w:outlineLvl w:val="9"/>
        <w:rPr>
          <w:color w:val="000000"/>
          <w:highlight w:val="none"/>
          <w:lang w:val="en-US" w:eastAsia="zh-CN"/>
        </w:rPr>
      </w:pPr>
      <w:r>
        <w:rPr>
          <w:rFonts w:hint="eastAsia" w:ascii="仿宋_GB2312" w:hAnsi="仿宋_GB2312" w:eastAsia="仿宋_GB2312" w:cs="仿宋_GB2312"/>
          <w:color w:val="000000"/>
          <w:sz w:val="28"/>
          <w:szCs w:val="28"/>
          <w:lang w:eastAsia="zh-CN"/>
        </w:rPr>
        <w:t>其中，需赋予全体共同体成员单位自主发布与信息上传权限。依托该功能模块，合作企业可常态化公示各类用人岗位需求、专业匹配要求、职业能力素养、从业资格条件等人才储备相关信息；在此基础上，允许企业结合自身生产经营与人才培育实际，自主发布职业技能提升、专项技能培训、技术能力研修等多元化服务需求，打通校企双向协作渠道，丰富共同体产教融合合作形式</w:t>
      </w:r>
      <w:r>
        <w:rPr>
          <w:rFonts w:hint="eastAsia" w:ascii="仿宋_GB2312" w:hAnsi="仿宋_GB2312" w:eastAsia="仿宋_GB2312" w:cs="仿宋_GB2312"/>
          <w:color w:val="000000"/>
          <w:sz w:val="28"/>
          <w:szCs w:val="28"/>
          <w:highlight w:val="none"/>
          <w:lang w:val="en-US" w:eastAsia="zh-CN"/>
        </w:rPr>
        <w:t>。</w:t>
      </w:r>
    </w:p>
    <w:p w14:paraId="77D6D723">
      <w:pPr>
        <w:pStyle w:val="84"/>
        <w:shd w:val="clear" w:color="auto" w:fill="FFFFFF"/>
        <w:spacing w:line="312" w:lineRule="auto"/>
        <w:ind w:left="0" w:firstLine="560" w:firstLineChars="200"/>
        <w:jc w:val="both"/>
        <w:outlineLvl w:val="4"/>
        <w:rPr>
          <w:rFonts w:ascii="仿宋_GB2312" w:hAnsi="仿宋_GB2312" w:eastAsia="仿宋_GB2312" w:cs="仿宋_GB2312"/>
          <w:b/>
          <w:bCs/>
          <w:color w:val="000000"/>
          <w:sz w:val="28"/>
          <w:szCs w:val="28"/>
          <w:highlight w:val="none"/>
          <w:lang w:val="en-US" w:eastAsia="zh-CN"/>
        </w:rPr>
      </w:pPr>
      <w:bookmarkStart w:id="40" w:name="_Toc28536"/>
      <w:bookmarkStart w:id="41" w:name="_Toc30549"/>
      <w:bookmarkStart w:id="42" w:name="_Toc31901"/>
      <w:r>
        <w:rPr>
          <w:rFonts w:hint="eastAsia" w:ascii="仿宋_GB2312" w:hAnsi="仿宋_GB2312" w:eastAsia="仿宋_GB2312" w:cs="仿宋_GB2312"/>
          <w:b/>
          <w:bCs/>
          <w:color w:val="000000"/>
          <w:sz w:val="28"/>
          <w:szCs w:val="28"/>
          <w:highlight w:val="none"/>
          <w:lang w:val="en-US" w:eastAsia="zh-CN"/>
        </w:rPr>
        <w:t>1.6.1</w:t>
      </w:r>
      <w:r>
        <w:rPr>
          <w:rFonts w:ascii="仿宋_GB2312" w:hAnsi="仿宋_GB2312" w:eastAsia="仿宋_GB2312" w:cs="仿宋_GB2312"/>
          <w:b/>
          <w:bCs/>
          <w:color w:val="000000"/>
          <w:sz w:val="28"/>
          <w:szCs w:val="28"/>
          <w:highlight w:val="none"/>
          <w:lang w:val="en-US" w:eastAsia="zh-CN"/>
        </w:rPr>
        <w:t>项目需求发布</w:t>
      </w:r>
      <w:bookmarkEnd w:id="40"/>
      <w:bookmarkEnd w:id="41"/>
      <w:bookmarkEnd w:id="42"/>
    </w:p>
    <w:p w14:paraId="17DD628C">
      <w:pPr>
        <w:shd w:val="clear" w:color="auto" w:fill="FFFFFF"/>
        <w:ind w:firstLine="420"/>
        <w:rPr>
          <w:rFonts w:hint="eastAsia" w:ascii="宋体" w:hAnsi="宋体" w:eastAsia="宋体" w:cs="宋体"/>
          <w:color w:val="000000"/>
          <w:highlight w:val="none"/>
          <w:lang w:eastAsia="zh-CN"/>
        </w:rPr>
      </w:pPr>
      <w:r>
        <w:rPr>
          <w:color w:val="000000"/>
        </w:rPr>
        <w:t>入</w:t>
      </w:r>
      <w:r>
        <w:rPr>
          <w:rFonts w:ascii="仿宋_GB2312" w:hAnsi="仿宋_GB2312" w:eastAsia="仿宋_GB2312" w:cs="仿宋_GB2312"/>
          <w:color w:val="000000"/>
          <w:kern w:val="0"/>
          <w:sz w:val="28"/>
          <w:szCs w:val="28"/>
        </w:rPr>
        <w:t>驻的院校、企业可根据实际需求在平台中发布项目，包括</w:t>
      </w:r>
      <w:r>
        <w:rPr>
          <w:rFonts w:hint="eastAsia" w:ascii="仿宋_GB2312" w:hAnsi="仿宋_GB2312" w:eastAsia="仿宋_GB2312" w:cs="仿宋_GB2312"/>
          <w:color w:val="000000"/>
          <w:kern w:val="0"/>
          <w:sz w:val="28"/>
          <w:szCs w:val="28"/>
        </w:rPr>
        <w:t>岗位招聘、技能培训、技术研发、</w:t>
      </w:r>
      <w:r>
        <w:rPr>
          <w:rFonts w:ascii="仿宋_GB2312" w:hAnsi="仿宋_GB2312" w:eastAsia="仿宋_GB2312" w:cs="仿宋_GB2312"/>
          <w:color w:val="000000"/>
          <w:kern w:val="0"/>
          <w:sz w:val="28"/>
          <w:szCs w:val="28"/>
        </w:rPr>
        <w:t>师资共享</w:t>
      </w:r>
      <w:r>
        <w:rPr>
          <w:rFonts w:hint="eastAsia" w:ascii="仿宋_GB2312" w:hAnsi="仿宋_GB2312" w:eastAsia="仿宋_GB2312" w:cs="仿宋_GB2312"/>
          <w:color w:val="000000"/>
          <w:kern w:val="0"/>
          <w:sz w:val="28"/>
          <w:szCs w:val="28"/>
        </w:rPr>
        <w:t>、人才共育</w:t>
      </w:r>
      <w:r>
        <w:rPr>
          <w:rFonts w:ascii="仿宋_GB2312" w:hAnsi="仿宋_GB2312" w:eastAsia="仿宋_GB2312" w:cs="仿宋_GB2312"/>
          <w:color w:val="000000"/>
          <w:kern w:val="0"/>
          <w:sz w:val="28"/>
          <w:szCs w:val="28"/>
        </w:rPr>
        <w:t>等多种类型。填写需求详情后，可规定本项目的对接模板，对接方发送方案时需按照预设的</w:t>
      </w:r>
      <w:r>
        <w:rPr>
          <w:rFonts w:hint="eastAsia" w:ascii="仿宋_GB2312" w:hAnsi="仿宋_GB2312" w:eastAsia="仿宋_GB2312" w:cs="仿宋_GB2312"/>
          <w:color w:val="000000"/>
          <w:kern w:val="0"/>
          <w:sz w:val="28"/>
          <w:szCs w:val="28"/>
        </w:rPr>
        <w:t>模板</w:t>
      </w:r>
      <w:r>
        <w:rPr>
          <w:rFonts w:ascii="仿宋_GB2312" w:hAnsi="仿宋_GB2312" w:eastAsia="仿宋_GB2312" w:cs="仿宋_GB2312"/>
          <w:color w:val="000000"/>
          <w:kern w:val="0"/>
          <w:sz w:val="28"/>
          <w:szCs w:val="28"/>
        </w:rPr>
        <w:t>要求填写</w:t>
      </w:r>
      <w:r>
        <w:rPr>
          <w:rFonts w:ascii="仿宋_GB2312" w:hAnsi="仿宋_GB2312" w:eastAsia="仿宋_GB2312" w:cs="仿宋_GB2312"/>
          <w:color w:val="000000"/>
          <w:kern w:val="0"/>
          <w:sz w:val="28"/>
          <w:szCs w:val="28"/>
          <w:highlight w:val="none"/>
          <w:lang w:val="en-US" w:eastAsia="zh-CN" w:bidi="ar-SA"/>
        </w:rPr>
        <w:t>。</w:t>
      </w:r>
    </w:p>
    <w:p w14:paraId="776321FA">
      <w:pPr>
        <w:pStyle w:val="84"/>
        <w:shd w:val="clear" w:color="auto" w:fill="FFFFFF"/>
        <w:spacing w:line="312" w:lineRule="auto"/>
        <w:ind w:left="0" w:firstLine="560" w:firstLineChars="200"/>
        <w:jc w:val="both"/>
        <w:rPr>
          <w:rFonts w:hint="eastAsia" w:ascii="仿宋_GB2312" w:hAnsi="仿宋_GB2312" w:eastAsia="仿宋_GB2312" w:cs="仿宋_GB2312"/>
          <w:b/>
          <w:bCs/>
          <w:color w:val="000000"/>
          <w:sz w:val="28"/>
          <w:szCs w:val="28"/>
          <w:lang w:eastAsia="zh-CN"/>
        </w:rPr>
      </w:pPr>
      <w:bookmarkStart w:id="43" w:name="_Toc28522"/>
      <w:bookmarkStart w:id="44" w:name="_Toc1249"/>
      <w:bookmarkStart w:id="45" w:name="_Toc14678"/>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b/>
          <w:bCs/>
          <w:color w:val="000000"/>
          <w:sz w:val="28"/>
          <w:szCs w:val="28"/>
          <w:lang w:eastAsia="zh-CN"/>
        </w:rPr>
        <w:t>1.6.2</w:t>
      </w:r>
      <w:r>
        <w:rPr>
          <w:rFonts w:ascii="仿宋_GB2312" w:hAnsi="仿宋_GB2312" w:eastAsia="仿宋_GB2312" w:cs="仿宋_GB2312"/>
          <w:b/>
          <w:bCs/>
          <w:color w:val="000000"/>
          <w:sz w:val="28"/>
          <w:szCs w:val="28"/>
          <w:lang w:eastAsia="zh-CN"/>
        </w:rPr>
        <w:t>项目需求对接</w:t>
      </w:r>
      <w:bookmarkEnd w:id="43"/>
      <w:bookmarkEnd w:id="44"/>
      <w:bookmarkEnd w:id="45"/>
      <w:r>
        <w:rPr>
          <w:rFonts w:hint="eastAsia" w:ascii="仿宋_GB2312" w:hAnsi="仿宋_GB2312" w:eastAsia="仿宋_GB2312" w:cs="仿宋_GB2312"/>
          <w:b/>
          <w:bCs/>
          <w:color w:val="000000"/>
          <w:sz w:val="28"/>
          <w:szCs w:val="28"/>
          <w:lang w:eastAsia="zh-CN"/>
        </w:rPr>
        <w:t>（</w:t>
      </w:r>
      <w:r>
        <w:rPr>
          <w:rFonts w:hint="eastAsia" w:ascii="仿宋_GB2312" w:hAnsi="仿宋_GB2312" w:eastAsia="仿宋_GB2312" w:cs="仿宋_GB2312"/>
          <w:b/>
          <w:bCs/>
          <w:color w:val="000000"/>
          <w:sz w:val="28"/>
          <w:szCs w:val="28"/>
          <w:lang w:val="en-US" w:eastAsia="zh-CN"/>
        </w:rPr>
        <w:t>响应</w:t>
      </w:r>
      <w:r>
        <w:rPr>
          <w:rFonts w:hint="eastAsia" w:ascii="仿宋_GB2312" w:hAnsi="仿宋_GB2312" w:eastAsia="仿宋_GB2312" w:cs="仿宋_GB2312"/>
          <w:b/>
          <w:bCs/>
          <w:color w:val="000000"/>
          <w:sz w:val="28"/>
          <w:szCs w:val="28"/>
          <w:lang w:eastAsia="zh-CN"/>
        </w:rPr>
        <w:t>文件中提供相关截图证明，并加盖供应商公章。）</w:t>
      </w:r>
    </w:p>
    <w:p w14:paraId="7602C21D">
      <w:pPr>
        <w:pStyle w:val="84"/>
        <w:shd w:val="clear" w:color="auto" w:fill="FFFFFF"/>
        <w:spacing w:line="312" w:lineRule="auto"/>
        <w:ind w:left="0" w:firstLine="560" w:firstLineChars="200"/>
        <w:jc w:val="both"/>
        <w:outlineLvl w:val="9"/>
        <w:rPr>
          <w:rFonts w:hint="eastAsia"/>
          <w:color w:val="000000"/>
          <w:highlight w:val="none"/>
        </w:rPr>
      </w:pPr>
      <w:r>
        <w:rPr>
          <w:rFonts w:ascii="仿宋_GB2312" w:hAnsi="仿宋_GB2312" w:eastAsia="仿宋_GB2312" w:cs="仿宋_GB2312"/>
          <w:color w:val="000000"/>
          <w:sz w:val="28"/>
          <w:szCs w:val="28"/>
          <w:lang w:eastAsia="zh-CN"/>
        </w:rPr>
        <w:t>项目发布之后，平台项目库中</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实时展示企业和院校的需求项目</w:t>
      </w: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支持按需求类型、需求状态、所在区域三个维度进行筛选。在查看详情页面，可查看该项目的详细情况及需求发布方的对接要求</w:t>
      </w:r>
      <w:r>
        <w:rPr>
          <w:rFonts w:ascii="仿宋_GB2312" w:hAnsi="仿宋_GB2312" w:eastAsia="仿宋_GB2312" w:cs="仿宋_GB2312"/>
          <w:color w:val="000000"/>
          <w:sz w:val="28"/>
          <w:szCs w:val="28"/>
          <w:highlight w:val="none"/>
          <w:lang w:val="en-US" w:eastAsia="zh-CN"/>
        </w:rPr>
        <w:t>。</w:t>
      </w:r>
    </w:p>
    <w:p w14:paraId="7D503518">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46" w:name="_Toc31796"/>
      <w:bookmarkStart w:id="47" w:name="_Toc7851"/>
      <w:bookmarkStart w:id="48" w:name="_Toc21754"/>
      <w:r>
        <w:rPr>
          <w:rFonts w:hint="eastAsia" w:ascii="仿宋_GB2312" w:hAnsi="仿宋_GB2312" w:eastAsia="仿宋_GB2312" w:cs="仿宋_GB2312"/>
          <w:b/>
          <w:bCs/>
          <w:color w:val="000000"/>
          <w:sz w:val="28"/>
          <w:szCs w:val="28"/>
          <w:highlight w:val="none"/>
          <w:lang w:val="en-US" w:eastAsia="zh-CN"/>
        </w:rPr>
        <w:t>1.6.3.查看对接方案</w:t>
      </w:r>
      <w:bookmarkEnd w:id="46"/>
      <w:bookmarkEnd w:id="47"/>
      <w:bookmarkEnd w:id="48"/>
    </w:p>
    <w:p w14:paraId="71DC7E69">
      <w:pPr>
        <w:pStyle w:val="84"/>
        <w:shd w:val="clear" w:color="auto" w:fill="FFFFFF"/>
        <w:spacing w:line="312" w:lineRule="auto"/>
        <w:ind w:left="0" w:firstLine="560" w:firstLineChars="200"/>
        <w:jc w:val="both"/>
        <w:outlineLvl w:val="9"/>
        <w:rPr>
          <w:rFonts w:hint="eastAsia"/>
          <w:color w:val="000000"/>
          <w:highlight w:val="none"/>
          <w:lang w:val="en-US" w:eastAsia="zh-CN"/>
        </w:rPr>
      </w:pPr>
      <w:r>
        <w:rPr>
          <w:rFonts w:hint="eastAsia" w:ascii="仿宋_GB2312" w:hAnsi="仿宋_GB2312" w:eastAsia="仿宋_GB2312" w:cs="仿宋_GB2312"/>
          <w:color w:val="000000"/>
          <w:sz w:val="28"/>
          <w:szCs w:val="28"/>
          <w:lang w:eastAsia="zh-CN"/>
        </w:rPr>
        <w:t>需实时查看已发布项目接收到的所有方案，用户可选择采纳或否定。单个项目需求支持采纳多个方案，在需求对接完成后，可通过完成方案的操作进行方案完结</w:t>
      </w:r>
      <w:r>
        <w:rPr>
          <w:rFonts w:hint="eastAsia" w:ascii="仿宋_GB2312" w:hAnsi="仿宋_GB2312" w:eastAsia="仿宋_GB2312" w:cs="仿宋_GB2312"/>
          <w:color w:val="000000"/>
          <w:sz w:val="28"/>
          <w:szCs w:val="28"/>
          <w:highlight w:val="none"/>
          <w:lang w:val="en-US" w:eastAsia="zh-CN"/>
        </w:rPr>
        <w:t>。</w:t>
      </w:r>
    </w:p>
    <w:p w14:paraId="6F7ACE2C">
      <w:pPr>
        <w:pStyle w:val="84"/>
        <w:shd w:val="clear" w:color="auto" w:fill="FFFFFF"/>
        <w:spacing w:line="312" w:lineRule="auto"/>
        <w:ind w:left="0" w:firstLine="560" w:firstLineChars="200"/>
        <w:jc w:val="both"/>
        <w:outlineLvl w:val="3"/>
        <w:rPr>
          <w:rFonts w:ascii="仿宋_GB2312" w:hAnsi="仿宋_GB2312" w:eastAsia="仿宋_GB2312" w:cs="仿宋_GB2312"/>
          <w:b/>
          <w:bCs/>
          <w:color w:val="000000"/>
          <w:sz w:val="28"/>
          <w:szCs w:val="28"/>
          <w:highlight w:val="none"/>
          <w:lang w:val="en-US" w:eastAsia="zh-CN"/>
        </w:rPr>
      </w:pPr>
      <w:bookmarkStart w:id="49" w:name="_Toc1926"/>
      <w:bookmarkStart w:id="50" w:name="_Toc3305"/>
      <w:r>
        <w:rPr>
          <w:rFonts w:hint="eastAsia" w:ascii="仿宋_GB2312" w:hAnsi="仿宋_GB2312" w:eastAsia="仿宋_GB2312" w:cs="仿宋_GB2312"/>
          <w:b/>
          <w:bCs/>
          <w:color w:val="000000"/>
          <w:sz w:val="28"/>
          <w:szCs w:val="28"/>
          <w:highlight w:val="none"/>
          <w:lang w:val="en-US" w:eastAsia="zh-CN"/>
        </w:rPr>
        <w:t>1.7产教融合定制看板</w:t>
      </w:r>
      <w:bookmarkEnd w:id="49"/>
      <w:bookmarkEnd w:id="50"/>
    </w:p>
    <w:p w14:paraId="725AB3D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定制产教融合</w:t>
      </w:r>
      <w:r>
        <w:rPr>
          <w:rFonts w:ascii="仿宋_GB2312" w:hAnsi="仿宋_GB2312" w:eastAsia="仿宋_GB2312" w:cs="仿宋_GB2312"/>
          <w:color w:val="000000"/>
          <w:sz w:val="28"/>
          <w:szCs w:val="28"/>
          <w:lang w:eastAsia="zh-CN"/>
        </w:rPr>
        <w:t>大屏</w:t>
      </w:r>
      <w:r>
        <w:rPr>
          <w:rFonts w:hint="eastAsia" w:ascii="仿宋_GB2312" w:hAnsi="仿宋_GB2312" w:eastAsia="仿宋_GB2312" w:cs="仿宋_GB2312"/>
          <w:color w:val="000000"/>
          <w:sz w:val="28"/>
          <w:szCs w:val="28"/>
          <w:lang w:eastAsia="zh-CN"/>
        </w:rPr>
        <w:t>，</w:t>
      </w:r>
      <w:r>
        <w:rPr>
          <w:rFonts w:ascii="仿宋_GB2312" w:hAnsi="仿宋_GB2312" w:eastAsia="仿宋_GB2312" w:cs="仿宋_GB2312"/>
          <w:color w:val="000000"/>
          <w:sz w:val="28"/>
          <w:szCs w:val="28"/>
          <w:lang w:eastAsia="zh-CN"/>
        </w:rPr>
        <w:t>构建一个全方位、实时动态的产业生态与人才供需监测指挥中心，</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通过数据可视化手段，深度透视产业共同体的构成、重点人才需求及区域分布，为战略规划、资源调配与精准对接提供核心数据支撑。</w:t>
      </w:r>
    </w:p>
    <w:p w14:paraId="7748EDF5">
      <w:pPr>
        <w:pStyle w:val="84"/>
        <w:shd w:val="clear" w:color="auto" w:fill="FFFFFF"/>
        <w:spacing w:line="312" w:lineRule="auto"/>
        <w:ind w:left="0" w:firstLine="560" w:firstLineChars="200"/>
        <w:jc w:val="both"/>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（1）行业领域数量分布</w:t>
      </w:r>
    </w:p>
    <w:p w14:paraId="42F3455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解构产业共同体的行业生态布局，</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对参与共同体的所有成员单位进行精细化的行业领域归类与统计。</w:t>
      </w:r>
    </w:p>
    <w:p w14:paraId="38D2909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通过环形图或堆叠柱状图等形式，展示共同体在</w:t>
      </w:r>
      <w:r>
        <w:rPr>
          <w:rFonts w:hint="eastAsia" w:ascii="仿宋_GB2312" w:hAnsi="仿宋_GB2312" w:eastAsia="仿宋_GB2312" w:cs="仿宋_GB2312"/>
          <w:color w:val="000000"/>
          <w:sz w:val="28"/>
          <w:szCs w:val="28"/>
          <w:lang w:eastAsia="zh-CN"/>
        </w:rPr>
        <w:t>产业</w:t>
      </w:r>
      <w:r>
        <w:rPr>
          <w:rFonts w:ascii="仿宋_GB2312" w:hAnsi="仿宋_GB2312" w:eastAsia="仿宋_GB2312" w:cs="仿宋_GB2312"/>
          <w:color w:val="000000"/>
          <w:sz w:val="28"/>
          <w:szCs w:val="28"/>
          <w:lang w:eastAsia="zh-CN"/>
        </w:rPr>
        <w:t>关键细分领域的数量分布与百分比占比。</w:t>
      </w:r>
    </w:p>
    <w:p w14:paraId="19CC0B7D">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直观揭示区域产业发展的优势领域、产业集群的集中度以及产业链的完整度，为研判产业态势、引导产业政策提供关键依据</w:t>
      </w:r>
      <w:r>
        <w:rPr>
          <w:rFonts w:ascii="仿宋_GB2312" w:hAnsi="仿宋_GB2312" w:eastAsia="仿宋_GB2312" w:cs="仿宋_GB2312"/>
          <w:color w:val="000000"/>
          <w:sz w:val="28"/>
          <w:szCs w:val="28"/>
          <w:highlight w:val="none"/>
          <w:lang w:val="en-US" w:eastAsia="zh-CN"/>
        </w:rPr>
        <w:t>。</w:t>
      </w:r>
    </w:p>
    <w:p w14:paraId="47A6A591">
      <w:pPr>
        <w:pStyle w:val="84"/>
        <w:shd w:val="clear" w:color="auto" w:fill="FFFFFF"/>
        <w:spacing w:line="312" w:lineRule="auto"/>
        <w:ind w:left="0" w:firstLine="560" w:firstLineChars="200"/>
        <w:jc w:val="both"/>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（2）工种需求数量</w:t>
      </w:r>
      <w:r>
        <w:rPr>
          <w:rFonts w:hint="eastAsia" w:ascii="仿宋_GB2312" w:hAnsi="仿宋_GB2312" w:eastAsia="仿宋_GB2312" w:cs="仿宋_GB2312"/>
          <w:color w:val="000000"/>
          <w:sz w:val="28"/>
          <w:szCs w:val="28"/>
          <w:lang w:eastAsia="zh-CN"/>
        </w:rPr>
        <w:t>排名</w:t>
      </w:r>
    </w:p>
    <w:p w14:paraId="5AFDBBB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聚焦于人才市场的需求侧，对当前各产业共同体所发布的全部岗位需求进行量化分析与动态排序。</w:t>
      </w:r>
    </w:p>
    <w:p w14:paraId="7CECF90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以醒目的条形图形式，</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展示需求量</w:t>
      </w:r>
      <w:r>
        <w:rPr>
          <w:rFonts w:hint="eastAsia" w:ascii="仿宋_GB2312" w:hAnsi="仿宋_GB2312" w:eastAsia="仿宋_GB2312" w:cs="仿宋_GB2312"/>
          <w:color w:val="000000"/>
          <w:sz w:val="28"/>
          <w:szCs w:val="28"/>
          <w:lang w:eastAsia="zh-CN"/>
        </w:rPr>
        <w:t>最大</w:t>
      </w:r>
      <w:r>
        <w:rPr>
          <w:rFonts w:ascii="仿宋_GB2312" w:hAnsi="仿宋_GB2312" w:eastAsia="仿宋_GB2312" w:cs="仿宋_GB2312"/>
          <w:color w:val="000000"/>
          <w:sz w:val="28"/>
          <w:szCs w:val="28"/>
          <w:lang w:eastAsia="zh-CN"/>
        </w:rPr>
        <w:t>的具体工种/岗位</w:t>
      </w:r>
      <w:r>
        <w:rPr>
          <w:rFonts w:hint="eastAsia" w:ascii="仿宋_GB2312" w:hAnsi="仿宋_GB2312" w:eastAsia="仿宋_GB2312" w:cs="仿宋_GB2312"/>
          <w:color w:val="000000"/>
          <w:sz w:val="28"/>
          <w:szCs w:val="28"/>
          <w:lang w:eastAsia="zh-CN"/>
        </w:rPr>
        <w:t>不少于10个，并呈现</w:t>
      </w:r>
      <w:r>
        <w:rPr>
          <w:rFonts w:ascii="仿宋_GB2312" w:hAnsi="仿宋_GB2312" w:eastAsia="仿宋_GB2312" w:cs="仿宋_GB2312"/>
          <w:color w:val="000000"/>
          <w:sz w:val="28"/>
          <w:szCs w:val="28"/>
          <w:lang w:eastAsia="zh-CN"/>
        </w:rPr>
        <w:t>其对应的需求数量，形成“人才需求热度榜”。</w:t>
      </w:r>
    </w:p>
    <w:p w14:paraId="2EF53B0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精准识别市场最紧缺、最急需的人才类型，直接反馈到职业教育与人才培养体系，指导专业设置、课程开发与技能培训的方向，实现人才供给与产业需求的同频共振</w:t>
      </w:r>
      <w:r>
        <w:rPr>
          <w:rFonts w:ascii="仿宋_GB2312" w:hAnsi="仿宋_GB2312" w:eastAsia="仿宋_GB2312" w:cs="仿宋_GB2312"/>
          <w:color w:val="000000"/>
          <w:sz w:val="28"/>
          <w:szCs w:val="28"/>
          <w:highlight w:val="none"/>
          <w:lang w:val="en-US" w:eastAsia="zh-CN"/>
        </w:rPr>
        <w:t>。</w:t>
      </w:r>
    </w:p>
    <w:p w14:paraId="46DD71DB">
      <w:pPr>
        <w:pStyle w:val="84"/>
        <w:shd w:val="clear" w:color="auto" w:fill="FFFFFF"/>
        <w:spacing w:line="312" w:lineRule="auto"/>
        <w:ind w:left="0" w:firstLine="560" w:firstLineChars="200"/>
        <w:jc w:val="both"/>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highlight w:val="none"/>
          <w:lang w:val="en-US" w:eastAsia="zh-CN"/>
        </w:rPr>
        <w:t>（3）</w:t>
      </w:r>
      <w:r>
        <w:rPr>
          <w:rFonts w:ascii="仿宋_GB2312" w:hAnsi="仿宋_GB2312" w:eastAsia="仿宋_GB2312" w:cs="仿宋_GB2312"/>
          <w:color w:val="000000"/>
          <w:sz w:val="28"/>
          <w:szCs w:val="28"/>
          <w:lang w:eastAsia="zh-CN"/>
        </w:rPr>
        <w:t>区域参与企业数量分布</w:t>
      </w:r>
    </w:p>
    <w:p w14:paraId="5CA6B63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从地理空间维度，综合评估各区域的产业共同体发展活力与参与密度，提供宏观到微观的纵深视野。</w:t>
      </w:r>
    </w:p>
    <w:p w14:paraId="5A5D77A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针对所选区域（如某省、某市），量化展示牵头单位数量、成员单位总数、人才需求总量、覆盖的行业领域数量等关键指标，综合反映该区域产业生态的规模与活跃度。</w:t>
      </w:r>
    </w:p>
    <w:p w14:paraId="5843D8D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以中国地图为底图，通过颜色梯度渲染每个省份的参与企业总数，颜色越深代表集聚度与参与度越高。</w:t>
      </w:r>
    </w:p>
    <w:p w14:paraId="199EC6C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一图纵览全国产业共同体的空间分布格局，识别产业高地与价值洼地，支持区域协同发展战略的制定与资源的高效配置</w:t>
      </w:r>
      <w:r>
        <w:rPr>
          <w:rFonts w:ascii="仿宋_GB2312" w:hAnsi="仿宋_GB2312" w:eastAsia="仿宋_GB2312" w:cs="仿宋_GB2312"/>
          <w:color w:val="000000"/>
          <w:sz w:val="28"/>
          <w:szCs w:val="28"/>
          <w:highlight w:val="none"/>
          <w:lang w:val="en-US" w:eastAsia="zh-CN"/>
        </w:rPr>
        <w:t>。</w:t>
      </w:r>
    </w:p>
    <w:p w14:paraId="6E6B44EA">
      <w:pPr>
        <w:pStyle w:val="84"/>
        <w:shd w:val="clear" w:color="auto" w:fill="FFFFFF"/>
        <w:spacing w:line="312" w:lineRule="auto"/>
        <w:ind w:left="0" w:firstLine="560" w:firstLineChars="200"/>
        <w:jc w:val="both"/>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highlight w:val="none"/>
          <w:lang w:val="en-US" w:eastAsia="zh-CN"/>
        </w:rPr>
        <w:t>（4）</w:t>
      </w:r>
      <w:r>
        <w:rPr>
          <w:rFonts w:ascii="仿宋_GB2312" w:hAnsi="仿宋_GB2312" w:eastAsia="仿宋_GB2312" w:cs="仿宋_GB2312"/>
          <w:color w:val="000000"/>
          <w:sz w:val="28"/>
          <w:szCs w:val="28"/>
          <w:lang w:eastAsia="zh-CN"/>
        </w:rPr>
        <w:t>公司产品（服务）需求量排名</w:t>
      </w:r>
    </w:p>
    <w:p w14:paraId="7AE898A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深入产业共同体的业务运作层面，追踪与分析其对外部产品与技术服务的具体需求动向。</w:t>
      </w:r>
    </w:p>
    <w:p w14:paraId="374293C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对共同体成员所发布的关于具体公司产品、技术解决方案或专业服务的采购与合作需求进行统计，并按需求数量进行降序排名。</w:t>
      </w:r>
    </w:p>
    <w:p w14:paraId="08FFA96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揭示产业链上下游中最活跃、最迫切的供需环节，为供应商市场拓展、技术创新方向以及潜在的业务合作机会提供明确的数据指引</w:t>
      </w:r>
      <w:r>
        <w:rPr>
          <w:rFonts w:ascii="仿宋_GB2312" w:hAnsi="仿宋_GB2312" w:eastAsia="仿宋_GB2312" w:cs="仿宋_GB2312"/>
          <w:color w:val="000000"/>
          <w:sz w:val="28"/>
          <w:szCs w:val="28"/>
          <w:highlight w:val="none"/>
          <w:lang w:val="en-US" w:eastAsia="zh-CN"/>
        </w:rPr>
        <w:t>。</w:t>
      </w:r>
    </w:p>
    <w:p w14:paraId="1E304598">
      <w:pPr>
        <w:pStyle w:val="84"/>
        <w:shd w:val="clear" w:color="auto" w:fill="FFFFFF"/>
        <w:spacing w:line="312" w:lineRule="auto"/>
        <w:ind w:left="0" w:firstLine="560" w:firstLineChars="200"/>
        <w:jc w:val="both"/>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highlight w:val="none"/>
          <w:lang w:val="en-US" w:eastAsia="zh-CN"/>
        </w:rPr>
        <w:t>（5）</w:t>
      </w:r>
      <w:r>
        <w:rPr>
          <w:rFonts w:ascii="仿宋_GB2312" w:hAnsi="仿宋_GB2312" w:eastAsia="仿宋_GB2312" w:cs="仿宋_GB2312"/>
          <w:color w:val="000000"/>
          <w:sz w:val="28"/>
          <w:szCs w:val="28"/>
          <w:lang w:eastAsia="zh-CN"/>
        </w:rPr>
        <w:t>需求匹配数量学校排名</w:t>
      </w:r>
    </w:p>
    <w:p w14:paraId="22679A4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立足于人才供给侧，评估各类教育机构在满足产业人才需求方面的响应能力与对接成效。</w:t>
      </w:r>
    </w:p>
    <w:p w14:paraId="3E60CC1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采用横向柱状图，以学校为单位，</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展示其与产业共同体需求成功匹配、对接或输送的人才数量排名。</w:t>
      </w:r>
    </w:p>
    <w:p w14:paraId="0690F672">
      <w:pPr>
        <w:pStyle w:val="84"/>
        <w:shd w:val="clear" w:color="auto" w:fill="FFFFFF"/>
        <w:spacing w:line="312" w:lineRule="auto"/>
        <w:ind w:left="0" w:firstLine="560" w:firstLineChars="200"/>
        <w:jc w:val="both"/>
        <w:outlineLvl w:val="9"/>
        <w:rPr>
          <w:color w:val="000000"/>
          <w:highlight w:val="none"/>
          <w:lang w:val="en-US"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量化院校在产教融合中的实际贡献度，树立标杆榜样，促进院校间的良性竞争，同时为企业精准寻找优质人才合作伙伴提供权威参考，有效打通“人才链”与“产业链”的</w:t>
      </w:r>
      <w:r>
        <w:rPr>
          <w:rFonts w:hint="eastAsia" w:ascii="仿宋_GB2312" w:hAnsi="仿宋_GB2312" w:eastAsia="仿宋_GB2312" w:cs="仿宋_GB2312"/>
          <w:color w:val="000000"/>
          <w:sz w:val="28"/>
          <w:szCs w:val="28"/>
          <w:lang w:eastAsia="zh-CN"/>
        </w:rPr>
        <w:t>“最后一公里”</w:t>
      </w:r>
      <w:r>
        <w:rPr>
          <w:rFonts w:ascii="仿宋_GB2312" w:hAnsi="仿宋_GB2312" w:eastAsia="仿宋_GB2312" w:cs="仿宋_GB2312"/>
          <w:color w:val="000000"/>
          <w:sz w:val="28"/>
          <w:szCs w:val="28"/>
          <w:highlight w:val="none"/>
          <w:lang w:val="en-US" w:eastAsia="zh-CN"/>
        </w:rPr>
        <w:t>。</w:t>
      </w:r>
    </w:p>
    <w:p w14:paraId="38BCDA16">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bookmarkStart w:id="51" w:name="_Toc8234"/>
      <w:bookmarkStart w:id="52" w:name="_Toc29258"/>
      <w:r>
        <w:rPr>
          <w:rFonts w:hint="eastAsia" w:ascii="仿宋_GB2312" w:hAnsi="仿宋_GB2312" w:eastAsia="仿宋_GB2312" w:cs="仿宋_GB2312"/>
          <w:b/>
          <w:bCs/>
          <w:color w:val="000000"/>
          <w:sz w:val="28"/>
          <w:szCs w:val="28"/>
          <w:highlight w:val="none"/>
          <w:lang w:val="en-US" w:eastAsia="zh-CN"/>
        </w:rPr>
        <w:t>1.8产教融合数据管理模块</w:t>
      </w:r>
      <w:bookmarkEnd w:id="51"/>
      <w:bookmarkEnd w:id="52"/>
    </w:p>
    <w:p w14:paraId="4B05D25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ascii="仿宋_GB2312" w:hAnsi="仿宋_GB2312" w:eastAsia="仿宋_GB2312" w:cs="仿宋_GB2312"/>
          <w:color w:val="000000"/>
          <w:sz w:val="28"/>
          <w:szCs w:val="28"/>
          <w:lang w:eastAsia="zh-CN"/>
        </w:rPr>
        <w:t>数据管理模块</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负责对多元异构数据进行全生命周期的统一治理与价值挖掘。该模块提供了从数据源接入、数仓存储、指标构建到</w:t>
      </w:r>
      <w:r>
        <w:rPr>
          <w:rFonts w:hint="eastAsia" w:ascii="仿宋_GB2312" w:hAnsi="仿宋_GB2312" w:eastAsia="仿宋_GB2312" w:cs="仿宋_GB2312"/>
          <w:color w:val="000000"/>
          <w:sz w:val="28"/>
          <w:szCs w:val="28"/>
          <w:lang w:eastAsia="zh-CN"/>
        </w:rPr>
        <w:t>接口</w:t>
      </w:r>
      <w:r>
        <w:rPr>
          <w:rFonts w:ascii="仿宋_GB2312" w:hAnsi="仿宋_GB2312" w:eastAsia="仿宋_GB2312" w:cs="仿宋_GB2312"/>
          <w:color w:val="000000"/>
          <w:sz w:val="28"/>
          <w:szCs w:val="28"/>
          <w:lang w:eastAsia="zh-CN"/>
        </w:rPr>
        <w:t>共享的完整链路管理能力，</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支持对</w:t>
      </w:r>
      <w:r>
        <w:rPr>
          <w:rFonts w:hint="eastAsia" w:ascii="仿宋_GB2312" w:hAnsi="仿宋_GB2312" w:eastAsia="仿宋_GB2312" w:cs="仿宋_GB2312"/>
          <w:color w:val="000000"/>
          <w:sz w:val="28"/>
          <w:szCs w:val="28"/>
          <w:lang w:eastAsia="zh-CN"/>
        </w:rPr>
        <w:t>数据库</w:t>
      </w:r>
      <w:r>
        <w:rPr>
          <w:rFonts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lang w:eastAsia="zh-CN"/>
        </w:rPr>
        <w:t>电子表格</w:t>
      </w:r>
      <w:r>
        <w:rPr>
          <w:rFonts w:ascii="仿宋_GB2312" w:hAnsi="仿宋_GB2312" w:eastAsia="仿宋_GB2312" w:cs="仿宋_GB2312"/>
          <w:color w:val="000000"/>
          <w:sz w:val="28"/>
          <w:szCs w:val="28"/>
          <w:lang w:eastAsia="zh-CN"/>
        </w:rPr>
        <w:t>等多种数据源进行可视化配置与集中调度。通过规范化的数仓管理、可复用的指标模型以及安全可控的数据服务共享机制，该模块将原始数据转化为高质量、可复用的数据资产，为上层各类产教融合应用场景、分析看板及决策报告提供稳定、可靠、敏捷的数据支撑</w:t>
      </w:r>
      <w:r>
        <w:rPr>
          <w:rFonts w:ascii="仿宋_GB2312" w:hAnsi="仿宋_GB2312" w:eastAsia="仿宋_GB2312" w:cs="仿宋_GB2312"/>
          <w:color w:val="000000"/>
          <w:sz w:val="28"/>
          <w:szCs w:val="28"/>
          <w:highlight w:val="none"/>
          <w:lang w:val="en-US" w:eastAsia="zh-CN"/>
        </w:rPr>
        <w:t>。</w:t>
      </w:r>
    </w:p>
    <w:p w14:paraId="6073E344">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53" w:name="_Toc17241"/>
      <w:bookmarkStart w:id="54" w:name="_Toc18691"/>
      <w:r>
        <w:rPr>
          <w:rFonts w:hint="eastAsia" w:ascii="仿宋_GB2312" w:hAnsi="仿宋_GB2312" w:eastAsia="仿宋_GB2312" w:cs="仿宋_GB2312"/>
          <w:b/>
          <w:bCs/>
          <w:color w:val="000000"/>
          <w:sz w:val="28"/>
          <w:szCs w:val="28"/>
          <w:highlight w:val="none"/>
          <w:lang w:val="en-US" w:eastAsia="zh-CN"/>
        </w:rPr>
        <w:t>1.8.1数据源管理</w:t>
      </w:r>
      <w:bookmarkEnd w:id="53"/>
      <w:bookmarkEnd w:id="54"/>
    </w:p>
    <w:p w14:paraId="36F980D8">
      <w:pPr>
        <w:pStyle w:val="84"/>
        <w:shd w:val="clear" w:color="auto" w:fill="FFFFFF"/>
        <w:spacing w:line="312" w:lineRule="auto"/>
        <w:ind w:left="0" w:firstLine="560" w:firstLineChars="200"/>
        <w:jc w:val="both"/>
        <w:outlineLvl w:val="9"/>
        <w:rPr>
          <w:color w:val="000000"/>
          <w:highlight w:val="none"/>
        </w:rPr>
      </w:pPr>
      <w:r>
        <w:rPr>
          <w:rFonts w:hint="eastAsia" w:ascii="仿宋_GB2312" w:hAnsi="仿宋_GB2312" w:eastAsia="仿宋_GB2312" w:cs="仿宋_GB2312"/>
          <w:color w:val="000000"/>
          <w:sz w:val="28"/>
          <w:szCs w:val="28"/>
          <w:lang w:eastAsia="zh-CN"/>
        </w:rPr>
        <w:t>用于管理各类数据连接信息，是后续数据分析操作中数据的来源，需支持接入数据库和电子表格的数据源</w:t>
      </w:r>
      <w:r>
        <w:rPr>
          <w:rFonts w:hint="eastAsia" w:ascii="仿宋_GB2312" w:hAnsi="仿宋_GB2312" w:eastAsia="仿宋_GB2312" w:cs="仿宋_GB2312"/>
          <w:color w:val="000000"/>
          <w:sz w:val="28"/>
          <w:szCs w:val="28"/>
          <w:highlight w:val="none"/>
          <w:lang w:val="en-US" w:eastAsia="zh-CN"/>
        </w:rPr>
        <w:t>。</w:t>
      </w:r>
    </w:p>
    <w:p w14:paraId="64637D99">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bookmarkStart w:id="55" w:name="_Toc22695"/>
      <w:r>
        <w:rPr>
          <w:rFonts w:hint="eastAsia" w:ascii="仿宋_GB2312" w:hAnsi="仿宋_GB2312" w:eastAsia="仿宋_GB2312" w:cs="仿宋_GB2312"/>
          <w:b w:val="0"/>
          <w:bCs w:val="0"/>
          <w:color w:val="000000"/>
          <w:sz w:val="28"/>
          <w:szCs w:val="28"/>
          <w:highlight w:val="none"/>
          <w:lang w:val="en-US" w:eastAsia="zh-CN"/>
        </w:rPr>
        <w:t>1.8.1.1数据源管理</w:t>
      </w:r>
      <w:bookmarkEnd w:id="55"/>
    </w:p>
    <w:p w14:paraId="6FA0928F">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以树状结构层级化存储各类数据源，需支持对文件夹及数据源进行创建、修改、删除、批量排序等操作，同时提供快速搜索定位功能，实现数据源的有序分类与高效管理，帮助用户清晰梳理资源关系</w:t>
      </w:r>
      <w:r>
        <w:rPr>
          <w:rFonts w:hint="eastAsia" w:ascii="仿宋_GB2312" w:hAnsi="仿宋_GB2312" w:eastAsia="仿宋_GB2312" w:cs="仿宋_GB2312"/>
          <w:b w:val="0"/>
          <w:bCs w:val="0"/>
          <w:color w:val="000000"/>
          <w:sz w:val="28"/>
          <w:szCs w:val="28"/>
          <w:highlight w:val="none"/>
          <w:lang w:val="en-US" w:eastAsia="zh-CN"/>
        </w:rPr>
        <w:t>。</w:t>
      </w:r>
    </w:p>
    <w:p w14:paraId="3A1DD7D2">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bookmarkStart w:id="56" w:name="_Toc2455"/>
      <w:r>
        <w:rPr>
          <w:rFonts w:hint="eastAsia" w:ascii="仿宋_GB2312" w:hAnsi="仿宋_GB2312" w:eastAsia="仿宋_GB2312" w:cs="仿宋_GB2312"/>
          <w:b w:val="0"/>
          <w:bCs w:val="0"/>
          <w:color w:val="000000"/>
          <w:sz w:val="28"/>
          <w:szCs w:val="28"/>
          <w:highlight w:val="none"/>
          <w:lang w:val="en-US" w:eastAsia="zh-CN"/>
        </w:rPr>
        <w:t>1.8.1.2数据源列表</w:t>
      </w:r>
      <w:bookmarkEnd w:id="56"/>
    </w:p>
    <w:p w14:paraId="0636DDE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数据源需以列表形式呈现，主要显示以下字段：数据源名称、连接状态、创建人、类型、创建时间等。</w:t>
      </w:r>
    </w:p>
    <w:p w14:paraId="3B6E508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连接状态分为“正常”和“异常”两种；类型包括数据库和电子表格两种，且这两个字段均支持筛选功能，便于快速查找数据源。</w:t>
      </w:r>
    </w:p>
    <w:p w14:paraId="6FAA62D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列表需支持关键词搜索，可实时显示包含搜索词的数据源。用户还可对所选数据源执行修改、删除、移动等操作。</w:t>
      </w:r>
    </w:p>
    <w:p w14:paraId="6E597C9C">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需支持下钻查看数据源详情页，系统会自动追踪并在目录中定位当前数据源的位置，并展开其下属的数据表。选择任意数据表可进一步查看该表的详细信息</w:t>
      </w:r>
      <w:r>
        <w:rPr>
          <w:rFonts w:hint="eastAsia" w:ascii="仿宋_GB2312" w:hAnsi="仿宋_GB2312" w:eastAsia="仿宋_GB2312" w:cs="仿宋_GB2312"/>
          <w:b w:val="0"/>
          <w:bCs w:val="0"/>
          <w:color w:val="000000"/>
          <w:sz w:val="28"/>
          <w:szCs w:val="28"/>
          <w:highlight w:val="none"/>
          <w:lang w:val="en-US" w:eastAsia="zh-CN"/>
        </w:rPr>
        <w:t>。</w:t>
      </w:r>
    </w:p>
    <w:p w14:paraId="453C6845">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bookmarkStart w:id="57" w:name="_Toc7146"/>
      <w:r>
        <w:rPr>
          <w:rFonts w:hint="eastAsia" w:ascii="仿宋_GB2312" w:hAnsi="仿宋_GB2312" w:eastAsia="仿宋_GB2312" w:cs="仿宋_GB2312"/>
          <w:b w:val="0"/>
          <w:bCs w:val="0"/>
          <w:color w:val="000000"/>
          <w:sz w:val="28"/>
          <w:szCs w:val="28"/>
          <w:highlight w:val="none"/>
          <w:lang w:val="en-US" w:eastAsia="zh-CN"/>
        </w:rPr>
        <w:t>1.8.1.3数据源详情页</w:t>
      </w:r>
      <w:bookmarkEnd w:id="57"/>
    </w:p>
    <w:p w14:paraId="5CF9728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数据源详情页用于展示创建该数据源时所填写的基本信息，并需提供对其所接入的数据源列表的切换查看功能。</w:t>
      </w:r>
    </w:p>
    <w:p w14:paraId="78E966D6">
      <w:pPr>
        <w:pStyle w:val="84"/>
        <w:shd w:val="clear" w:color="auto" w:fill="FFFFFF"/>
        <w:spacing w:line="312" w:lineRule="auto"/>
        <w:ind w:left="0" w:firstLine="560" w:firstLineChars="200"/>
        <w:jc w:val="both"/>
        <w:outlineLvl w:val="9"/>
        <w:rPr>
          <w:b w:val="0"/>
          <w:bCs w:val="0"/>
          <w:color w:val="000000"/>
          <w:highlight w:val="none"/>
        </w:rPr>
      </w:pPr>
      <w:r>
        <w:rPr>
          <w:rFonts w:hint="eastAsia" w:ascii="仿宋_GB2312" w:hAnsi="仿宋_GB2312" w:eastAsia="仿宋_GB2312" w:cs="仿宋_GB2312"/>
          <w:color w:val="000000"/>
          <w:sz w:val="28"/>
          <w:szCs w:val="28"/>
          <w:lang w:eastAsia="zh-CN"/>
        </w:rPr>
        <w:t>点击任一数据源表名称，需支持下钻至该表的详情页，查看包括数据源名称、备注、字段信息及字段类型等详细内容</w:t>
      </w:r>
      <w:r>
        <w:rPr>
          <w:rFonts w:hint="eastAsia" w:ascii="仿宋_GB2312" w:hAnsi="仿宋_GB2312" w:eastAsia="仿宋_GB2312" w:cs="仿宋_GB2312"/>
          <w:b w:val="0"/>
          <w:bCs w:val="0"/>
          <w:color w:val="000000"/>
          <w:sz w:val="28"/>
          <w:szCs w:val="28"/>
          <w:highlight w:val="none"/>
          <w:lang w:val="en-US" w:eastAsia="zh-CN"/>
        </w:rPr>
        <w:t>。</w:t>
      </w:r>
    </w:p>
    <w:p w14:paraId="35DDA889">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bookmarkStart w:id="58" w:name="_Toc20093"/>
      <w:r>
        <w:rPr>
          <w:rFonts w:hint="eastAsia" w:ascii="仿宋_GB2312" w:hAnsi="仿宋_GB2312" w:eastAsia="仿宋_GB2312" w:cs="仿宋_GB2312"/>
          <w:b w:val="0"/>
          <w:bCs w:val="0"/>
          <w:color w:val="000000"/>
          <w:sz w:val="28"/>
          <w:szCs w:val="28"/>
          <w:highlight w:val="none"/>
          <w:lang w:val="en-US" w:eastAsia="zh-CN"/>
        </w:rPr>
        <w:t>1.8.1.4创建数据源</w:t>
      </w:r>
      <w:bookmarkEnd w:id="58"/>
    </w:p>
    <w:p w14:paraId="1994159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用户选定数据源类型后，根据对应类型的表单填写所需信息，即可完成数据源的创建。</w:t>
      </w:r>
    </w:p>
    <w:p w14:paraId="4B02DC55">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当前系统需支持以下两种数据源类型</w:t>
      </w:r>
      <w:r>
        <w:rPr>
          <w:rFonts w:hint="eastAsia" w:ascii="仿宋_GB2312" w:hAnsi="仿宋_GB2312" w:eastAsia="仿宋_GB2312" w:cs="仿宋_GB2312"/>
          <w:b w:val="0"/>
          <w:bCs w:val="0"/>
          <w:color w:val="000000"/>
          <w:sz w:val="28"/>
          <w:szCs w:val="28"/>
          <w:highlight w:val="none"/>
          <w:lang w:val="en-US" w:eastAsia="zh-CN"/>
        </w:rPr>
        <w:t>：​</w:t>
      </w:r>
    </w:p>
    <w:p w14:paraId="30370C86">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w:t>
      </w:r>
      <w:r>
        <w:rPr>
          <w:rFonts w:hint="eastAsia" w:ascii="仿宋_GB2312" w:hAnsi="仿宋_GB2312" w:eastAsia="仿宋_GB2312" w:cs="仿宋_GB2312"/>
          <w:color w:val="000000"/>
          <w:sz w:val="28"/>
          <w:szCs w:val="28"/>
          <w:lang w:val="en-US" w:eastAsia="zh-CN"/>
        </w:rPr>
        <w:t>数据库</w:t>
      </w:r>
    </w:p>
    <w:p w14:paraId="11FF54D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基于关系型数据库管理系统，以结构化表、行、列的形式存储数据。创建数据库的数据源需按以下步骤填写信息：</w:t>
      </w:r>
    </w:p>
    <w:p w14:paraId="563B204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①基本信息：填写数据源名称、描述及所属目录。</w:t>
      </w:r>
    </w:p>
    <w:p w14:paraId="66B924F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②连接设置：可选择以下两种连接方式之一：</w:t>
      </w:r>
    </w:p>
    <w:p w14:paraId="77BFEFB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③主机名方式：需填写主机名、端口、数据库名称等；</w:t>
      </w:r>
    </w:p>
    <w:p w14:paraId="1333412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④字符串方式：直接输入完整的数据库连接字符串。</w:t>
      </w:r>
    </w:p>
    <w:p w14:paraId="783B05E6">
      <w:pPr>
        <w:pStyle w:val="84"/>
        <w:shd w:val="clear" w:color="auto" w:fill="FFFFFF"/>
        <w:spacing w:line="312" w:lineRule="auto"/>
        <w:ind w:left="0" w:firstLine="560" w:firstLineChars="200"/>
        <w:jc w:val="both"/>
        <w:outlineLvl w:val="9"/>
        <w:rPr>
          <w:color w:val="000000"/>
          <w:highlight w:val="none"/>
        </w:rPr>
      </w:pPr>
      <w:r>
        <w:rPr>
          <w:rFonts w:hint="eastAsia" w:ascii="仿宋_GB2312" w:hAnsi="仿宋_GB2312" w:eastAsia="仿宋_GB2312" w:cs="仿宋_GB2312"/>
          <w:color w:val="000000"/>
          <w:sz w:val="28"/>
          <w:szCs w:val="28"/>
          <w:lang w:eastAsia="zh-CN"/>
        </w:rPr>
        <w:t>⑤安全外壳协议设置：如启用安全外壳协议，可选择密码认证或密钥认证方式完成配置</w:t>
      </w:r>
      <w:r>
        <w:rPr>
          <w:rFonts w:hint="eastAsia" w:ascii="仿宋_GB2312" w:hAnsi="仿宋_GB2312" w:eastAsia="仿宋_GB2312" w:cs="仿宋_GB2312"/>
          <w:color w:val="000000"/>
          <w:sz w:val="28"/>
          <w:szCs w:val="28"/>
          <w:highlight w:val="none"/>
          <w:lang w:val="en-US" w:eastAsia="zh-CN"/>
        </w:rPr>
        <w:t>。</w:t>
      </w:r>
    </w:p>
    <w:p w14:paraId="38938FC0">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（2）</w:t>
      </w:r>
      <w:r>
        <w:rPr>
          <w:rFonts w:hint="eastAsia" w:ascii="仿宋_GB2312" w:hAnsi="仿宋_GB2312" w:eastAsia="仿宋_GB2312" w:cs="仿宋_GB2312"/>
          <w:color w:val="000000"/>
          <w:sz w:val="28"/>
          <w:szCs w:val="28"/>
          <w:lang w:val="en-US" w:eastAsia="zh-CN"/>
        </w:rPr>
        <w:t>电子表格</w:t>
      </w:r>
    </w:p>
    <w:p w14:paraId="1529056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指以.xlsx、.xls等电子表格文件为载体的文件型数据源。创建时需完成以下操作：</w:t>
      </w:r>
    </w:p>
    <w:p w14:paraId="4CB675E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①填写数据源名称与所属目录；</w:t>
      </w:r>
    </w:p>
    <w:p w14:paraId="026C32C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②上传电子表格文件（注意：文件需满足以下要求）：无合并单元格；无重复或含空格的字段名称；无空数据或空字段；文件大小不超过500MB。</w:t>
      </w:r>
    </w:p>
    <w:p w14:paraId="31329ED3">
      <w:pPr>
        <w:pStyle w:val="84"/>
        <w:shd w:val="clear" w:color="auto" w:fill="FFFFFF"/>
        <w:spacing w:line="312" w:lineRule="auto"/>
        <w:ind w:left="0" w:firstLine="560" w:firstLineChars="200"/>
        <w:jc w:val="both"/>
        <w:outlineLvl w:val="9"/>
        <w:rPr>
          <w:rFonts w:hint="eastAsia"/>
          <w:color w:val="000000"/>
          <w:highlight w:val="none"/>
          <w:lang w:val="en-US" w:eastAsia="zh-CN"/>
        </w:rPr>
      </w:pPr>
      <w:r>
        <w:rPr>
          <w:rFonts w:hint="eastAsia" w:ascii="仿宋_GB2312" w:hAnsi="仿宋_GB2312" w:eastAsia="仿宋_GB2312" w:cs="仿宋_GB2312"/>
          <w:color w:val="000000"/>
          <w:sz w:val="28"/>
          <w:szCs w:val="28"/>
          <w:lang w:eastAsia="zh-CN"/>
        </w:rPr>
        <w:t>系统解析文件后，需支持预览所有表格数据，并可在字段选择模块中筛选所需字段进行导入；需注意每个表中须有且仅有一个字段被设为主键</w:t>
      </w:r>
      <w:r>
        <w:rPr>
          <w:rFonts w:hint="eastAsia" w:ascii="仿宋_GB2312" w:hAnsi="仿宋_GB2312" w:eastAsia="仿宋_GB2312" w:cs="仿宋_GB2312"/>
          <w:color w:val="000000"/>
          <w:sz w:val="28"/>
          <w:szCs w:val="28"/>
          <w:highlight w:val="none"/>
          <w:lang w:val="en-US" w:eastAsia="zh-CN"/>
        </w:rPr>
        <w:t>。</w:t>
      </w:r>
    </w:p>
    <w:p w14:paraId="14157FF8">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59" w:name="_Toc12114"/>
      <w:bookmarkStart w:id="60" w:name="_Toc10933"/>
      <w:r>
        <w:rPr>
          <w:rFonts w:hint="eastAsia" w:ascii="仿宋_GB2312" w:hAnsi="仿宋_GB2312" w:eastAsia="仿宋_GB2312" w:cs="仿宋_GB2312"/>
          <w:b/>
          <w:bCs/>
          <w:color w:val="000000"/>
          <w:sz w:val="28"/>
          <w:szCs w:val="28"/>
          <w:highlight w:val="none"/>
          <w:lang w:val="en-US" w:eastAsia="zh-CN"/>
        </w:rPr>
        <w:t>1.8.2数仓管理</w:t>
      </w:r>
      <w:bookmarkEnd w:id="59"/>
      <w:bookmarkEnd w:id="60"/>
    </w:p>
    <w:p w14:paraId="5DB9FFFF">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需对数据表进行创建与存储，实现有序管理，为数据查询、分析及应用提供可靠支撑。</w:t>
      </w:r>
    </w:p>
    <w:p w14:paraId="1F8207C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61" w:name="_Toc17306"/>
      <w:r>
        <w:rPr>
          <w:rFonts w:hint="eastAsia" w:ascii="仿宋_GB2312" w:hAnsi="仿宋_GB2312" w:eastAsia="仿宋_GB2312" w:cs="仿宋_GB2312"/>
          <w:color w:val="000000"/>
          <w:sz w:val="28"/>
          <w:szCs w:val="28"/>
          <w:lang w:eastAsia="zh-CN"/>
        </w:rPr>
        <w:t>1.8.2.1数据表管理</w:t>
      </w:r>
      <w:bookmarkEnd w:id="61"/>
    </w:p>
    <w:p w14:paraId="33C30AC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采用树状结构组织数据表，需支持对文件夹进行创建、修改、删除及批量排序等操作；</w:t>
      </w:r>
    </w:p>
    <w:p w14:paraId="0A6E0D1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需支持对数据表进行创建、查看、复制、修改、删除、导入和导出；</w:t>
      </w:r>
    </w:p>
    <w:p w14:paraId="229C1F27">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需提供快速搜索定位功能，方便用户高效管理数据表</w:t>
      </w:r>
      <w:r>
        <w:rPr>
          <w:rFonts w:hint="eastAsia" w:ascii="仿宋_GB2312" w:hAnsi="仿宋_GB2312" w:eastAsia="仿宋_GB2312" w:cs="仿宋_GB2312"/>
          <w:b w:val="0"/>
          <w:bCs w:val="0"/>
          <w:color w:val="000000"/>
          <w:sz w:val="28"/>
          <w:szCs w:val="28"/>
          <w:highlight w:val="none"/>
          <w:lang w:val="en-US" w:eastAsia="zh-CN"/>
        </w:rPr>
        <w:t>。</w:t>
      </w:r>
    </w:p>
    <w:p w14:paraId="5C8A7425">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bookmarkStart w:id="62" w:name="_Toc16666"/>
      <w:r>
        <w:rPr>
          <w:rFonts w:hint="eastAsia" w:ascii="仿宋_GB2312" w:hAnsi="仿宋_GB2312" w:eastAsia="仿宋_GB2312" w:cs="仿宋_GB2312"/>
          <w:b w:val="0"/>
          <w:bCs w:val="0"/>
          <w:color w:val="000000"/>
          <w:sz w:val="28"/>
          <w:szCs w:val="28"/>
          <w:highlight w:val="none"/>
          <w:lang w:val="en-US" w:eastAsia="zh-CN"/>
        </w:rPr>
        <w:t>1.8.2.2数据表列表</w:t>
      </w:r>
      <w:bookmarkEnd w:id="62"/>
    </w:p>
    <w:p w14:paraId="3DB6475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以列表形式需要展示所有数据表，主要显示数据表名称、创建人、类型、创建时间等字段，并支持按类型筛选；</w:t>
      </w:r>
    </w:p>
    <w:p w14:paraId="7C22A64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需支持关键词搜索，实时显示匹配结果；</w:t>
      </w:r>
    </w:p>
    <w:p w14:paraId="6FC2A17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点击数据表名称可下钻至详情页，系统需自动在目录中定位并展开该数据源位置；</w:t>
      </w:r>
    </w:p>
    <w:p w14:paraId="72675D7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需支持对所选数据表执行修改、删除、导出及导入等操作。</w:t>
      </w:r>
    </w:p>
    <w:p w14:paraId="77735B5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63" w:name="_Toc15744"/>
      <w:r>
        <w:rPr>
          <w:rFonts w:hint="eastAsia" w:ascii="仿宋_GB2312" w:hAnsi="仿宋_GB2312" w:eastAsia="仿宋_GB2312" w:cs="仿宋_GB2312"/>
          <w:color w:val="000000"/>
          <w:sz w:val="28"/>
          <w:szCs w:val="28"/>
          <w:lang w:eastAsia="zh-CN"/>
        </w:rPr>
        <w:t>1.8.2.3数据表详情</w:t>
      </w:r>
      <w:bookmarkEnd w:id="63"/>
    </w:p>
    <w:p w14:paraId="2FAEC5F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需展示数据表的基础信息（如名称、描述）及字段结构（字段名称、类型等）；</w:t>
      </w:r>
    </w:p>
    <w:p w14:paraId="4FB61BA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需支持对表进行编辑、删除、导出、导入、查询及权限设置；</w:t>
      </w:r>
    </w:p>
    <w:p w14:paraId="553D1DCA">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需支持对表中单条数据进行新增、删除和编辑操作</w:t>
      </w:r>
      <w:r>
        <w:rPr>
          <w:rFonts w:hint="eastAsia" w:ascii="仿宋_GB2312" w:hAnsi="仿宋_GB2312" w:eastAsia="仿宋_GB2312" w:cs="仿宋_GB2312"/>
          <w:b w:val="0"/>
          <w:bCs w:val="0"/>
          <w:color w:val="000000"/>
          <w:sz w:val="28"/>
          <w:szCs w:val="28"/>
          <w:highlight w:val="none"/>
          <w:lang w:val="en-US" w:eastAsia="zh-CN"/>
        </w:rPr>
        <w:t>。</w:t>
      </w:r>
    </w:p>
    <w:p w14:paraId="71DDBA27">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bookmarkStart w:id="64" w:name="_Toc15818"/>
      <w:r>
        <w:rPr>
          <w:rFonts w:hint="eastAsia" w:ascii="仿宋_GB2312" w:hAnsi="仿宋_GB2312" w:eastAsia="仿宋_GB2312" w:cs="仿宋_GB2312"/>
          <w:b w:val="0"/>
          <w:bCs w:val="0"/>
          <w:color w:val="000000"/>
          <w:sz w:val="28"/>
          <w:szCs w:val="28"/>
          <w:highlight w:val="none"/>
          <w:lang w:val="en-US" w:eastAsia="zh-CN"/>
        </w:rPr>
        <w:t>1.8.2.4创建数据表</w:t>
      </w:r>
      <w:bookmarkEnd w:id="64"/>
    </w:p>
    <w:p w14:paraId="34A6A05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需支持两种创建方式：</w:t>
      </w:r>
    </w:p>
    <w:p w14:paraId="751AED3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（1）直接创建</w:t>
      </w:r>
    </w:p>
    <w:p w14:paraId="263410C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用户自行配置字段信息，包括字段名称、类型等，并可灵活新增或删减字段。需填写数据表名称、所属目录和描述等基础信息。</w:t>
      </w:r>
    </w:p>
    <w:p w14:paraId="3153846D">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（2）基于数据源表创建</w:t>
      </w:r>
    </w:p>
    <w:p w14:paraId="3B46812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选择现有数据源及其表，系统自动加载对应字段信息，用户可选择所需字段或调整字段类型等配置。</w:t>
      </w:r>
    </w:p>
    <w:p w14:paraId="59D2120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注意事项：</w:t>
      </w:r>
    </w:p>
    <w:p w14:paraId="1ABFD52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字段类型包括文本、数值、时间等多种选项；</w:t>
      </w:r>
    </w:p>
    <w:p w14:paraId="5969BC6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度量一般为数值类型，其余类型可作为维度；</w:t>
      </w:r>
    </w:p>
    <w:p w14:paraId="7C1360A5">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每个表须有且仅有一个主键，且至少包含一个字段</w:t>
      </w:r>
      <w:r>
        <w:rPr>
          <w:rFonts w:hint="eastAsia" w:ascii="仿宋_GB2312" w:hAnsi="仿宋_GB2312" w:eastAsia="仿宋_GB2312" w:cs="仿宋_GB2312"/>
          <w:b w:val="0"/>
          <w:bCs w:val="0"/>
          <w:color w:val="000000"/>
          <w:sz w:val="28"/>
          <w:szCs w:val="28"/>
          <w:highlight w:val="none"/>
          <w:lang w:val="en-US" w:eastAsia="zh-CN"/>
        </w:rPr>
        <w:t>。</w:t>
      </w:r>
    </w:p>
    <w:p w14:paraId="67A3780E">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bookmarkStart w:id="65" w:name="_Toc8174"/>
      <w:r>
        <w:rPr>
          <w:rFonts w:hint="eastAsia" w:ascii="仿宋_GB2312" w:hAnsi="仿宋_GB2312" w:eastAsia="仿宋_GB2312" w:cs="仿宋_GB2312"/>
          <w:b w:val="0"/>
          <w:bCs w:val="0"/>
          <w:color w:val="000000"/>
          <w:sz w:val="28"/>
          <w:szCs w:val="28"/>
          <w:highlight w:val="none"/>
          <w:lang w:val="en-US" w:eastAsia="zh-CN"/>
        </w:rPr>
        <w:t>1.8.2.5导入/导出数据</w:t>
      </w:r>
      <w:bookmarkEnd w:id="65"/>
    </w:p>
    <w:p w14:paraId="2F28DBF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（1）导入数据</w:t>
      </w:r>
    </w:p>
    <w:p w14:paraId="70A059BD">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下载模板并按格式填写文件，上传后可预览数据，需支持“追加数据”或“覆盖数据”两种导入方式。若文件有误，可重新上传。</w:t>
      </w:r>
    </w:p>
    <w:p w14:paraId="7ED195F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①追加数据：新增数据，不影响原有数据；</w:t>
      </w:r>
    </w:p>
    <w:p w14:paraId="563AFE8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②覆盖数据：清空原数据，仅保留导入数据。</w:t>
      </w:r>
    </w:p>
    <w:p w14:paraId="7149FF6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（2）导出数据</w:t>
      </w:r>
    </w:p>
    <w:p w14:paraId="624CFEEC">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需支持将数据表以电子表格格式导出。</w:t>
      </w:r>
    </w:p>
    <w:p w14:paraId="4B0B667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66" w:name="_Toc17963"/>
      <w:r>
        <w:rPr>
          <w:rFonts w:hint="eastAsia" w:ascii="仿宋_GB2312" w:hAnsi="仿宋_GB2312" w:eastAsia="仿宋_GB2312" w:cs="仿宋_GB2312"/>
          <w:color w:val="000000"/>
          <w:sz w:val="28"/>
          <w:szCs w:val="28"/>
          <w:lang w:eastAsia="zh-CN"/>
        </w:rPr>
        <w:t>1.8.2.6查询数据</w:t>
      </w:r>
      <w:bookmarkEnd w:id="66"/>
    </w:p>
    <w:p w14:paraId="346C58F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支持按字段赋值条件查询数据，可选择“所有条件”或“任意条件”；</w:t>
      </w:r>
    </w:p>
    <w:p w14:paraId="2C3EA87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查询结果按匹配程度从高到低排序；</w:t>
      </w:r>
    </w:p>
    <w:p w14:paraId="4B088933">
      <w:pPr>
        <w:pStyle w:val="84"/>
        <w:shd w:val="clear" w:color="auto" w:fill="FFFFFF"/>
        <w:spacing w:line="312" w:lineRule="auto"/>
        <w:ind w:left="0" w:firstLine="560" w:firstLineChars="200"/>
        <w:jc w:val="both"/>
        <w:outlineLvl w:val="9"/>
        <w:rPr>
          <w:color w:val="000000"/>
          <w:lang w:eastAsia="zh-CN"/>
        </w:rPr>
      </w:pPr>
      <w:r>
        <w:rPr>
          <w:rFonts w:ascii="仿宋_GB2312" w:hAnsi="仿宋_GB2312" w:eastAsia="仿宋_GB2312" w:cs="仿宋_GB2312"/>
          <w:color w:val="000000"/>
          <w:sz w:val="28"/>
          <w:szCs w:val="28"/>
          <w:lang w:eastAsia="zh-CN"/>
        </w:rPr>
        <w:t>查询完毕后可收起查询栏隐藏条件界面。</w:t>
      </w:r>
    </w:p>
    <w:p w14:paraId="0F28679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67" w:name="_Toc19557"/>
      <w:r>
        <w:rPr>
          <w:rFonts w:hint="eastAsia" w:ascii="仿宋_GB2312" w:hAnsi="仿宋_GB2312" w:eastAsia="仿宋_GB2312" w:cs="仿宋_GB2312"/>
          <w:color w:val="000000"/>
          <w:sz w:val="28"/>
          <w:szCs w:val="28"/>
          <w:lang w:eastAsia="zh-CN"/>
        </w:rPr>
        <w:t>1.8.2</w:t>
      </w:r>
      <w:r>
        <w:rPr>
          <w:rFonts w:ascii="仿宋_GB2312" w:hAnsi="仿宋_GB2312" w:eastAsia="仿宋_GB2312" w:cs="仿宋_GB2312"/>
          <w:color w:val="000000"/>
          <w:sz w:val="28"/>
          <w:szCs w:val="28"/>
          <w:lang w:eastAsia="zh-CN"/>
        </w:rPr>
        <w:t>.7表权限管理</w:t>
      </w:r>
      <w:bookmarkEnd w:id="67"/>
    </w:p>
    <w:p w14:paraId="75E0CD4F">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以列表形式展示每个表的权限规则，通过设置行、列权限组成权限组，并分配给不同角色或用户。</w:t>
      </w:r>
    </w:p>
    <w:p w14:paraId="364151A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（1）新建规则</w:t>
      </w:r>
    </w:p>
    <w:p w14:paraId="1A73FCC2">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选择权限类型及对象，配置其可见的权限组。支持多选对象，可直接新建权限组并分配。</w:t>
      </w:r>
    </w:p>
    <w:p w14:paraId="6C73C6C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（2）新建权限组</w:t>
      </w:r>
    </w:p>
    <w:p w14:paraId="4E2E9CD0">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填写权限组名称，需分别配置行权限和列权限</w:t>
      </w:r>
      <w:r>
        <w:rPr>
          <w:rFonts w:hint="eastAsia" w:ascii="仿宋_GB2312" w:hAnsi="仿宋_GB2312" w:eastAsia="仿宋_GB2312" w:cs="仿宋_GB2312"/>
          <w:color w:val="000000"/>
          <w:sz w:val="28"/>
          <w:szCs w:val="28"/>
          <w:highlight w:val="none"/>
          <w:lang w:val="en-US" w:eastAsia="zh-CN"/>
        </w:rPr>
        <w:t>。</w:t>
      </w:r>
    </w:p>
    <w:p w14:paraId="0E38751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①行权限：控制可查看的数据行，通过设置字段条件及条件间关联关系实现；</w:t>
      </w:r>
    </w:p>
    <w:p w14:paraId="4730EC6C">
      <w:pPr>
        <w:pStyle w:val="84"/>
        <w:shd w:val="clear" w:color="auto" w:fill="FFFFFF"/>
        <w:spacing w:line="312" w:lineRule="auto"/>
        <w:ind w:left="0" w:firstLine="560" w:firstLineChars="200"/>
        <w:jc w:val="both"/>
        <w:outlineLvl w:val="9"/>
        <w:rPr>
          <w:color w:val="000000"/>
          <w:highlight w:val="none"/>
          <w:lang w:val="en-US" w:eastAsia="zh-CN"/>
        </w:rPr>
      </w:pPr>
      <w:r>
        <w:rPr>
          <w:rFonts w:hint="eastAsia" w:ascii="仿宋_GB2312" w:hAnsi="仿宋_GB2312" w:eastAsia="仿宋_GB2312" w:cs="仿宋_GB2312"/>
          <w:color w:val="000000"/>
          <w:sz w:val="28"/>
          <w:szCs w:val="28"/>
          <w:lang w:eastAsia="zh-CN"/>
        </w:rPr>
        <w:t>②列权限：控制可查看的字段，支持对可见字段设置脱敏规则</w:t>
      </w:r>
      <w:r>
        <w:rPr>
          <w:rFonts w:hint="eastAsia" w:ascii="仿宋_GB2312" w:hAnsi="仿宋_GB2312" w:eastAsia="仿宋_GB2312" w:cs="仿宋_GB2312"/>
          <w:color w:val="000000"/>
          <w:sz w:val="28"/>
          <w:szCs w:val="28"/>
          <w:highlight w:val="none"/>
          <w:lang w:val="en-US" w:eastAsia="zh-CN"/>
        </w:rPr>
        <w:t>。</w:t>
      </w:r>
    </w:p>
    <w:p w14:paraId="0A302584">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68" w:name="_Toc9404"/>
      <w:bookmarkStart w:id="69" w:name="_Toc29210"/>
      <w:r>
        <w:rPr>
          <w:rFonts w:hint="eastAsia" w:ascii="仿宋_GB2312" w:hAnsi="仿宋_GB2312" w:eastAsia="仿宋_GB2312" w:cs="仿宋_GB2312"/>
          <w:b/>
          <w:bCs/>
          <w:color w:val="000000"/>
          <w:sz w:val="28"/>
          <w:szCs w:val="28"/>
          <w:highlight w:val="none"/>
          <w:lang w:val="en-US" w:eastAsia="zh-CN"/>
        </w:rPr>
        <w:t>1.8.3指标管理</w:t>
      </w:r>
      <w:bookmarkEnd w:id="68"/>
      <w:bookmarkEnd w:id="69"/>
    </w:p>
    <w:p w14:paraId="0864E8AB">
      <w:pPr>
        <w:pStyle w:val="84"/>
        <w:shd w:val="clear" w:color="auto" w:fill="FFFFFF"/>
        <w:spacing w:line="312" w:lineRule="auto"/>
        <w:ind w:left="0" w:firstLine="560" w:firstLineChars="200"/>
        <w:jc w:val="both"/>
        <w:outlineLvl w:val="9"/>
        <w:rPr>
          <w:color w:val="000000"/>
          <w:lang w:eastAsia="zh-CN"/>
        </w:rPr>
      </w:pPr>
      <w:r>
        <w:rPr>
          <w:rFonts w:ascii="仿宋_GB2312" w:hAnsi="仿宋_GB2312" w:eastAsia="仿宋_GB2312" w:cs="仿宋_GB2312"/>
          <w:color w:val="000000"/>
          <w:sz w:val="28"/>
          <w:szCs w:val="28"/>
          <w:lang w:eastAsia="zh-CN"/>
        </w:rPr>
        <w:t>以数据集为单位统一存储和管理指标，</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支持通过关联多个数据源或数仓中的数据表，创建跨表数据集，为数据分析与报表制作提供可靠的数据基础。</w:t>
      </w:r>
    </w:p>
    <w:p w14:paraId="23318DE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70" w:name="_Toc11840"/>
      <w:r>
        <w:rPr>
          <w:rFonts w:hint="eastAsia" w:ascii="仿宋_GB2312" w:hAnsi="仿宋_GB2312" w:eastAsia="仿宋_GB2312" w:cs="仿宋_GB2312"/>
          <w:color w:val="000000"/>
          <w:sz w:val="28"/>
          <w:szCs w:val="28"/>
          <w:lang w:eastAsia="zh-CN"/>
        </w:rPr>
        <w:t>1.8.3.1指标管理</w:t>
      </w:r>
      <w:bookmarkEnd w:id="70"/>
    </w:p>
    <w:p w14:paraId="6539147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采用树状结构组织数据集，需支持对文件夹进行创建、修改、删除及批量排序等操作；</w:t>
      </w:r>
    </w:p>
    <w:p w14:paraId="5DB525C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需支持对数据集进行创建、复制、修改和删除，并提供快速搜索定位功能，实现指标的有序管理。</w:t>
      </w:r>
    </w:p>
    <w:p w14:paraId="4605A95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71" w:name="_Toc11945"/>
      <w:r>
        <w:rPr>
          <w:rFonts w:hint="eastAsia" w:ascii="仿宋_GB2312" w:hAnsi="仿宋_GB2312" w:eastAsia="仿宋_GB2312" w:cs="仿宋_GB2312"/>
          <w:color w:val="000000"/>
          <w:sz w:val="28"/>
          <w:szCs w:val="28"/>
          <w:lang w:eastAsia="zh-CN"/>
        </w:rPr>
        <w:t>1.8.3.2数据指标列表</w:t>
      </w:r>
      <w:bookmarkEnd w:id="71"/>
    </w:p>
    <w:p w14:paraId="3B6CC50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以列表形式需展示所有数据指标，包括指标名称、创建人、创建类型、创建时间等字段；</w:t>
      </w:r>
    </w:p>
    <w:p w14:paraId="2E409B3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需支持查看指标详情页，系统自动在目录中定位该指标或数据集所在位置；</w:t>
      </w:r>
    </w:p>
    <w:p w14:paraId="0029DBB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需支持通过修改、移动、删除、复制等操作对数据集及其指标进行管理。</w:t>
      </w:r>
    </w:p>
    <w:p w14:paraId="5068F08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72" w:name="_Toc6353"/>
      <w:r>
        <w:rPr>
          <w:rFonts w:hint="eastAsia" w:ascii="仿宋_GB2312" w:hAnsi="仿宋_GB2312" w:eastAsia="仿宋_GB2312" w:cs="仿宋_GB2312"/>
          <w:color w:val="000000"/>
          <w:sz w:val="28"/>
          <w:szCs w:val="28"/>
          <w:lang w:eastAsia="zh-CN"/>
        </w:rPr>
        <w:t>1.8.3.3数据集创建</w:t>
      </w:r>
      <w:bookmarkEnd w:id="72"/>
    </w:p>
    <w:p w14:paraId="35A34F3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需支持选择数据源表、数仓表或通过 SQL 自定义表的方式创建数据集，具备跨表关联、计算字段生成（支持字段表达式与函数引用）及字段批量管理等功能。</w:t>
      </w:r>
    </w:p>
    <w:p w14:paraId="3C4C51E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数据集类型分为：</w:t>
      </w:r>
    </w:p>
    <w:p w14:paraId="3948B09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视图：基于实体表生成的虚拟表，不存储实际数据，仅保存查询逻辑，属于实时统计类型；</w:t>
      </w:r>
    </w:p>
    <w:p w14:paraId="661E030F">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实体表：物理存储的实际数据表，需支持直接修改，属定时更新类型，创建时需指定数仓中的存储位置</w:t>
      </w:r>
      <w:r>
        <w:rPr>
          <w:rFonts w:hint="eastAsia" w:ascii="仿宋_GB2312" w:hAnsi="仿宋_GB2312" w:eastAsia="仿宋_GB2312" w:cs="仿宋_GB2312"/>
          <w:b w:val="0"/>
          <w:bCs w:val="0"/>
          <w:color w:val="000000"/>
          <w:sz w:val="28"/>
          <w:szCs w:val="28"/>
          <w:highlight w:val="none"/>
          <w:lang w:val="en-US" w:eastAsia="zh-CN"/>
        </w:rPr>
        <w:t>。</w:t>
      </w:r>
    </w:p>
    <w:p w14:paraId="1ECCB8CA">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（1）基础信息填写</w:t>
      </w:r>
    </w:p>
    <w:p w14:paraId="6AE37328">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创建时需填写数据集名称、所属目录并选择类型。如选择实体表，还需指定在数仓中的存储路径</w:t>
      </w:r>
      <w:r>
        <w:rPr>
          <w:rFonts w:hint="eastAsia" w:ascii="仿宋_GB2312" w:hAnsi="仿宋_GB2312" w:eastAsia="仿宋_GB2312" w:cs="仿宋_GB2312"/>
          <w:b w:val="0"/>
          <w:bCs w:val="0"/>
          <w:color w:val="000000"/>
          <w:sz w:val="28"/>
          <w:szCs w:val="28"/>
          <w:highlight w:val="none"/>
          <w:lang w:val="en-US" w:eastAsia="zh-CN"/>
        </w:rPr>
        <w:t>。</w:t>
      </w:r>
    </w:p>
    <w:p w14:paraId="1702F5E5">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（2）详情配置</w:t>
      </w:r>
    </w:p>
    <w:p w14:paraId="1F388BF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微软雅黑" w:hAnsi="微软雅黑" w:eastAsia="微软雅黑" w:cs="微软雅黑"/>
          <w:b/>
          <w:bCs/>
          <w:color w:val="000000"/>
          <w:sz w:val="28"/>
          <w:szCs w:val="28"/>
          <w:lang w:eastAsia="zh-CN"/>
        </w:rPr>
        <w:t>★</w:t>
      </w:r>
      <w:r>
        <w:rPr>
          <w:rFonts w:hint="eastAsia" w:ascii="仿宋_GB2312" w:hAnsi="仿宋_GB2312" w:eastAsia="仿宋_GB2312" w:cs="仿宋_GB2312"/>
          <w:color w:val="000000"/>
          <w:sz w:val="28"/>
          <w:szCs w:val="28"/>
          <w:lang w:eastAsia="zh-CN"/>
        </w:rPr>
        <w:t>①拖曳数据表至画布，选择所需字段以配置数据集，支持多次调整字段及删除已选表；（</w:t>
      </w:r>
      <w:r>
        <w:rPr>
          <w:rFonts w:hint="eastAsia" w:ascii="仿宋_GB2312" w:hAnsi="仿宋_GB2312" w:eastAsia="仿宋_GB2312" w:cs="仿宋_GB2312"/>
          <w:color w:val="000000"/>
          <w:sz w:val="28"/>
          <w:szCs w:val="28"/>
          <w:lang w:val="en-US" w:eastAsia="zh-CN"/>
        </w:rPr>
        <w:t>响应</w:t>
      </w:r>
      <w:r>
        <w:rPr>
          <w:rFonts w:hint="eastAsia" w:ascii="仿宋_GB2312" w:hAnsi="仿宋_GB2312" w:eastAsia="仿宋_GB2312" w:cs="仿宋_GB2312"/>
          <w:color w:val="000000"/>
          <w:sz w:val="28"/>
          <w:szCs w:val="28"/>
          <w:lang w:eastAsia="zh-CN"/>
        </w:rPr>
        <w:t>文件中提供相关截图证明，并加盖供应商公章。）</w:t>
      </w:r>
    </w:p>
    <w:p w14:paraId="2E84B7E7">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②刷新后可预览维度/指标字段及数据内容；</w:t>
      </w:r>
    </w:p>
    <w:p w14:paraId="046680BD">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③</w:t>
      </w:r>
      <w:r>
        <w:rPr>
          <w:rFonts w:ascii="仿宋_GB2312" w:hAnsi="仿宋_GB2312" w:eastAsia="仿宋_GB2312" w:cs="仿宋_GB2312"/>
          <w:color w:val="000000"/>
          <w:sz w:val="28"/>
          <w:szCs w:val="28"/>
          <w:lang w:eastAsia="zh-CN"/>
        </w:rPr>
        <w:t>支持多表关联，可设置两两关联或一对多关联，需指定关联字段与关联关系，关联方式包括：</w:t>
      </w:r>
    </w:p>
    <w:p w14:paraId="360B0556">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左连接：左表全部记录+右表匹配记录（无匹配则为NULL）；</w:t>
      </w:r>
    </w:p>
    <w:p w14:paraId="751CE3E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右连接：右表全部记录+左表匹配记录（无匹配则为NULL）；</w:t>
      </w:r>
    </w:p>
    <w:p w14:paraId="227802C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全连接：两表全部记录（无匹配部分为NULL）；</w:t>
      </w:r>
    </w:p>
    <w:p w14:paraId="08A7D016">
      <w:pPr>
        <w:pStyle w:val="84"/>
        <w:shd w:val="clear" w:color="auto" w:fill="FFFFFF"/>
        <w:spacing w:line="312" w:lineRule="auto"/>
        <w:ind w:left="0" w:firstLine="560" w:firstLineChars="200"/>
        <w:jc w:val="both"/>
        <w:outlineLvl w:val="9"/>
        <w:rPr>
          <w:color w:val="000000"/>
          <w:lang w:eastAsia="zh-CN"/>
        </w:rPr>
      </w:pPr>
      <w:r>
        <w:rPr>
          <w:rFonts w:ascii="仿宋_GB2312" w:hAnsi="仿宋_GB2312" w:eastAsia="仿宋_GB2312" w:cs="仿宋_GB2312"/>
          <w:color w:val="000000"/>
          <w:sz w:val="28"/>
          <w:szCs w:val="28"/>
          <w:lang w:eastAsia="zh-CN"/>
        </w:rPr>
        <w:t>内连接：仅返回两表中匹配的记录；</w:t>
      </w:r>
    </w:p>
    <w:p w14:paraId="76EF2FB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④</w:t>
      </w:r>
      <w:r>
        <w:rPr>
          <w:rFonts w:ascii="仿宋_GB2312" w:hAnsi="仿宋_GB2312" w:eastAsia="仿宋_GB2312" w:cs="仿宋_GB2312"/>
          <w:color w:val="000000"/>
          <w:sz w:val="28"/>
          <w:szCs w:val="28"/>
          <w:lang w:eastAsia="zh-CN"/>
        </w:rPr>
        <w:t>支持通过</w:t>
      </w:r>
      <w:r>
        <w:rPr>
          <w:rFonts w:hint="eastAsia" w:ascii="仿宋_GB2312" w:hAnsi="仿宋_GB2312" w:eastAsia="仿宋_GB2312" w:cs="仿宋_GB2312"/>
          <w:color w:val="000000"/>
          <w:kern w:val="0"/>
          <w:sz w:val="28"/>
          <w:szCs w:val="28"/>
          <w:shd w:val="clear" w:color="auto" w:fill="auto"/>
          <w:lang w:eastAsia="zh-CN"/>
        </w:rPr>
        <w:t>结构化查询语言</w:t>
      </w:r>
      <w:r>
        <w:rPr>
          <w:rFonts w:ascii="仿宋_GB2312" w:hAnsi="仿宋_GB2312" w:eastAsia="仿宋_GB2312" w:cs="仿宋_GB2312"/>
          <w:color w:val="000000"/>
          <w:sz w:val="28"/>
          <w:szCs w:val="28"/>
          <w:lang w:eastAsia="zh-CN"/>
        </w:rPr>
        <w:t>查询数据表，预览结果后可拖入画布参与关联；</w:t>
      </w:r>
    </w:p>
    <w:p w14:paraId="0F8D15E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⑤需</w:t>
      </w:r>
      <w:r>
        <w:rPr>
          <w:rFonts w:ascii="仿宋_GB2312" w:hAnsi="仿宋_GB2312" w:eastAsia="仿宋_GB2312" w:cs="仿宋_GB2312"/>
          <w:color w:val="000000"/>
          <w:sz w:val="28"/>
          <w:szCs w:val="28"/>
          <w:lang w:eastAsia="zh-CN"/>
        </w:rPr>
        <w:t>支持通过字段表达式引用原有字段和函数，生成新的数据集字段，并可在指标与维度之间切换；</w:t>
      </w:r>
    </w:p>
    <w:p w14:paraId="3331ADDA">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⑥需</w:t>
      </w:r>
      <w:r>
        <w:rPr>
          <w:rFonts w:ascii="仿宋_GB2312" w:hAnsi="仿宋_GB2312" w:eastAsia="仿宋_GB2312" w:cs="仿宋_GB2312"/>
          <w:color w:val="000000"/>
          <w:sz w:val="28"/>
          <w:szCs w:val="28"/>
          <w:lang w:eastAsia="zh-CN"/>
        </w:rPr>
        <w:t>提供字段批量管理功能，支持切换指标/维度、修改名称与类型、删除或复制字段。</w:t>
      </w:r>
    </w:p>
    <w:p w14:paraId="2508223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73" w:name="_Toc14945"/>
      <w:r>
        <w:rPr>
          <w:rFonts w:hint="eastAsia" w:ascii="仿宋_GB2312" w:hAnsi="仿宋_GB2312" w:eastAsia="仿宋_GB2312" w:cs="仿宋_GB2312"/>
          <w:color w:val="000000"/>
          <w:sz w:val="28"/>
          <w:szCs w:val="28"/>
          <w:lang w:eastAsia="zh-CN"/>
        </w:rPr>
        <w:t>1.8.3.4</w:t>
      </w:r>
      <w:r>
        <w:rPr>
          <w:rFonts w:ascii="仿宋_GB2312" w:hAnsi="仿宋_GB2312" w:eastAsia="仿宋_GB2312" w:cs="仿宋_GB2312"/>
          <w:color w:val="000000"/>
          <w:sz w:val="28"/>
          <w:szCs w:val="28"/>
          <w:lang w:eastAsia="zh-CN"/>
        </w:rPr>
        <w:t>导出数据</w:t>
      </w:r>
      <w:bookmarkEnd w:id="73"/>
    </w:p>
    <w:p w14:paraId="555829E9">
      <w:pPr>
        <w:pStyle w:val="84"/>
        <w:shd w:val="clear" w:color="auto" w:fill="FFFFFF"/>
        <w:spacing w:line="312" w:lineRule="auto"/>
        <w:ind w:left="0" w:firstLine="560" w:firstLineChars="200"/>
        <w:jc w:val="both"/>
        <w:outlineLvl w:val="9"/>
        <w:rPr>
          <w:b w:val="0"/>
          <w:bCs w:val="0"/>
          <w:color w:val="000000"/>
          <w:highlight w:val="none"/>
          <w:lang w:val="en-US"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支持将数据集的指标数据与维度数据导出为</w:t>
      </w:r>
      <w:r>
        <w:rPr>
          <w:rFonts w:hint="eastAsia" w:ascii="仿宋_GB2312" w:hAnsi="仿宋_GB2312" w:eastAsia="仿宋_GB2312" w:cs="仿宋_GB2312"/>
          <w:color w:val="000000"/>
          <w:sz w:val="28"/>
          <w:szCs w:val="28"/>
          <w:lang w:eastAsia="zh-CN"/>
        </w:rPr>
        <w:t>电子表格</w:t>
      </w:r>
      <w:r>
        <w:rPr>
          <w:rFonts w:ascii="仿宋_GB2312" w:hAnsi="仿宋_GB2312" w:eastAsia="仿宋_GB2312" w:cs="仿宋_GB2312"/>
          <w:color w:val="000000"/>
          <w:sz w:val="28"/>
          <w:szCs w:val="28"/>
          <w:lang w:eastAsia="zh-CN"/>
        </w:rPr>
        <w:t>格式文件</w:t>
      </w:r>
      <w:r>
        <w:rPr>
          <w:rFonts w:ascii="仿宋_GB2312" w:hAnsi="仿宋_GB2312" w:eastAsia="仿宋_GB2312" w:cs="仿宋_GB2312"/>
          <w:b w:val="0"/>
          <w:bCs w:val="0"/>
          <w:color w:val="000000"/>
          <w:sz w:val="28"/>
          <w:szCs w:val="28"/>
          <w:highlight w:val="none"/>
          <w:lang w:val="en-US" w:eastAsia="zh-CN"/>
        </w:rPr>
        <w:t>。</w:t>
      </w:r>
    </w:p>
    <w:p w14:paraId="2918F113">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74" w:name="_Toc3849"/>
      <w:bookmarkStart w:id="75" w:name="_Toc10054"/>
      <w:r>
        <w:rPr>
          <w:rFonts w:hint="eastAsia" w:ascii="仿宋_GB2312" w:hAnsi="仿宋_GB2312" w:eastAsia="仿宋_GB2312" w:cs="仿宋_GB2312"/>
          <w:b/>
          <w:bCs/>
          <w:color w:val="000000"/>
          <w:sz w:val="28"/>
          <w:szCs w:val="28"/>
          <w:highlight w:val="none"/>
          <w:lang w:val="en-US" w:eastAsia="zh-CN"/>
        </w:rPr>
        <w:t>1.8.4数据共享</w:t>
      </w:r>
      <w:bookmarkEnd w:id="74"/>
      <w:bookmarkEnd w:id="75"/>
    </w:p>
    <w:p w14:paraId="56F1F5F1">
      <w:pPr>
        <w:pStyle w:val="84"/>
        <w:shd w:val="clear" w:color="auto" w:fill="FFFFFF"/>
        <w:spacing w:line="312" w:lineRule="auto"/>
        <w:ind w:left="0" w:firstLine="560" w:firstLineChars="200"/>
        <w:jc w:val="both"/>
        <w:outlineLvl w:val="9"/>
        <w:rPr>
          <w:color w:val="000000"/>
          <w:highlight w:val="none"/>
        </w:rPr>
      </w:pPr>
      <w:r>
        <w:rPr>
          <w:rFonts w:hint="eastAsia" w:ascii="仿宋_GB2312" w:hAnsi="仿宋_GB2312" w:eastAsia="仿宋_GB2312" w:cs="仿宋_GB2312"/>
          <w:color w:val="000000"/>
          <w:sz w:val="28"/>
          <w:szCs w:val="28"/>
          <w:highlight w:val="none"/>
          <w:lang w:val="en-US" w:eastAsia="zh-CN"/>
        </w:rPr>
        <w:t>需</w:t>
      </w:r>
      <w:r>
        <w:rPr>
          <w:rFonts w:ascii="仿宋_GB2312" w:hAnsi="仿宋_GB2312" w:eastAsia="仿宋_GB2312" w:cs="仿宋_GB2312"/>
          <w:color w:val="000000"/>
          <w:sz w:val="28"/>
          <w:szCs w:val="28"/>
          <w:highlight w:val="none"/>
          <w:lang w:val="en-US" w:eastAsia="zh-CN"/>
        </w:rPr>
        <w:t>通过配置化的方式</w:t>
      </w:r>
      <w:r>
        <w:rPr>
          <w:rFonts w:hint="eastAsia" w:ascii="仿宋_GB2312" w:hAnsi="仿宋_GB2312" w:eastAsia="仿宋_GB2312" w:cs="仿宋_GB2312"/>
          <w:color w:val="000000"/>
          <w:sz w:val="28"/>
          <w:szCs w:val="28"/>
          <w:highlight w:val="none"/>
          <w:lang w:val="en-US" w:eastAsia="zh-CN"/>
        </w:rPr>
        <w:t>，</w:t>
      </w:r>
      <w:r>
        <w:rPr>
          <w:rFonts w:ascii="仿宋_GB2312" w:hAnsi="仿宋_GB2312" w:eastAsia="仿宋_GB2312" w:cs="仿宋_GB2312"/>
          <w:color w:val="000000"/>
          <w:sz w:val="28"/>
          <w:szCs w:val="28"/>
          <w:highlight w:val="none"/>
          <w:lang w:val="en-US" w:eastAsia="zh-CN"/>
        </w:rPr>
        <w:t>将数据能力封装为可调用的应用程序编程接口服务，并对所有已创建的接口进行统一管理和监控。</w:t>
      </w:r>
    </w:p>
    <w:p w14:paraId="24321CF8">
      <w:pPr>
        <w:pStyle w:val="84"/>
        <w:shd w:val="clear" w:color="auto" w:fill="FFFFFF"/>
        <w:spacing w:line="312" w:lineRule="auto"/>
        <w:ind w:left="0" w:firstLine="560" w:firstLineChars="200"/>
        <w:jc w:val="both"/>
        <w:outlineLvl w:val="9"/>
        <w:rPr>
          <w:rFonts w:ascii="仿宋_GB2312" w:hAnsi="仿宋_GB2312" w:eastAsia="仿宋_GB2312" w:cs="仿宋_GB2312"/>
          <w:b w:val="0"/>
          <w:bCs w:val="0"/>
          <w:color w:val="000000"/>
          <w:sz w:val="28"/>
          <w:szCs w:val="28"/>
          <w:highlight w:val="none"/>
          <w:lang w:val="en-US" w:eastAsia="zh-CN"/>
        </w:rPr>
      </w:pPr>
      <w:bookmarkStart w:id="76" w:name="_Toc6325"/>
      <w:r>
        <w:rPr>
          <w:rFonts w:hint="eastAsia" w:ascii="仿宋_GB2312" w:hAnsi="仿宋_GB2312" w:eastAsia="仿宋_GB2312" w:cs="仿宋_GB2312"/>
          <w:b w:val="0"/>
          <w:bCs w:val="0"/>
          <w:color w:val="000000"/>
          <w:sz w:val="28"/>
          <w:szCs w:val="28"/>
          <w:highlight w:val="none"/>
          <w:lang w:val="en-US" w:eastAsia="zh-CN"/>
        </w:rPr>
        <w:t>1.8.4.1 接口</w:t>
      </w:r>
      <w:r>
        <w:rPr>
          <w:rFonts w:ascii="仿宋_GB2312" w:hAnsi="仿宋_GB2312" w:eastAsia="仿宋_GB2312" w:cs="仿宋_GB2312"/>
          <w:b w:val="0"/>
          <w:bCs w:val="0"/>
          <w:color w:val="000000"/>
          <w:sz w:val="28"/>
          <w:szCs w:val="28"/>
          <w:highlight w:val="none"/>
          <w:lang w:val="en-US" w:eastAsia="zh-CN"/>
        </w:rPr>
        <w:t>管理</w:t>
      </w:r>
      <w:bookmarkEnd w:id="76"/>
    </w:p>
    <w:p w14:paraId="756C877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采用树状结构组织应用程序编程接口，</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支持对文件夹及</w:t>
      </w:r>
      <w:r>
        <w:rPr>
          <w:rFonts w:hint="eastAsia" w:ascii="仿宋_GB2312" w:hAnsi="仿宋_GB2312" w:eastAsia="仿宋_GB2312" w:cs="仿宋_GB2312"/>
          <w:color w:val="000000"/>
          <w:sz w:val="28"/>
          <w:szCs w:val="28"/>
          <w:lang w:eastAsia="zh-CN"/>
        </w:rPr>
        <w:t>接口</w:t>
      </w:r>
      <w:r>
        <w:rPr>
          <w:rFonts w:ascii="仿宋_GB2312" w:hAnsi="仿宋_GB2312" w:eastAsia="仿宋_GB2312" w:cs="仿宋_GB2312"/>
          <w:color w:val="000000"/>
          <w:sz w:val="28"/>
          <w:szCs w:val="28"/>
          <w:lang w:eastAsia="zh-CN"/>
        </w:rPr>
        <w:t>进行创建、修改、删除、排序等操作；</w:t>
      </w:r>
    </w:p>
    <w:p w14:paraId="6C4327C7">
      <w:pPr>
        <w:pStyle w:val="84"/>
        <w:shd w:val="clear" w:color="auto" w:fill="FFFFFF"/>
        <w:spacing w:line="312" w:lineRule="auto"/>
        <w:ind w:left="0" w:firstLine="560" w:firstLineChars="200"/>
        <w:jc w:val="both"/>
        <w:outlineLvl w:val="9"/>
        <w:rPr>
          <w:b w:val="0"/>
          <w:bCs w:val="0"/>
          <w:color w:val="000000"/>
          <w:highlight w:val="none"/>
          <w:lang w:val="en-US"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提供快速搜索和定位功能，实现对</w:t>
      </w:r>
      <w:r>
        <w:rPr>
          <w:rFonts w:hint="eastAsia" w:ascii="仿宋_GB2312" w:hAnsi="仿宋_GB2312" w:eastAsia="仿宋_GB2312" w:cs="仿宋_GB2312"/>
          <w:color w:val="000000"/>
          <w:sz w:val="28"/>
          <w:szCs w:val="28"/>
          <w:lang w:eastAsia="zh-CN"/>
        </w:rPr>
        <w:t>接口</w:t>
      </w:r>
      <w:r>
        <w:rPr>
          <w:rFonts w:ascii="仿宋_GB2312" w:hAnsi="仿宋_GB2312" w:eastAsia="仿宋_GB2312" w:cs="仿宋_GB2312"/>
          <w:color w:val="000000"/>
          <w:sz w:val="28"/>
          <w:szCs w:val="28"/>
          <w:lang w:eastAsia="zh-CN"/>
        </w:rPr>
        <w:t>资源的清晰和有序管理</w:t>
      </w:r>
      <w:r>
        <w:rPr>
          <w:rFonts w:ascii="仿宋_GB2312" w:hAnsi="仿宋_GB2312" w:eastAsia="仿宋_GB2312" w:cs="仿宋_GB2312"/>
          <w:b w:val="0"/>
          <w:bCs w:val="0"/>
          <w:color w:val="000000"/>
          <w:sz w:val="28"/>
          <w:szCs w:val="28"/>
          <w:highlight w:val="none"/>
          <w:lang w:val="en-US" w:eastAsia="zh-CN"/>
        </w:rPr>
        <w:t>。</w:t>
      </w:r>
    </w:p>
    <w:p w14:paraId="03ECB70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77" w:name="_Toc2485"/>
      <w:r>
        <w:rPr>
          <w:rFonts w:hint="eastAsia" w:ascii="仿宋_GB2312" w:hAnsi="仿宋_GB2312" w:eastAsia="仿宋_GB2312" w:cs="仿宋_GB2312"/>
          <w:color w:val="000000"/>
          <w:sz w:val="28"/>
          <w:szCs w:val="28"/>
          <w:lang w:eastAsia="zh-CN"/>
        </w:rPr>
        <w:t>1.8.4.2 接口</w:t>
      </w:r>
      <w:r>
        <w:rPr>
          <w:rFonts w:ascii="仿宋_GB2312" w:hAnsi="仿宋_GB2312" w:eastAsia="仿宋_GB2312" w:cs="仿宋_GB2312"/>
          <w:color w:val="000000"/>
          <w:sz w:val="28"/>
          <w:szCs w:val="28"/>
          <w:lang w:eastAsia="zh-CN"/>
        </w:rPr>
        <w:t>列表</w:t>
      </w:r>
      <w:bookmarkEnd w:id="77"/>
    </w:p>
    <w:p w14:paraId="4CCE7E6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以列表形式</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展示所有应用程序编程接口，主要显示接口名称、连接状态、创建人、接口类型、请求方式、创建时间等字段；</w:t>
      </w:r>
    </w:p>
    <w:p w14:paraId="0559C0E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支持查看接口详情，系统自动在目录中定位其存储位置；</w:t>
      </w:r>
    </w:p>
    <w:p w14:paraId="0D2F3DD0">
      <w:pPr>
        <w:pStyle w:val="84"/>
        <w:shd w:val="clear" w:color="auto" w:fill="FFFFFF"/>
        <w:spacing w:line="312" w:lineRule="auto"/>
        <w:ind w:left="0" w:firstLine="560" w:firstLineChars="200"/>
        <w:jc w:val="both"/>
        <w:outlineLvl w:val="9"/>
        <w:rPr>
          <w:color w:val="000000"/>
          <w:highlight w:val="none"/>
          <w:lang w:val="en-US" w:eastAsia="zh-CN"/>
        </w:rPr>
      </w:pPr>
      <w:r>
        <w:rPr>
          <w:rFonts w:ascii="仿宋_GB2312" w:hAnsi="仿宋_GB2312" w:eastAsia="仿宋_GB2312" w:cs="仿宋_GB2312"/>
          <w:color w:val="000000"/>
          <w:sz w:val="28"/>
          <w:szCs w:val="28"/>
          <w:lang w:eastAsia="zh-CN"/>
        </w:rPr>
        <w:t>可对接口执行查看、编辑、删除、上线/离线等操作</w:t>
      </w:r>
      <w:r>
        <w:rPr>
          <w:rFonts w:ascii="仿宋_GB2312" w:hAnsi="仿宋_GB2312" w:eastAsia="仿宋_GB2312" w:cs="仿宋_GB2312"/>
          <w:color w:val="000000"/>
          <w:sz w:val="28"/>
          <w:szCs w:val="28"/>
          <w:highlight w:val="none"/>
          <w:lang w:val="en-US" w:eastAsia="zh-CN"/>
        </w:rPr>
        <w:t>。</w:t>
      </w:r>
    </w:p>
    <w:p w14:paraId="756EDD2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1.8.4.3</w:t>
      </w:r>
      <w:r>
        <w:rPr>
          <w:rFonts w:ascii="仿宋_GB2312" w:hAnsi="仿宋_GB2312" w:eastAsia="仿宋_GB2312" w:cs="仿宋_GB2312"/>
          <w:color w:val="000000"/>
          <w:sz w:val="28"/>
          <w:szCs w:val="28"/>
          <w:lang w:eastAsia="zh-CN"/>
        </w:rPr>
        <w:t>创建接口</w:t>
      </w:r>
    </w:p>
    <w:p w14:paraId="2EFF772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（1）基础信息填报</w:t>
      </w:r>
    </w:p>
    <w:p w14:paraId="32F09C5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填写</w:t>
      </w:r>
      <w:r>
        <w:rPr>
          <w:rFonts w:ascii="仿宋_GB2312" w:hAnsi="仿宋_GB2312" w:eastAsia="仿宋_GB2312" w:cs="仿宋_GB2312"/>
          <w:color w:val="000000"/>
          <w:sz w:val="28"/>
          <w:szCs w:val="28"/>
          <w:lang w:eastAsia="zh-CN"/>
        </w:rPr>
        <w:t>接口</w:t>
      </w:r>
      <w:r>
        <w:rPr>
          <w:rFonts w:hint="eastAsia" w:ascii="仿宋_GB2312" w:hAnsi="仿宋_GB2312" w:eastAsia="仿宋_GB2312" w:cs="仿宋_GB2312"/>
          <w:color w:val="000000"/>
          <w:sz w:val="28"/>
          <w:szCs w:val="28"/>
          <w:lang w:eastAsia="zh-CN"/>
        </w:rPr>
        <w:t>名称、所属目录等基本信息，支持设置自动离线时间及选择白名单规则，并选择需调用的数据及接口数据类型以完成服务配置。</w:t>
      </w:r>
    </w:p>
    <w:p w14:paraId="7B57205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接口</w:t>
      </w:r>
      <w:r>
        <w:rPr>
          <w:rFonts w:hint="eastAsia" w:ascii="仿宋_GB2312" w:hAnsi="仿宋_GB2312" w:eastAsia="仿宋_GB2312" w:cs="仿宋_GB2312"/>
          <w:color w:val="000000"/>
          <w:sz w:val="28"/>
          <w:szCs w:val="28"/>
          <w:lang w:eastAsia="zh-CN"/>
        </w:rPr>
        <w:t>分为以下两种类型：</w:t>
      </w:r>
    </w:p>
    <w:p w14:paraId="789D104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库表型：直接与</w:t>
      </w:r>
      <w:r>
        <w:rPr>
          <w:rFonts w:hint="eastAsia" w:ascii="仿宋_GB2312" w:hAnsi="仿宋_GB2312" w:eastAsia="仿宋_GB2312" w:cs="仿宋_GB2312"/>
          <w:color w:val="000000"/>
          <w:kern w:val="0"/>
          <w:sz w:val="28"/>
          <w:szCs w:val="28"/>
          <w:highlight w:val="none"/>
          <w:lang w:eastAsia="zh-CN"/>
        </w:rPr>
        <w:t>数据库表</w:t>
      </w:r>
      <w:r>
        <w:rPr>
          <w:rFonts w:hint="eastAsia" w:ascii="仿宋_GB2312" w:hAnsi="仿宋_GB2312" w:eastAsia="仿宋_GB2312" w:cs="仿宋_GB2312"/>
          <w:color w:val="000000"/>
          <w:sz w:val="28"/>
          <w:szCs w:val="28"/>
          <w:lang w:eastAsia="zh-CN"/>
        </w:rPr>
        <w:t>交互，需支持对表的增删改查，属定时更新类型；</w:t>
      </w:r>
    </w:p>
    <w:p w14:paraId="1B6BD51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消息流型：用于实时数据传输与处理，以消息形式在系统间传递数据，属实时更新类型。</w:t>
      </w:r>
    </w:p>
    <w:p w14:paraId="1AD053B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（2）服务配置</w:t>
      </w:r>
    </w:p>
    <w:p w14:paraId="58A8A5D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填写请求PATH，可选择以下两种模式配置查询逻辑：</w:t>
      </w:r>
    </w:p>
    <w:p w14:paraId="68CAFAE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可视化模式：通过界面配置字段条件及其关系；</w:t>
      </w:r>
    </w:p>
    <w:p w14:paraId="4AACA9B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结构化查询模式：直接编写</w:t>
      </w:r>
      <w:r>
        <w:rPr>
          <w:rFonts w:hint="eastAsia" w:ascii="仿宋_GB2312" w:hAnsi="仿宋_GB2312" w:eastAsia="仿宋_GB2312" w:cs="仿宋_GB2312"/>
          <w:b w:val="0"/>
          <w:bCs w:val="0"/>
          <w:color w:val="000000"/>
          <w:kern w:val="0"/>
          <w:sz w:val="28"/>
          <w:szCs w:val="28"/>
          <w:shd w:val="clear" w:color="auto" w:fill="auto"/>
          <w:lang w:eastAsia="zh-CN"/>
        </w:rPr>
        <w:t>结构化查询</w:t>
      </w:r>
      <w:r>
        <w:rPr>
          <w:rFonts w:hint="eastAsia" w:ascii="仿宋_GB2312" w:hAnsi="仿宋_GB2312" w:eastAsia="仿宋_GB2312" w:cs="仿宋_GB2312"/>
          <w:color w:val="000000"/>
          <w:sz w:val="28"/>
          <w:szCs w:val="28"/>
          <w:lang w:eastAsia="zh-CN"/>
        </w:rPr>
        <w:t>语句。</w:t>
      </w:r>
    </w:p>
    <w:p w14:paraId="6ACF27C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（3）参数配置</w:t>
      </w:r>
    </w:p>
    <w:p w14:paraId="2CE0538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支持新增请求参数，可从已选数据表中选取字段并设置条件；</w:t>
      </w:r>
    </w:p>
    <w:p w14:paraId="6541FF3C">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可选择返回字段，并为其添加说明或设置加密、替换等脱敏策略</w:t>
      </w:r>
      <w:r>
        <w:rPr>
          <w:rFonts w:hint="eastAsia" w:ascii="仿宋_GB2312" w:hAnsi="仿宋_GB2312" w:eastAsia="仿宋_GB2312" w:cs="仿宋_GB2312"/>
          <w:color w:val="000000"/>
          <w:sz w:val="28"/>
          <w:szCs w:val="28"/>
          <w:highlight w:val="none"/>
          <w:lang w:val="en-US" w:eastAsia="zh-CN"/>
        </w:rPr>
        <w:t>；</w:t>
      </w:r>
    </w:p>
    <w:p w14:paraId="2E983F6E">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支持测试</w:t>
      </w:r>
      <w:r>
        <w:rPr>
          <w:rFonts w:ascii="仿宋_GB2312" w:hAnsi="仿宋_GB2312" w:eastAsia="仿宋_GB2312" w:cs="仿宋_GB2312"/>
          <w:color w:val="000000"/>
          <w:sz w:val="28"/>
          <w:szCs w:val="28"/>
          <w:lang w:eastAsia="zh-CN"/>
        </w:rPr>
        <w:t>接口</w:t>
      </w:r>
      <w:r>
        <w:rPr>
          <w:rFonts w:hint="eastAsia" w:ascii="仿宋_GB2312" w:hAnsi="仿宋_GB2312" w:eastAsia="仿宋_GB2312" w:cs="仿宋_GB2312"/>
          <w:color w:val="000000"/>
          <w:sz w:val="28"/>
          <w:szCs w:val="28"/>
          <w:lang w:eastAsia="zh-CN"/>
        </w:rPr>
        <w:t>并预览返回结果，确认无误后可保存并自动上线。</w:t>
      </w:r>
    </w:p>
    <w:p w14:paraId="56FB44B0">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78" w:name="_Toc14424"/>
      <w:r>
        <w:rPr>
          <w:rFonts w:hint="eastAsia" w:ascii="仿宋_GB2312" w:hAnsi="仿宋_GB2312" w:eastAsia="仿宋_GB2312" w:cs="仿宋_GB2312"/>
          <w:color w:val="000000"/>
          <w:sz w:val="28"/>
          <w:szCs w:val="28"/>
          <w:lang w:eastAsia="zh-CN"/>
        </w:rPr>
        <w:t>1.8.4.4上线/离线切换</w:t>
      </w:r>
      <w:bookmarkEnd w:id="78"/>
    </w:p>
    <w:p w14:paraId="60957843">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管理员或创建人可随时调整</w:t>
      </w:r>
      <w:r>
        <w:rPr>
          <w:rFonts w:ascii="仿宋_GB2312" w:hAnsi="仿宋_GB2312" w:eastAsia="仿宋_GB2312" w:cs="仿宋_GB2312"/>
          <w:color w:val="000000"/>
          <w:sz w:val="28"/>
          <w:szCs w:val="28"/>
          <w:lang w:eastAsia="zh-CN"/>
        </w:rPr>
        <w:t>应用程序编程接口</w:t>
      </w:r>
      <w:r>
        <w:rPr>
          <w:rFonts w:hint="eastAsia" w:ascii="仿宋_GB2312" w:hAnsi="仿宋_GB2312" w:eastAsia="仿宋_GB2312" w:cs="仿宋_GB2312"/>
          <w:color w:val="000000"/>
          <w:sz w:val="28"/>
          <w:szCs w:val="28"/>
          <w:lang w:eastAsia="zh-CN"/>
        </w:rPr>
        <w:t>的上线/离线状态。</w:t>
      </w:r>
    </w:p>
    <w:p w14:paraId="46A0EFD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1.8.4.5导出接口</w:t>
      </w:r>
    </w:p>
    <w:p w14:paraId="005B9B6C">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支持将所有接口记录以电子表格格式导出。</w:t>
      </w:r>
    </w:p>
    <w:p w14:paraId="5DA4274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79" w:name="_Toc23085"/>
      <w:r>
        <w:rPr>
          <w:rFonts w:hint="eastAsia" w:ascii="仿宋_GB2312" w:hAnsi="仿宋_GB2312" w:eastAsia="仿宋_GB2312" w:cs="仿宋_GB2312"/>
          <w:color w:val="000000"/>
          <w:sz w:val="28"/>
          <w:szCs w:val="28"/>
          <w:lang w:eastAsia="zh-CN"/>
        </w:rPr>
        <w:t>1.8.4.6白名单管理</w:t>
      </w:r>
      <w:bookmarkEnd w:id="79"/>
    </w:p>
    <w:p w14:paraId="17235CB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创建接口时可关联白名单规则，限制仅指定IP或域名可调用该接口；</w:t>
      </w:r>
    </w:p>
    <w:p w14:paraId="61F4497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规则以列表形式展示，包括规则名称、创建时间、IP/域名、启用状态等字段，支持新建、删除、编辑和启用/禁用操作；</w:t>
      </w:r>
    </w:p>
    <w:p w14:paraId="01D076C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每个接口可关联多条规则，每条规则可包含多个IP或域名。</w:t>
      </w:r>
    </w:p>
    <w:p w14:paraId="1BD018C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新建规则：设置规则名称和描述，填写IP或域名并保存，规则默认启用，可直接被接口选择使用</w:t>
      </w:r>
      <w:r>
        <w:rPr>
          <w:rFonts w:hint="eastAsia" w:ascii="仿宋_GB2312" w:hAnsi="仿宋_GB2312" w:eastAsia="仿宋_GB2312" w:cs="仿宋_GB2312"/>
          <w:color w:val="000000"/>
          <w:sz w:val="28"/>
          <w:szCs w:val="28"/>
          <w:highlight w:val="none"/>
          <w:lang w:val="en-US" w:eastAsia="zh-CN"/>
        </w:rPr>
        <w:t>。</w:t>
      </w:r>
    </w:p>
    <w:p w14:paraId="66F80B2F">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80" w:name="_Toc27723"/>
      <w:bookmarkStart w:id="81" w:name="_Toc9208"/>
      <w:r>
        <w:rPr>
          <w:rFonts w:hint="eastAsia" w:ascii="仿宋_GB2312" w:hAnsi="仿宋_GB2312" w:eastAsia="仿宋_GB2312" w:cs="仿宋_GB2312"/>
          <w:b/>
          <w:bCs/>
          <w:color w:val="000000"/>
          <w:sz w:val="28"/>
          <w:szCs w:val="28"/>
          <w:highlight w:val="none"/>
          <w:lang w:val="en-US" w:eastAsia="zh-CN"/>
        </w:rPr>
        <w:t>1.8.5回收站</w:t>
      </w:r>
      <w:bookmarkEnd w:id="80"/>
      <w:bookmarkEnd w:id="81"/>
    </w:p>
    <w:p w14:paraId="149151B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为用户提供文件删除后的安全保障机制，支持在指定时限内恢复误删或已删除的文件，也可彻底清空回收站以永久删除数据。</w:t>
      </w:r>
    </w:p>
    <w:p w14:paraId="4477250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ascii="仿宋_GB2312" w:hAnsi="仿宋_GB2312" w:eastAsia="仿宋_GB2312" w:cs="仿宋_GB2312"/>
          <w:color w:val="000000"/>
          <w:sz w:val="28"/>
          <w:szCs w:val="28"/>
          <w:lang w:eastAsia="zh-CN"/>
        </w:rPr>
        <w:t>所有已删除数据以列表形式展示，</w:t>
      </w: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包含数据名称、类型、删除时间等字段；</w:t>
      </w:r>
    </w:p>
    <w:p w14:paraId="63F7679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支持一键全选、清空回收站、批量或单条恢复/删除数据；</w:t>
      </w:r>
    </w:p>
    <w:p w14:paraId="6CA82946">
      <w:pPr>
        <w:pStyle w:val="84"/>
        <w:shd w:val="clear" w:color="auto" w:fill="FFFFFF"/>
        <w:spacing w:line="312" w:lineRule="auto"/>
        <w:ind w:left="0" w:firstLine="560" w:firstLineChars="200"/>
        <w:jc w:val="both"/>
        <w:outlineLvl w:val="9"/>
        <w:rPr>
          <w:color w:val="000000"/>
          <w:highlight w:val="none"/>
          <w:lang w:val="en-US" w:eastAsia="zh-CN"/>
        </w:rPr>
      </w:pPr>
      <w:r>
        <w:rPr>
          <w:rFonts w:hint="eastAsia" w:ascii="仿宋_GB2312" w:hAnsi="仿宋_GB2312" w:eastAsia="仿宋_GB2312" w:cs="仿宋_GB2312"/>
          <w:color w:val="000000"/>
          <w:sz w:val="28"/>
          <w:szCs w:val="28"/>
          <w:lang w:eastAsia="zh-CN"/>
        </w:rPr>
        <w:t>需</w:t>
      </w:r>
      <w:r>
        <w:rPr>
          <w:rFonts w:ascii="仿宋_GB2312" w:hAnsi="仿宋_GB2312" w:eastAsia="仿宋_GB2312" w:cs="仿宋_GB2312"/>
          <w:color w:val="000000"/>
          <w:sz w:val="28"/>
          <w:szCs w:val="28"/>
          <w:lang w:eastAsia="zh-CN"/>
        </w:rPr>
        <w:t>提供关键词搜索功能，便于快速定位需操作的数据</w:t>
      </w:r>
      <w:r>
        <w:rPr>
          <w:rFonts w:ascii="仿宋_GB2312" w:hAnsi="仿宋_GB2312" w:eastAsia="仿宋_GB2312" w:cs="仿宋_GB2312"/>
          <w:color w:val="000000"/>
          <w:sz w:val="28"/>
          <w:szCs w:val="28"/>
          <w:highlight w:val="none"/>
          <w:lang w:val="en-US" w:eastAsia="zh-CN"/>
        </w:rPr>
        <w:t>。</w:t>
      </w:r>
    </w:p>
    <w:p w14:paraId="24427A36">
      <w:pPr>
        <w:pStyle w:val="84"/>
        <w:shd w:val="clear" w:color="auto" w:fill="FFFFFF"/>
        <w:spacing w:line="312" w:lineRule="auto"/>
        <w:ind w:left="0" w:firstLine="560" w:firstLineChars="200"/>
        <w:jc w:val="both"/>
        <w:outlineLvl w:val="4"/>
        <w:rPr>
          <w:rFonts w:hint="eastAsia" w:ascii="仿宋_GB2312" w:hAnsi="仿宋_GB2312" w:eastAsia="仿宋_GB2312" w:cs="仿宋_GB2312"/>
          <w:b/>
          <w:bCs/>
          <w:color w:val="000000"/>
          <w:sz w:val="28"/>
          <w:szCs w:val="28"/>
          <w:highlight w:val="none"/>
          <w:lang w:val="en-US" w:eastAsia="zh-CN"/>
        </w:rPr>
      </w:pPr>
      <w:bookmarkStart w:id="82" w:name="_Toc24161"/>
      <w:bookmarkStart w:id="83" w:name="_Toc30674"/>
      <w:r>
        <w:rPr>
          <w:rFonts w:hint="eastAsia" w:ascii="仿宋_GB2312" w:hAnsi="仿宋_GB2312" w:eastAsia="仿宋_GB2312" w:cs="仿宋_GB2312"/>
          <w:b/>
          <w:bCs/>
          <w:color w:val="000000"/>
          <w:sz w:val="28"/>
          <w:szCs w:val="28"/>
          <w:highlight w:val="none"/>
          <w:lang w:val="en-US" w:eastAsia="zh-CN"/>
        </w:rPr>
        <w:t>1.8.6权限设置</w:t>
      </w:r>
      <w:bookmarkEnd w:id="82"/>
      <w:bookmarkEnd w:id="83"/>
    </w:p>
    <w:p w14:paraId="4F1435E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需通过角色权限机制控制用户在平台中的操作权限，并依托组织架构实现对用户的分类与管理。</w:t>
      </w:r>
    </w:p>
    <w:p w14:paraId="5DFC2D05">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84" w:name="_Toc16714"/>
      <w:bookmarkStart w:id="85" w:name="_Toc3670"/>
      <w:r>
        <w:rPr>
          <w:rFonts w:hint="eastAsia" w:ascii="仿宋_GB2312" w:hAnsi="仿宋_GB2312" w:eastAsia="仿宋_GB2312" w:cs="仿宋_GB2312"/>
          <w:color w:val="000000"/>
          <w:sz w:val="28"/>
          <w:szCs w:val="28"/>
          <w:lang w:eastAsia="zh-CN"/>
        </w:rPr>
        <w:t>1.8.6.1角色管理</w:t>
      </w:r>
      <w:bookmarkEnd w:id="84"/>
      <w:bookmarkEnd w:id="85"/>
    </w:p>
    <w:p w14:paraId="3082EC1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左侧为角色列表，选择任一角色可在右侧查看和设置其菜单功能权限；</w:t>
      </w:r>
    </w:p>
    <w:p w14:paraId="39CC4FC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需支持通过关键词搜索角色；</w:t>
      </w:r>
    </w:p>
    <w:p w14:paraId="39293F56">
      <w:pPr>
        <w:pStyle w:val="84"/>
        <w:shd w:val="clear" w:color="auto" w:fill="FFFFFF"/>
        <w:spacing w:line="312" w:lineRule="auto"/>
        <w:ind w:left="0" w:firstLine="560" w:firstLineChars="200"/>
        <w:jc w:val="both"/>
        <w:outlineLvl w:val="9"/>
        <w:rPr>
          <w:color w:val="000000"/>
          <w:lang w:eastAsia="zh-CN"/>
        </w:rPr>
      </w:pPr>
      <w:r>
        <w:rPr>
          <w:rFonts w:hint="eastAsia" w:ascii="仿宋_GB2312" w:hAnsi="仿宋_GB2312" w:eastAsia="仿宋_GB2312" w:cs="仿宋_GB2312"/>
          <w:color w:val="000000"/>
          <w:sz w:val="28"/>
          <w:szCs w:val="28"/>
          <w:lang w:eastAsia="zh-CN"/>
        </w:rPr>
        <w:t>需支持创建新角色，或对已有角色进行编辑和删除。</w:t>
      </w:r>
    </w:p>
    <w:p w14:paraId="243290A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bookmarkStart w:id="86" w:name="_Toc19368"/>
      <w:bookmarkStart w:id="87" w:name="_Toc8689"/>
      <w:r>
        <w:rPr>
          <w:rFonts w:hint="eastAsia" w:ascii="仿宋_GB2312" w:hAnsi="仿宋_GB2312" w:eastAsia="仿宋_GB2312" w:cs="仿宋_GB2312"/>
          <w:color w:val="000000"/>
          <w:sz w:val="28"/>
          <w:szCs w:val="28"/>
          <w:lang w:eastAsia="zh-CN"/>
        </w:rPr>
        <w:t>1.8.6.2组织架构</w:t>
      </w:r>
      <w:bookmarkEnd w:id="86"/>
      <w:bookmarkEnd w:id="87"/>
    </w:p>
    <w:p w14:paraId="69235862">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以树形结构呈现部门与成员关系，成员信息以列表形式展示，包括用户名称、登录账号、联系方式、所属部门及角色等；</w:t>
      </w:r>
    </w:p>
    <w:p w14:paraId="25D53A0A">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需支持对部门和成员进行添加、编辑、删除、移动等操作；</w:t>
      </w:r>
    </w:p>
    <w:p w14:paraId="0B86323F">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需支持批量导入成员、批量移动部门或成员位置；</w:t>
      </w:r>
    </w:p>
    <w:p w14:paraId="609F0526">
      <w:pPr>
        <w:pStyle w:val="84"/>
        <w:shd w:val="clear" w:color="auto" w:fill="FFFFFF"/>
        <w:spacing w:line="312" w:lineRule="auto"/>
        <w:ind w:left="0" w:firstLine="560" w:firstLineChars="200"/>
        <w:jc w:val="both"/>
        <w:outlineLvl w:val="9"/>
        <w:rPr>
          <w:color w:val="000000"/>
          <w:highlight w:val="none"/>
        </w:rPr>
      </w:pPr>
      <w:r>
        <w:rPr>
          <w:rFonts w:hint="eastAsia" w:ascii="仿宋_GB2312" w:hAnsi="仿宋_GB2312" w:eastAsia="仿宋_GB2312" w:cs="仿宋_GB2312"/>
          <w:color w:val="000000"/>
          <w:sz w:val="28"/>
          <w:szCs w:val="28"/>
          <w:lang w:eastAsia="zh-CN"/>
        </w:rPr>
        <w:t>需提供关键词搜索功能，方便快速定位目标部门或用户</w:t>
      </w:r>
      <w:r>
        <w:rPr>
          <w:rFonts w:hint="eastAsia" w:ascii="仿宋_GB2312" w:hAnsi="仿宋_GB2312" w:eastAsia="仿宋_GB2312" w:cs="仿宋_GB2312"/>
          <w:color w:val="000000"/>
          <w:sz w:val="28"/>
          <w:szCs w:val="28"/>
          <w:highlight w:val="none"/>
          <w:lang w:val="en-US" w:eastAsia="zh-CN"/>
        </w:rPr>
        <w:t>。</w:t>
      </w:r>
    </w:p>
    <w:bookmarkEnd w:id="3"/>
    <w:bookmarkEnd w:id="4"/>
    <w:p w14:paraId="0AEC4089">
      <w:pPr>
        <w:pStyle w:val="84"/>
        <w:shd w:val="clear" w:color="auto" w:fill="FFFFFF"/>
        <w:spacing w:line="312" w:lineRule="auto"/>
        <w:ind w:left="0" w:firstLine="560" w:firstLineChars="200"/>
        <w:jc w:val="both"/>
        <w:outlineLvl w:val="2"/>
        <w:rPr>
          <w:rFonts w:ascii="仿宋_GB2312" w:hAnsi="仿宋_GB2312" w:eastAsia="仿宋_GB2312" w:cs="仿宋_GB2312"/>
          <w:b/>
          <w:bCs/>
          <w:color w:val="000000"/>
          <w:sz w:val="28"/>
          <w:szCs w:val="28"/>
          <w:highlight w:val="none"/>
          <w:lang w:val="en-US" w:eastAsia="zh-CN"/>
        </w:rPr>
      </w:pPr>
      <w:bookmarkStart w:id="88" w:name="_Toc14188"/>
      <w:bookmarkStart w:id="89" w:name="_Toc2299"/>
      <w:r>
        <w:rPr>
          <w:rFonts w:hint="eastAsia" w:ascii="仿宋_GB2312" w:hAnsi="仿宋_GB2312" w:eastAsia="仿宋_GB2312" w:cs="仿宋_GB2312"/>
          <w:b/>
          <w:bCs/>
          <w:color w:val="000000"/>
          <w:sz w:val="28"/>
          <w:szCs w:val="28"/>
          <w:highlight w:val="none"/>
          <w:lang w:val="en-US" w:eastAsia="zh-CN"/>
        </w:rPr>
        <w:t>2.</w:t>
      </w:r>
      <w:r>
        <w:rPr>
          <w:rFonts w:hint="eastAsia" w:ascii="仿宋_GB2312" w:hAnsi="仿宋_GB2312" w:eastAsia="仿宋_GB2312" w:cs="仿宋_GB2312"/>
          <w:b/>
          <w:bCs/>
          <w:color w:val="000000"/>
          <w:sz w:val="28"/>
          <w:szCs w:val="28"/>
          <w:lang w:val="en-US" w:eastAsia="zh-CN"/>
        </w:rPr>
        <w:t>职业学校办学情况统计系统</w:t>
      </w:r>
      <w:r>
        <w:rPr>
          <w:rFonts w:hint="eastAsia" w:ascii="仿宋_GB2312" w:hAnsi="仿宋_GB2312" w:eastAsia="仿宋_GB2312" w:cs="仿宋_GB2312"/>
          <w:b/>
          <w:bCs/>
          <w:color w:val="000000"/>
          <w:sz w:val="28"/>
          <w:szCs w:val="28"/>
          <w:highlight w:val="none"/>
          <w:lang w:val="en-US" w:eastAsia="zh-CN"/>
        </w:rPr>
        <w:t>运行服务</w:t>
      </w:r>
    </w:p>
    <w:p w14:paraId="1D02DDD1">
      <w:pPr>
        <w:pStyle w:val="84"/>
        <w:shd w:val="clear" w:color="auto" w:fill="FFFFFF"/>
        <w:spacing w:line="312" w:lineRule="auto"/>
        <w:ind w:left="0" w:firstLine="560" w:firstLineChars="200"/>
        <w:jc w:val="both"/>
        <w:outlineLvl w:val="3"/>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2.1产教融合场景应用</w:t>
      </w:r>
      <w:bookmarkEnd w:id="88"/>
      <w:bookmarkEnd w:id="89"/>
    </w:p>
    <w:p w14:paraId="240CB13D">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需要</w:t>
      </w:r>
      <w:r>
        <w:rPr>
          <w:rFonts w:ascii="仿宋_GB2312" w:hAnsi="仿宋_GB2312" w:eastAsia="仿宋_GB2312" w:cs="仿宋_GB2312"/>
          <w:color w:val="000000"/>
          <w:sz w:val="28"/>
          <w:szCs w:val="28"/>
          <w:lang w:eastAsia="zh-CN"/>
        </w:rPr>
        <w:t>针对</w:t>
      </w:r>
      <w:r>
        <w:rPr>
          <w:rFonts w:hint="eastAsia" w:ascii="仿宋_GB2312" w:hAnsi="仿宋_GB2312" w:eastAsia="仿宋_GB2312" w:cs="仿宋_GB2312"/>
          <w:color w:val="000000"/>
          <w:sz w:val="28"/>
          <w:szCs w:val="28"/>
          <w:lang w:eastAsia="zh-CN"/>
        </w:rPr>
        <w:t>不少于16个</w:t>
      </w:r>
      <w:r>
        <w:rPr>
          <w:rFonts w:ascii="仿宋_GB2312" w:hAnsi="仿宋_GB2312" w:eastAsia="仿宋_GB2312" w:cs="仿宋_GB2312"/>
          <w:color w:val="000000"/>
          <w:sz w:val="28"/>
          <w:szCs w:val="28"/>
          <w:lang w:eastAsia="zh-CN"/>
        </w:rPr>
        <w:t>产教融合工作中高频、通用的业务场景</w:t>
      </w:r>
      <w:r>
        <w:rPr>
          <w:rFonts w:hint="eastAsia" w:ascii="仿宋_GB2312" w:hAnsi="仿宋_GB2312" w:eastAsia="仿宋_GB2312" w:cs="仿宋_GB2312"/>
          <w:color w:val="000000"/>
          <w:sz w:val="28"/>
          <w:szCs w:val="28"/>
          <w:lang w:eastAsia="zh-CN"/>
        </w:rPr>
        <w:t>，提供</w:t>
      </w:r>
      <w:r>
        <w:rPr>
          <w:rFonts w:ascii="仿宋_GB2312" w:hAnsi="仿宋_GB2312" w:eastAsia="仿宋_GB2312" w:cs="仿宋_GB2312"/>
          <w:color w:val="000000"/>
          <w:sz w:val="28"/>
          <w:szCs w:val="28"/>
          <w:lang w:eastAsia="zh-CN"/>
        </w:rPr>
        <w:t>预制标准化的工作流程、数据表单，形成开箱即用的解决方案，如“行业产教融合共同体”“市域产教联合体”“产业学院”“订单班”及“产教融合实训基地”等，确保学校能够快速部署核心业务，减少重复配置工作</w:t>
      </w:r>
      <w:r>
        <w:rPr>
          <w:rFonts w:hint="eastAsia" w:ascii="仿宋_GB2312" w:hAnsi="仿宋_GB2312" w:eastAsia="仿宋_GB2312" w:cs="仿宋_GB2312"/>
          <w:color w:val="000000"/>
          <w:sz w:val="28"/>
          <w:szCs w:val="28"/>
          <w:lang w:eastAsia="zh-CN"/>
        </w:rPr>
        <w:t>。</w:t>
      </w:r>
    </w:p>
    <w:p w14:paraId="321CF3FC">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2.2统一身份认证平台对接服务</w:t>
      </w:r>
    </w:p>
    <w:p w14:paraId="46181FC6">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严格遵循学校统一认知系统的高安全性标准要求，支持以接口对接的方式，对接学校办公自动化（OA）系统、人事管理系统、学工系统等校园网统一身份认证平台，将本平台纳入学校已有的统一身份认证体系中。用户无需额外注册账号，只需使用已有的校园网账号及对应密码，即可一键登录本平台，构建便捷登录通道，避免多账号管理的繁琐</w:t>
      </w:r>
      <w:r>
        <w:rPr>
          <w:rFonts w:hint="eastAsia" w:ascii="仿宋_GB2312" w:hAnsi="仿宋_GB2312" w:eastAsia="仿宋_GB2312" w:cs="仿宋_GB2312"/>
          <w:b w:val="0"/>
          <w:bCs w:val="0"/>
          <w:color w:val="000000"/>
          <w:sz w:val="28"/>
          <w:szCs w:val="28"/>
          <w:highlight w:val="none"/>
          <w:lang w:val="en-US" w:eastAsia="zh-CN"/>
        </w:rPr>
        <w:t>。</w:t>
      </w:r>
    </w:p>
    <w:p w14:paraId="610DACC4">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2.3数据共享平台对接服务</w:t>
      </w:r>
    </w:p>
    <w:p w14:paraId="38AA1257">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val="en-US" w:eastAsia="zh-CN"/>
        </w:rPr>
        <w:t>支持</w:t>
      </w:r>
      <w:r>
        <w:rPr>
          <w:rFonts w:hint="eastAsia" w:ascii="仿宋_GB2312" w:hAnsi="仿宋_GB2312" w:eastAsia="仿宋_GB2312" w:cs="仿宋_GB2312"/>
          <w:color w:val="000000"/>
          <w:sz w:val="28"/>
          <w:szCs w:val="28"/>
          <w:lang w:eastAsia="zh-CN"/>
        </w:rPr>
        <w:t>通过标准化接口与加密传输技术，与学校</w:t>
      </w:r>
      <w:r>
        <w:rPr>
          <w:rFonts w:hint="eastAsia" w:ascii="仿宋_GB2312" w:hAnsi="仿宋_GB2312" w:eastAsia="仿宋_GB2312" w:cs="仿宋_GB2312"/>
          <w:color w:val="000000"/>
          <w:sz w:val="28"/>
          <w:szCs w:val="28"/>
          <w:lang w:val="en-US" w:eastAsia="zh-CN"/>
        </w:rPr>
        <w:t>现有业务系统的进行</w:t>
      </w:r>
      <w:r>
        <w:rPr>
          <w:rFonts w:hint="eastAsia" w:ascii="仿宋_GB2312" w:hAnsi="仿宋_GB2312" w:eastAsia="仿宋_GB2312" w:cs="仿宋_GB2312"/>
          <w:color w:val="000000"/>
          <w:sz w:val="28"/>
          <w:szCs w:val="28"/>
          <w:lang w:eastAsia="zh-CN"/>
        </w:rPr>
        <w:t>数据对接，确保学校基础数据的顺畅接入，同时将产业端积累的岗位需求、项目案例、技术标准等数据反向回流至学校，实现数据开放共享，并支持学校信息中心的基础数据直接导入</w:t>
      </w:r>
      <w:r>
        <w:rPr>
          <w:rFonts w:hint="eastAsia" w:ascii="仿宋_GB2312" w:hAnsi="仿宋_GB2312" w:eastAsia="仿宋_GB2312" w:cs="仿宋_GB2312"/>
          <w:color w:val="000000"/>
          <w:sz w:val="28"/>
          <w:szCs w:val="28"/>
          <w:lang w:val="en-US" w:eastAsia="zh-CN"/>
        </w:rPr>
        <w:t>本</w:t>
      </w:r>
      <w:r>
        <w:rPr>
          <w:rFonts w:hint="eastAsia" w:ascii="仿宋_GB2312" w:hAnsi="仿宋_GB2312" w:eastAsia="仿宋_GB2312" w:cs="仿宋_GB2312"/>
          <w:color w:val="000000"/>
          <w:sz w:val="28"/>
          <w:szCs w:val="28"/>
          <w:lang w:eastAsia="zh-CN"/>
        </w:rPr>
        <w:t>平台，进一步打破数据壁垒、激活产融生态价值，为产教融合的常态化运营和持续拓展提供坚实的数据底座。</w:t>
      </w:r>
    </w:p>
    <w:p w14:paraId="67ACFF08">
      <w:pPr>
        <w:pStyle w:val="84"/>
        <w:shd w:val="clear" w:color="auto" w:fill="FFFFFF"/>
        <w:spacing w:line="312" w:lineRule="auto"/>
        <w:ind w:left="0" w:firstLine="560" w:firstLineChars="200"/>
        <w:jc w:val="both"/>
        <w:outlineLvl w:val="9"/>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依托学校统一认证体系的高安全性标准，需确保用户身份信息的真实性与保密性，有效防范信息泄露风险。建立与学校人事管理系统、学工系统数据源的同步与更新机制，确保平台用户数据与源头数据实时一致，避免形成数据孤岛</w:t>
      </w:r>
      <w:r>
        <w:rPr>
          <w:rFonts w:hint="eastAsia" w:ascii="仿宋_GB2312" w:hAnsi="仿宋_GB2312" w:eastAsia="仿宋_GB2312" w:cs="仿宋_GB2312"/>
          <w:b w:val="0"/>
          <w:bCs w:val="0"/>
          <w:color w:val="000000"/>
          <w:sz w:val="28"/>
          <w:szCs w:val="28"/>
          <w:highlight w:val="none"/>
          <w:lang w:val="en-US" w:eastAsia="zh-CN"/>
        </w:rPr>
        <w:t>。</w:t>
      </w:r>
    </w:p>
    <w:p w14:paraId="708EBBA0">
      <w:pPr>
        <w:pStyle w:val="84"/>
        <w:shd w:val="clear" w:color="auto" w:fill="FFFFFF"/>
        <w:spacing w:line="312" w:lineRule="auto"/>
        <w:ind w:left="0" w:firstLine="560" w:firstLineChars="200"/>
        <w:jc w:val="both"/>
        <w:outlineLvl w:val="1"/>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（二）技术指标要求（实现上述功能的技术标准）</w:t>
      </w:r>
    </w:p>
    <w:p w14:paraId="0B9F1FE5">
      <w:pPr>
        <w:pStyle w:val="84"/>
        <w:shd w:val="clear" w:color="auto" w:fill="FFFFFF"/>
        <w:spacing w:line="312" w:lineRule="auto"/>
        <w:ind w:left="0" w:firstLine="560" w:firstLineChars="200"/>
        <w:jc w:val="both"/>
        <w:outlineLvl w:val="2"/>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1.总体技术架构</w:t>
      </w:r>
    </w:p>
    <w:p w14:paraId="64021864">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1.1多端统一架构</w:t>
      </w:r>
    </w:p>
    <w:p w14:paraId="2C557845">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采用前后端分离的微服务架构。电脑端使用</w:t>
      </w:r>
      <w:r>
        <w:rPr>
          <w:rFonts w:hint="eastAsia" w:ascii="仿宋_GB2312" w:hAnsi="仿宋_GB2312" w:eastAsia="仿宋_GB2312" w:cs="仿宋_GB2312"/>
          <w:b w:val="0"/>
          <w:bCs w:val="0"/>
          <w:color w:val="000000"/>
          <w:sz w:val="28"/>
          <w:szCs w:val="28"/>
          <w:shd w:val="clear" w:color="auto" w:fill="auto"/>
          <w:lang w:eastAsia="zh-CN"/>
        </w:rPr>
        <w:t>前端框架及</w:t>
      </w:r>
      <w:r>
        <w:rPr>
          <w:rFonts w:ascii="仿宋_GB2312" w:hAnsi="仿宋_GB2312" w:eastAsia="仿宋_GB2312" w:cs="仿宋_GB2312"/>
          <w:b w:val="0"/>
          <w:bCs w:val="0"/>
          <w:color w:val="000000"/>
          <w:sz w:val="28"/>
          <w:szCs w:val="28"/>
          <w:shd w:val="clear" w:color="auto" w:fill="auto"/>
          <w:lang w:eastAsia="zh-CN"/>
        </w:rPr>
        <w:t>UI</w:t>
      </w:r>
      <w:r>
        <w:rPr>
          <w:rFonts w:hint="eastAsia" w:ascii="仿宋_GB2312" w:hAnsi="仿宋_GB2312" w:eastAsia="仿宋_GB2312" w:cs="仿宋_GB2312"/>
          <w:b w:val="0"/>
          <w:bCs w:val="0"/>
          <w:color w:val="000000"/>
          <w:sz w:val="28"/>
          <w:szCs w:val="28"/>
          <w:shd w:val="clear" w:color="auto" w:fill="auto"/>
          <w:lang w:eastAsia="zh-CN"/>
        </w:rPr>
        <w:t>组件库</w:t>
      </w:r>
      <w:r>
        <w:rPr>
          <w:rFonts w:hint="eastAsia" w:ascii="仿宋_GB2312" w:hAnsi="仿宋_GB2312" w:eastAsia="仿宋_GB2312" w:cs="仿宋_GB2312"/>
          <w:color w:val="000000"/>
          <w:sz w:val="28"/>
          <w:szCs w:val="28"/>
          <w:lang w:eastAsia="zh-CN"/>
        </w:rPr>
        <w:t>，手机H5端使用移动端前端框架及UI组件库，两端复用同一套标准化接口协议，完成无状态身份认证、角色权限校验。移动端适配跨时空审批场景，支持本地离线数据暂存，采用增量数据同步机制，保障弱网、离线场景下数据完整一致；底层统一搭建数据源、数仓、流程引擎、可视化、权限管控公共微服务，各业务模块解耦独立部署，电脑端完整承载表单设计、流程配置、数据治理、大屏配置、台账管理全量复杂配置能力，移动端聚焦待办审批、材料查看、任务进度、消息通知轻量化操作，一套底座支撑政、行、企、校多角色多终端同步访问，数据实时双向互通</w:t>
      </w:r>
      <w:r>
        <w:rPr>
          <w:rFonts w:hint="eastAsia" w:ascii="仿宋_GB2312" w:hAnsi="仿宋_GB2312" w:eastAsia="仿宋_GB2312" w:cs="仿宋_GB2312"/>
          <w:color w:val="000000"/>
          <w:sz w:val="28"/>
          <w:szCs w:val="28"/>
          <w:highlight w:val="none"/>
          <w:lang w:val="en-US" w:eastAsia="zh-CN"/>
        </w:rPr>
        <w:t>。</w:t>
      </w:r>
    </w:p>
    <w:p w14:paraId="5AF0DF67">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1.2动态字段扩展能力</w:t>
      </w:r>
    </w:p>
    <w:p w14:paraId="0E28F8BE">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基于元数据驱动架构设计，平台内所有业务表单、台账、统计指标字段均不做代码硬编码，统一存储在元数据库进行集中管理。依托内置可视化动态表单渲染引擎，后端自动生成JSONSchema（结构化数据描述规则）字段描述规则，支持各类产教融合业务表单字段在线新增、删除、编辑、查询，同时可灵活配置字段排序、分组、联动显隐、必填校验、数据格式约束。管理员在后台自定义业务表单字段、调整字段属性或新增统计指标后，系统自动同步更新前端填报界面、后端数据校验逻辑、数据表存储结构，同步适配流程审批、台账导出、大屏统计、数据接口查询全链路，无需重新打包发布系统版本，适配行业产教融合共同体、市域产教联合体、产业学院等多变业务填报需求</w:t>
      </w:r>
      <w:r>
        <w:rPr>
          <w:rFonts w:hint="eastAsia" w:ascii="仿宋_GB2312" w:hAnsi="仿宋_GB2312" w:eastAsia="仿宋_GB2312" w:cs="仿宋_GB2312"/>
          <w:color w:val="000000"/>
          <w:sz w:val="28"/>
          <w:szCs w:val="28"/>
          <w:highlight w:val="none"/>
          <w:lang w:val="en-US" w:eastAsia="zh-CN"/>
        </w:rPr>
        <w:t>。</w:t>
      </w:r>
    </w:p>
    <w:p w14:paraId="55E7C6FB">
      <w:pPr>
        <w:pStyle w:val="84"/>
        <w:shd w:val="clear" w:color="auto" w:fill="FFFFFF"/>
        <w:spacing w:line="312" w:lineRule="auto"/>
        <w:ind w:left="0" w:firstLine="560" w:firstLineChars="200"/>
        <w:jc w:val="both"/>
        <w:outlineLvl w:val="2"/>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2.核心功能实现技术规范</w:t>
      </w:r>
    </w:p>
    <w:p w14:paraId="41BD7226">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2.1</w:t>
      </w:r>
      <w:r>
        <w:rPr>
          <w:rFonts w:hint="eastAsia" w:ascii="仿宋_GB2312" w:hAnsi="仿宋_GB2312" w:eastAsia="仿宋_GB2312" w:cs="仿宋_GB2312"/>
          <w:b/>
          <w:bCs/>
          <w:color w:val="000000"/>
          <w:sz w:val="28"/>
          <w:szCs w:val="28"/>
          <w:lang w:eastAsia="zh-CN"/>
        </w:rPr>
        <w:t>多端数据同步与离线支持</w:t>
      </w:r>
    </w:p>
    <w:p w14:paraId="099A71C8">
      <w:pPr>
        <w:pStyle w:val="84"/>
        <w:shd w:val="clear" w:color="auto" w:fill="FFFFFF"/>
        <w:spacing w:line="312" w:lineRule="auto"/>
        <w:ind w:left="0" w:firstLine="560" w:firstLineChars="200"/>
        <w:jc w:val="both"/>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（1）实时同步</w:t>
      </w:r>
    </w:p>
    <w:p w14:paraId="1F859973">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依托平台统一标准化接口服务，电脑管理端、移动端H5任意一端完成表单填报、流程审批、材料上传、指标修改、台账编辑等数据变更后，数据即时写入后端数据库；其余终端通过页面主动刷新、消息实时推送同步最新业务数据，门户工作台待办、项目进度、供需信息、大屏指标实时联动更新。</w:t>
      </w:r>
    </w:p>
    <w:p w14:paraId="3CCEE10A">
      <w:pPr>
        <w:pStyle w:val="84"/>
        <w:shd w:val="clear" w:color="auto" w:fill="FFFFFF"/>
        <w:spacing w:line="312" w:lineRule="auto"/>
        <w:ind w:left="0" w:firstLine="560" w:firstLineChars="200"/>
        <w:jc w:val="both"/>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（2）离线暂存</w:t>
      </w:r>
    </w:p>
    <w:p w14:paraId="13FF1B82">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移动端基于本地存储实现表单离线缓存，包含各类动态表单填报内容、任务进度修改、文字备注等数据；断网离线操作全部按时间戳有序本地留存，网络恢复后自动按操作时序批量同步提交至服务端。后端基于记录最后修改时间戳做冲突检测，若存在多端修改冲突，自动提示用户展示两端差异内容并提供手动合并、覆盖、放弃三种处理选项</w:t>
      </w:r>
      <w:r>
        <w:rPr>
          <w:rFonts w:hint="eastAsia" w:ascii="仿宋_GB2312" w:hAnsi="仿宋_GB2312" w:eastAsia="仿宋_GB2312" w:cs="仿宋_GB2312"/>
          <w:color w:val="000000"/>
          <w:sz w:val="28"/>
          <w:szCs w:val="28"/>
          <w:highlight w:val="none"/>
          <w:lang w:val="en-US" w:eastAsia="zh-CN"/>
        </w:rPr>
        <w:t>。</w:t>
      </w:r>
    </w:p>
    <w:p w14:paraId="49CD9C53">
      <w:pPr>
        <w:pStyle w:val="84"/>
        <w:shd w:val="clear" w:color="auto" w:fill="FFFFFF"/>
        <w:spacing w:line="312" w:lineRule="auto"/>
        <w:ind w:left="0" w:firstLine="560" w:firstLineChars="200"/>
        <w:jc w:val="both"/>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（3）文件上传优化</w:t>
      </w:r>
    </w:p>
    <w:p w14:paraId="7F082D3D">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佐证材料、图片附件、批量表格文件支持分片上传、断点续传；图片自动压缩分辨率与体积后再传输，降低移动端流量消耗；同步支持离线预上传缓存，联网后自动续传完整文件，适配项目资料批量归档、企业材料集中填报场景</w:t>
      </w:r>
      <w:r>
        <w:rPr>
          <w:rFonts w:hint="eastAsia" w:ascii="仿宋_GB2312" w:hAnsi="仿宋_GB2312" w:eastAsia="仿宋_GB2312" w:cs="仿宋_GB2312"/>
          <w:color w:val="000000"/>
          <w:sz w:val="28"/>
          <w:szCs w:val="28"/>
          <w:highlight w:val="none"/>
          <w:lang w:val="en-US" w:eastAsia="zh-CN"/>
        </w:rPr>
        <w:t>。</w:t>
      </w:r>
    </w:p>
    <w:p w14:paraId="2F5A0A5A">
      <w:pPr>
        <w:pStyle w:val="84"/>
        <w:shd w:val="clear" w:color="auto" w:fill="FFFFFF"/>
        <w:spacing w:line="312" w:lineRule="auto"/>
        <w:ind w:left="0" w:firstLine="560" w:firstLineChars="200"/>
        <w:jc w:val="both"/>
        <w:outlineLvl w:val="3"/>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highlight w:val="none"/>
          <w:lang w:val="en-US" w:eastAsia="zh-CN"/>
        </w:rPr>
        <w:t>2.2</w:t>
      </w:r>
      <w:r>
        <w:rPr>
          <w:rFonts w:hint="eastAsia" w:ascii="仿宋_GB2312" w:hAnsi="仿宋_GB2312" w:eastAsia="仿宋_GB2312" w:cs="仿宋_GB2312"/>
          <w:b/>
          <w:bCs/>
          <w:color w:val="000000"/>
          <w:sz w:val="28"/>
          <w:szCs w:val="28"/>
          <w:lang w:eastAsia="zh-CN"/>
        </w:rPr>
        <w:t>工作流与审核</w:t>
      </w:r>
    </w:p>
    <w:p w14:paraId="25B5ADD3">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集成轻量化工作流引擎，适配产教融合共同体、产业学院等全业务线上审批，支持校内多级、校企协同多级审核链路自定义配置；流程节点包含发起、待审、顺序签、会签、或签、加签、转交、撤回、驳回、归档全类型，各节点可灵活配置审批角色、字段读写可见权限、必填意见规则；全流程每一步操作、操作人、操作时间、表单修改记录、审批意见、附件变更完整留存审计日志，支持回溯溯源、导出归档</w:t>
      </w:r>
      <w:r>
        <w:rPr>
          <w:rFonts w:hint="eastAsia" w:ascii="仿宋_GB2312" w:hAnsi="仿宋_GB2312" w:eastAsia="仿宋_GB2312" w:cs="仿宋_GB2312"/>
          <w:color w:val="000000"/>
          <w:sz w:val="28"/>
          <w:szCs w:val="28"/>
          <w:highlight w:val="none"/>
          <w:lang w:val="en-US" w:eastAsia="zh-CN"/>
        </w:rPr>
        <w:t>。</w:t>
      </w:r>
    </w:p>
    <w:p w14:paraId="7625FCBC">
      <w:pPr>
        <w:pStyle w:val="84"/>
        <w:shd w:val="clear" w:color="auto" w:fill="FFFFFF"/>
        <w:spacing w:line="312" w:lineRule="auto"/>
        <w:ind w:left="0" w:firstLine="560" w:firstLineChars="200"/>
        <w:jc w:val="both"/>
        <w:outlineLvl w:val="3"/>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highlight w:val="none"/>
          <w:lang w:val="en-US" w:eastAsia="zh-CN"/>
        </w:rPr>
        <w:t>2.3</w:t>
      </w:r>
      <w:r>
        <w:rPr>
          <w:rFonts w:hint="eastAsia" w:ascii="仿宋_GB2312" w:hAnsi="仿宋_GB2312" w:eastAsia="仿宋_GB2312" w:cs="仿宋_GB2312"/>
          <w:b/>
          <w:bCs/>
          <w:color w:val="000000"/>
          <w:sz w:val="28"/>
          <w:szCs w:val="28"/>
          <w:lang w:eastAsia="zh-CN"/>
        </w:rPr>
        <w:t>定时任务调度：</w:t>
      </w:r>
    </w:p>
    <w:p w14:paraId="57602618">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集成分布式定时调度框架，可视化统一管理各类定时任务：表单填报周期窗口自动开启/关闭、逾期未填报数据自动封存提醒、任务逾期自动批量短信/OA催办、月度/季度产教融合阶段报告定时生成并推送负责人、绩效指标定时汇总计算、看板统计数据定时刷新、过期供需信息自动归档下线，支持自定义cron表达式灵活调整执行周期</w:t>
      </w:r>
      <w:r>
        <w:rPr>
          <w:rFonts w:hint="eastAsia" w:ascii="仿宋_GB2312" w:hAnsi="仿宋_GB2312" w:eastAsia="仿宋_GB2312" w:cs="仿宋_GB2312"/>
          <w:color w:val="000000"/>
          <w:sz w:val="28"/>
          <w:szCs w:val="28"/>
          <w:highlight w:val="none"/>
          <w:lang w:val="en-US" w:eastAsia="zh-CN"/>
        </w:rPr>
        <w:t>。</w:t>
      </w:r>
    </w:p>
    <w:p w14:paraId="6B4BFE24">
      <w:pPr>
        <w:pStyle w:val="84"/>
        <w:shd w:val="clear" w:color="auto" w:fill="FFFFFF"/>
        <w:spacing w:line="312" w:lineRule="auto"/>
        <w:ind w:left="0" w:firstLine="560" w:firstLineChars="200"/>
        <w:jc w:val="both"/>
        <w:outlineLvl w:val="3"/>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highlight w:val="none"/>
          <w:lang w:val="en-US" w:eastAsia="zh-CN"/>
        </w:rPr>
        <w:t>2.4</w:t>
      </w:r>
      <w:r>
        <w:rPr>
          <w:rFonts w:hint="eastAsia" w:ascii="仿宋_GB2312" w:hAnsi="仿宋_GB2312" w:eastAsia="仿宋_GB2312" w:cs="仿宋_GB2312"/>
          <w:b/>
          <w:bCs/>
          <w:color w:val="000000"/>
          <w:sz w:val="28"/>
          <w:szCs w:val="28"/>
          <w:lang w:eastAsia="zh-CN"/>
        </w:rPr>
        <w:t>数据仓库与分析</w:t>
      </w:r>
    </w:p>
    <w:p w14:paraId="5A2F680F">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数据库承担业务主库存储日常填报、流程、任务、材料明细原始业务数据；</w:t>
      </w:r>
      <w:r>
        <w:rPr>
          <w:rFonts w:hint="eastAsia" w:ascii="仿宋_GB2312" w:hAnsi="仿宋_GB2312" w:eastAsia="仿宋_GB2312" w:cs="仿宋_GB2312"/>
          <w:color w:val="000000"/>
          <w:sz w:val="28"/>
          <w:szCs w:val="28"/>
          <w:shd w:val="clear" w:color="auto" w:fill="auto"/>
          <w:lang w:eastAsia="zh-CN"/>
        </w:rPr>
        <w:t>对接国产数据库</w:t>
      </w:r>
      <w:r>
        <w:rPr>
          <w:rFonts w:hint="eastAsia" w:ascii="仿宋_GB2312" w:hAnsi="仿宋_GB2312" w:eastAsia="仿宋_GB2312" w:cs="仿宋_GB2312"/>
          <w:color w:val="000000"/>
          <w:sz w:val="28"/>
          <w:szCs w:val="28"/>
          <w:lang w:eastAsia="zh-CN"/>
        </w:rPr>
        <w:t>，构建离线+实时分析数仓，搭建产教融合多维度分层数据模型，构建学校、专业、企业、师资、岗位、成果、资金、人才供需等维度表与事实宽表；支撑同比、环比、占比、加权汇总、多层级下钻、多条件交叉筛选等复杂统计分析，保障大屏可视化、多维度台账、批量报表查询毫秒级响应速度</w:t>
      </w:r>
      <w:r>
        <w:rPr>
          <w:rFonts w:hint="eastAsia" w:ascii="仿宋_GB2312" w:hAnsi="仿宋_GB2312" w:eastAsia="仿宋_GB2312" w:cs="仿宋_GB2312"/>
          <w:color w:val="000000"/>
          <w:sz w:val="28"/>
          <w:szCs w:val="28"/>
          <w:highlight w:val="none"/>
          <w:lang w:val="en-US" w:eastAsia="zh-CN"/>
        </w:rPr>
        <w:t>。</w:t>
      </w:r>
    </w:p>
    <w:p w14:paraId="365F5097">
      <w:pPr>
        <w:pStyle w:val="84"/>
        <w:shd w:val="clear" w:color="auto" w:fill="FFFFFF"/>
        <w:spacing w:line="312" w:lineRule="auto"/>
        <w:ind w:left="0" w:firstLine="560" w:firstLineChars="200"/>
        <w:jc w:val="both"/>
        <w:outlineLvl w:val="3"/>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highlight w:val="none"/>
          <w:lang w:val="en-US" w:eastAsia="zh-CN"/>
        </w:rPr>
        <w:t>2.5</w:t>
      </w:r>
      <w:r>
        <w:rPr>
          <w:rFonts w:hint="eastAsia" w:ascii="仿宋_GB2312" w:hAnsi="仿宋_GB2312" w:eastAsia="仿宋_GB2312" w:cs="仿宋_GB2312"/>
          <w:b/>
          <w:bCs/>
          <w:color w:val="000000"/>
          <w:sz w:val="28"/>
          <w:szCs w:val="28"/>
          <w:lang w:eastAsia="zh-CN"/>
        </w:rPr>
        <w:t>预警与消息中心</w:t>
      </w:r>
    </w:p>
    <w:p w14:paraId="24221139">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基于消息队列中间件和通信协议，搭建全域消息推送体系，整合系统催办、流程审批、任务逾期、数据异常、供需对接等各类预警场景。系统可根据任务超时、绩效未达标、材料未提交、流程停滞等规则自动触发预警，生成待办整改任务，通过站内消息、OA通知、短信多渠道实时推送至对应责任人、审批人及管理员，同时联动个人工作台消息中心统一归集、展示、溯源所有通知记录，支持消息已读未读状态管理、过期提醒、批量消息处理</w:t>
      </w:r>
      <w:r>
        <w:rPr>
          <w:rFonts w:hint="eastAsia" w:ascii="仿宋_GB2312" w:hAnsi="仿宋_GB2312" w:eastAsia="仿宋_GB2312" w:cs="仿宋_GB2312"/>
          <w:color w:val="000000"/>
          <w:sz w:val="28"/>
          <w:szCs w:val="28"/>
          <w:highlight w:val="none"/>
          <w:lang w:val="en-US" w:eastAsia="zh-CN"/>
        </w:rPr>
        <w:t>。</w:t>
      </w:r>
    </w:p>
    <w:p w14:paraId="1658D274">
      <w:pPr>
        <w:pStyle w:val="84"/>
        <w:shd w:val="clear" w:color="auto" w:fill="FFFFFF"/>
        <w:spacing w:line="312" w:lineRule="auto"/>
        <w:ind w:left="0" w:firstLine="560" w:firstLineChars="200"/>
        <w:jc w:val="both"/>
        <w:outlineLvl w:val="3"/>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highlight w:val="none"/>
          <w:lang w:val="en-US" w:eastAsia="zh-CN"/>
        </w:rPr>
        <w:t>2.6</w:t>
      </w:r>
      <w:r>
        <w:rPr>
          <w:rFonts w:hint="eastAsia" w:ascii="仿宋_GB2312" w:hAnsi="仿宋_GB2312" w:eastAsia="仿宋_GB2312" w:cs="仿宋_GB2312"/>
          <w:b/>
          <w:bCs/>
          <w:color w:val="000000"/>
          <w:sz w:val="28"/>
          <w:szCs w:val="28"/>
          <w:lang w:eastAsia="zh-CN"/>
        </w:rPr>
        <w:t>可视化组件</w:t>
      </w:r>
    </w:p>
    <w:p w14:paraId="4E623683">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封装标准化可视化组件库，适配平台各类数据大屏与统计视图，内置环形图、堆叠柱状图、条形图、折线图、统计表及GIS地理地图组件等可视化展示。全面支持图表联动、维度下钻、数据筛选联动功能，通过点击交互动态请求后端聚合数据，实现从宏观总览到微观明细的数据溯源。大屏适配高清分辨率，支持页面全屏展示、自定义周期自动刷新、数据轮播展示</w:t>
      </w:r>
      <w:r>
        <w:rPr>
          <w:rFonts w:hint="eastAsia" w:ascii="仿宋_GB2312" w:hAnsi="仿宋_GB2312" w:eastAsia="仿宋_GB2312" w:cs="仿宋_GB2312"/>
          <w:color w:val="000000"/>
          <w:sz w:val="28"/>
          <w:szCs w:val="28"/>
          <w:highlight w:val="none"/>
          <w:lang w:val="en-US" w:eastAsia="zh-CN"/>
        </w:rPr>
        <w:t>。</w:t>
      </w:r>
    </w:p>
    <w:p w14:paraId="790849AB">
      <w:pPr>
        <w:pStyle w:val="84"/>
        <w:shd w:val="clear" w:color="auto" w:fill="FFFFFF"/>
        <w:spacing w:line="312" w:lineRule="auto"/>
        <w:ind w:left="0" w:firstLine="560" w:firstLineChars="200"/>
        <w:jc w:val="both"/>
        <w:outlineLvl w:val="3"/>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highlight w:val="none"/>
          <w:lang w:val="en-US" w:eastAsia="zh-CN"/>
        </w:rPr>
        <w:t>2.7</w:t>
      </w:r>
      <w:r>
        <w:rPr>
          <w:rFonts w:hint="eastAsia" w:ascii="仿宋_GB2312" w:hAnsi="仿宋_GB2312" w:eastAsia="仿宋_GB2312" w:cs="仿宋_GB2312"/>
          <w:b/>
          <w:bCs/>
          <w:color w:val="000000"/>
          <w:sz w:val="28"/>
          <w:szCs w:val="28"/>
          <w:lang w:eastAsia="zh-CN"/>
        </w:rPr>
        <w:t>报表生成</w:t>
      </w:r>
    </w:p>
    <w:p w14:paraId="3CAE0592">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集成电子表格处理组件、PDF生成组件工具库结合模板引擎，搭建标准化动态报表生成体系。支持读取平台任务数据、绩效数据、成果数据、资金数据、用户行为数据，自动填充预设报表模板，快速生成Word、PDF、电子表格格式的产教融合阶段报告、项目台账、成果一览表、绩效指标统计表、资金明细报表。支持自定义报表时间维度、筛选条件与报表名称，具备单份报表预览、下载、导出及批量导出功能，可联动定时任务实现阶段性报表自动生成与推送，满足项目评审、中期检查、年度总结等业务场景使用需求</w:t>
      </w:r>
      <w:r>
        <w:rPr>
          <w:rFonts w:hint="eastAsia" w:ascii="仿宋_GB2312" w:hAnsi="仿宋_GB2312" w:eastAsia="仿宋_GB2312" w:cs="仿宋_GB2312"/>
          <w:color w:val="000000"/>
          <w:sz w:val="28"/>
          <w:szCs w:val="28"/>
          <w:highlight w:val="none"/>
          <w:lang w:val="en-US" w:eastAsia="zh-CN"/>
        </w:rPr>
        <w:t>。</w:t>
      </w:r>
    </w:p>
    <w:p w14:paraId="118EED27">
      <w:pPr>
        <w:pStyle w:val="84"/>
        <w:shd w:val="clear" w:color="auto" w:fill="FFFFFF"/>
        <w:spacing w:line="312" w:lineRule="auto"/>
        <w:ind w:left="0" w:firstLine="560" w:firstLineChars="200"/>
        <w:jc w:val="both"/>
        <w:outlineLvl w:val="2"/>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3.数据与安全要求</w:t>
      </w:r>
    </w:p>
    <w:p w14:paraId="093CABB6">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3.1数据安全</w:t>
      </w:r>
    </w:p>
    <w:p w14:paraId="19B27C8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（1）全程HTTPS加密传输。</w:t>
      </w:r>
    </w:p>
    <w:p w14:paraId="797FF9F9">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（2）敏感数据实行加密存储，对企业联系人、联系方式、用户账号信息、财务资金明细等隐私数据采用高强度加密算法加密保存，支持字段脱敏展示，防止敏感信息泄露。</w:t>
      </w:r>
    </w:p>
    <w:p w14:paraId="5622DB7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基于角色权限模型搭建全域权限体系，结合组织架构实现精细化功能权限管控，同时支持数据表行级、字段级数据权限隔离，可针对不同角色、用户配置数据查看、编辑、导出、删除权限，保障业务数据分级可控、合规访问。</w:t>
      </w:r>
    </w:p>
    <w:p w14:paraId="61711C8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4）全链路操作日志审计，完整记录所有用户登录、流程发起、表单填报、审批操作、数据增删改查、文件上传下载、数据导出、接口调用、权限变更等关键行为，日志全程不可篡改，留存时长不少于6个月，支持溯源核查、责任界定与安全审计。</w:t>
      </w:r>
    </w:p>
    <w:p w14:paraId="65946B5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（5）配置数据回收站防护机制，支持误删数据限时恢复、冗余数据彻底销毁，防止数据误删除、恶意删除导致的数据丢失问题，保障数据资产安全。</w:t>
      </w:r>
    </w:p>
    <w:p w14:paraId="5ACE0056">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（6）接口数据服务支持白名单访问管控，可通过IP、域名维度限制接口调用权限，支持接口服务在线/离线状态管控、调用记录监控，防止非法接口访问与数据窃取</w:t>
      </w:r>
      <w:r>
        <w:rPr>
          <w:rFonts w:hint="eastAsia" w:ascii="仿宋_GB2312" w:hAnsi="仿宋_GB2312" w:eastAsia="仿宋_GB2312" w:cs="仿宋_GB2312"/>
          <w:color w:val="000000"/>
          <w:sz w:val="28"/>
          <w:szCs w:val="28"/>
          <w:highlight w:val="none"/>
          <w:lang w:val="en-US" w:eastAsia="zh-CN"/>
        </w:rPr>
        <w:t>。</w:t>
      </w:r>
    </w:p>
    <w:p w14:paraId="39624156">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3.2数据质量</w:t>
      </w:r>
    </w:p>
    <w:p w14:paraId="656D5C1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highlight w:val="none"/>
          <w:lang w:val="en-US" w:eastAsia="zh-CN"/>
        </w:rPr>
        <w:t>（1）</w:t>
      </w:r>
      <w:r>
        <w:rPr>
          <w:rFonts w:hint="eastAsia" w:ascii="仿宋_GB2312" w:hAnsi="仿宋_GB2312" w:eastAsia="仿宋_GB2312" w:cs="仿宋_GB2312"/>
          <w:color w:val="000000"/>
          <w:sz w:val="28"/>
          <w:szCs w:val="28"/>
          <w:lang w:eastAsia="zh-CN"/>
        </w:rPr>
        <w:t>建立事前、事中、事后全流程数据校验体系，全方位保障职业学校办学情况统计系统项目数据、供需数据、绩效数据、资金数据、成果数据的完整性、准确性、一致性与及时性。</w:t>
      </w:r>
    </w:p>
    <w:p w14:paraId="65B9BEC4">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（2）事前前端即时校验：可视化表单配置字段格式、字数、必填、数据类型等校验规则，配置动态显隐逻辑，拦截无效、错误、缺失数据提交，从源头规范数据录入。</w:t>
      </w:r>
    </w:p>
    <w:p w14:paraId="282F5A4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（3）事中后端规则引擎校验：系统依托预设业务规则，对项目申报数据、供需清单、绩效指标、资金台账、审批流转数据进行逻辑校验，自动识别数据冲突、格式错误、逻辑异常数据，阻断不合规数据入库。</w:t>
      </w:r>
    </w:p>
    <w:p w14:paraId="2D23634D">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（4）事后数据稽核治理：依托ETL数据调度能力，对数据库、电子表格多源异构数据进行统一清洗、比对、稽核，自动检测数据缺失、重复、不一致、更新滞后等问题，可生成可视化数据质量报告</w:t>
      </w:r>
      <w:r>
        <w:rPr>
          <w:rFonts w:hint="eastAsia" w:ascii="仿宋_GB2312" w:hAnsi="仿宋_GB2312" w:eastAsia="仿宋_GB2312" w:cs="仿宋_GB2312"/>
          <w:color w:val="000000"/>
          <w:sz w:val="28"/>
          <w:szCs w:val="28"/>
          <w:highlight w:val="none"/>
          <w:lang w:val="en-US" w:eastAsia="zh-CN"/>
        </w:rPr>
        <w:t>。</w:t>
      </w:r>
    </w:p>
    <w:p w14:paraId="0C56CFBF">
      <w:pPr>
        <w:pStyle w:val="84"/>
        <w:shd w:val="clear" w:color="auto" w:fill="FFFFFF"/>
        <w:spacing w:line="312" w:lineRule="auto"/>
        <w:ind w:left="0" w:firstLine="560" w:firstLineChars="200"/>
        <w:jc w:val="both"/>
        <w:outlineLvl w:val="2"/>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4.性能与可靠性要求</w:t>
      </w:r>
    </w:p>
    <w:p w14:paraId="6ACD97D7">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4.1响应时间</w:t>
      </w:r>
    </w:p>
    <w:p w14:paraId="4239699F">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页面加载首屏≤2秒，非结构化数据查询响应≤3秒，复杂分析报表生成≤5秒</w:t>
      </w:r>
      <w:r>
        <w:rPr>
          <w:rFonts w:hint="eastAsia" w:ascii="仿宋_GB2312" w:hAnsi="仿宋_GB2312" w:eastAsia="仿宋_GB2312" w:cs="仿宋_GB2312"/>
          <w:color w:val="000000"/>
          <w:sz w:val="28"/>
          <w:szCs w:val="28"/>
          <w:highlight w:val="none"/>
          <w:lang w:val="en-US" w:eastAsia="zh-CN"/>
        </w:rPr>
        <w:t>。</w:t>
      </w:r>
    </w:p>
    <w:p w14:paraId="147872D3">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4.2并发支持</w:t>
      </w:r>
    </w:p>
    <w:p w14:paraId="272813F0">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系统支持≥200个并发用户，核心服务响应时间波动不超过20%</w:t>
      </w:r>
      <w:r>
        <w:rPr>
          <w:rFonts w:hint="eastAsia" w:ascii="仿宋_GB2312" w:hAnsi="仿宋_GB2312" w:eastAsia="仿宋_GB2312" w:cs="仿宋_GB2312"/>
          <w:color w:val="000000"/>
          <w:sz w:val="28"/>
          <w:szCs w:val="28"/>
          <w:highlight w:val="none"/>
          <w:lang w:val="en-US" w:eastAsia="zh-CN"/>
        </w:rPr>
        <w:t>。</w:t>
      </w:r>
    </w:p>
    <w:p w14:paraId="0D841423">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4.3高可用性</w:t>
      </w:r>
    </w:p>
    <w:p w14:paraId="743ABA15">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核心服务（网关、采集、评估）支持多实例集群部署，关键服务需达到99.9%的可用性。数据库采用主从复制或集群方案，每日自动全量/增量备份</w:t>
      </w:r>
      <w:r>
        <w:rPr>
          <w:rFonts w:hint="eastAsia" w:ascii="仿宋_GB2312" w:hAnsi="仿宋_GB2312" w:eastAsia="仿宋_GB2312" w:cs="仿宋_GB2312"/>
          <w:color w:val="000000"/>
          <w:sz w:val="28"/>
          <w:szCs w:val="28"/>
          <w:highlight w:val="none"/>
          <w:lang w:val="en-US" w:eastAsia="zh-CN"/>
        </w:rPr>
        <w:t>。</w:t>
      </w:r>
    </w:p>
    <w:p w14:paraId="0D2520EC">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4.4移动端适配</w:t>
      </w:r>
    </w:p>
    <w:p w14:paraId="7D79861C">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H5页面需适配主流手机分辨率（主流移动操作系统），支持弱网环境下的离线暂存及联网后的增量数据同步</w:t>
      </w:r>
      <w:r>
        <w:rPr>
          <w:rFonts w:hint="eastAsia" w:ascii="仿宋_GB2312" w:hAnsi="仿宋_GB2312" w:eastAsia="仿宋_GB2312" w:cs="仿宋_GB2312"/>
          <w:color w:val="000000"/>
          <w:sz w:val="28"/>
          <w:szCs w:val="28"/>
          <w:highlight w:val="none"/>
          <w:lang w:val="en-US" w:eastAsia="zh-CN"/>
        </w:rPr>
        <w:t>。</w:t>
      </w:r>
    </w:p>
    <w:p w14:paraId="4A0EC0E6">
      <w:pPr>
        <w:pStyle w:val="84"/>
        <w:shd w:val="clear" w:color="auto" w:fill="FFFFFF"/>
        <w:spacing w:line="312" w:lineRule="auto"/>
        <w:ind w:left="0" w:firstLine="560" w:firstLineChars="200"/>
        <w:jc w:val="both"/>
        <w:outlineLvl w:val="2"/>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5.国产化与部署要求</w:t>
      </w:r>
    </w:p>
    <w:p w14:paraId="243C1457">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5.1国产化适配</w:t>
      </w:r>
    </w:p>
    <w:p w14:paraId="28C7FE96">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（1）系统需全面适配国产化环境。</w:t>
      </w:r>
    </w:p>
    <w:p w14:paraId="188F6EF8">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highlight w:val="none"/>
          <w:lang w:val="en-US" w:eastAsia="zh-CN"/>
        </w:rPr>
        <w:t>（2）</w:t>
      </w:r>
      <w:r>
        <w:rPr>
          <w:rFonts w:hint="eastAsia" w:ascii="仿宋_GB2312" w:hAnsi="仿宋_GB2312" w:eastAsia="仿宋_GB2312" w:cs="仿宋_GB2312"/>
          <w:color w:val="000000"/>
          <w:sz w:val="28"/>
          <w:szCs w:val="28"/>
          <w:lang w:eastAsia="zh-CN"/>
        </w:rPr>
        <w:t>服务器：支持鲲鹏、飞腾等国产CPU架构。</w:t>
      </w:r>
    </w:p>
    <w:p w14:paraId="1625AC7B">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（3）操作系统：支持统信UOS、银河麒麟等国产操作系统，确保在国产操作系统环境下页面渲染、表单填报、审批流程、大屏展示全功能正常运行</w:t>
      </w:r>
    </w:p>
    <w:p w14:paraId="67B548B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（4）数据库：支持达梦、人大金仓、南大通用等国产数据库，SQL语法需遵循国家标准，避免使用特定数据库方言。数据库应通过中国信息安全测评中心的安全可靠测评。</w:t>
      </w:r>
    </w:p>
    <w:p w14:paraId="004DDCB1">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（5）浏览器兼容性：兼容360安全浏览器信创版、统信UOS浏览器等国产主流浏览器，需基于主流渲染引擎完成兼容性测试。</w:t>
      </w:r>
    </w:p>
    <w:p w14:paraId="0B2C623B">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lang w:eastAsia="zh-CN"/>
        </w:rPr>
        <w:t>（6）中间件：支持东方通、金蝶天燕等国产Web中间件</w:t>
      </w:r>
      <w:r>
        <w:rPr>
          <w:rFonts w:hint="eastAsia" w:ascii="仿宋_GB2312" w:hAnsi="仿宋_GB2312" w:eastAsia="仿宋_GB2312" w:cs="仿宋_GB2312"/>
          <w:color w:val="000000"/>
          <w:sz w:val="28"/>
          <w:szCs w:val="28"/>
          <w:highlight w:val="none"/>
          <w:lang w:val="en-US" w:eastAsia="zh-CN"/>
        </w:rPr>
        <w:t>。</w:t>
      </w:r>
    </w:p>
    <w:p w14:paraId="26590406">
      <w:pPr>
        <w:pStyle w:val="84"/>
        <w:shd w:val="clear" w:color="auto" w:fill="FFFFFF"/>
        <w:spacing w:line="312" w:lineRule="auto"/>
        <w:ind w:left="0" w:firstLine="560" w:firstLineChars="200"/>
        <w:jc w:val="both"/>
        <w:outlineLvl w:val="3"/>
        <w:rPr>
          <w:rFonts w:hint="eastAsia" w:ascii="仿宋_GB2312" w:hAnsi="仿宋_GB2312" w:eastAsia="仿宋_GB2312" w:cs="仿宋_GB2312"/>
          <w:b/>
          <w:bCs/>
          <w:color w:val="000000"/>
          <w:sz w:val="28"/>
          <w:szCs w:val="28"/>
          <w:highlight w:val="none"/>
          <w:lang w:val="en-US" w:eastAsia="zh-CN"/>
        </w:rPr>
      </w:pPr>
      <w:r>
        <w:rPr>
          <w:rFonts w:hint="eastAsia" w:ascii="仿宋_GB2312" w:hAnsi="仿宋_GB2312" w:eastAsia="仿宋_GB2312" w:cs="仿宋_GB2312"/>
          <w:b/>
          <w:bCs/>
          <w:color w:val="000000"/>
          <w:sz w:val="28"/>
          <w:szCs w:val="28"/>
          <w:highlight w:val="none"/>
          <w:lang w:val="en-US" w:eastAsia="zh-CN"/>
        </w:rPr>
        <w:t>5.2部署方式</w:t>
      </w:r>
    </w:p>
    <w:p w14:paraId="062D2346">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lang w:eastAsia="zh-CN"/>
        </w:rPr>
        <w:t>支持私有化部署和云原生部署。提供容器化部署方案（兼容国产容器云平台），便于快速扩展和环境迁移</w:t>
      </w:r>
      <w:r>
        <w:rPr>
          <w:rFonts w:hint="eastAsia" w:ascii="仿宋_GB2312" w:hAnsi="仿宋_GB2312" w:eastAsia="仿宋_GB2312" w:cs="仿宋_GB2312"/>
          <w:color w:val="000000"/>
          <w:sz w:val="28"/>
          <w:szCs w:val="28"/>
          <w:highlight w:val="none"/>
          <w:lang w:val="en-US" w:eastAsia="zh-CN"/>
        </w:rPr>
        <w:t>。</w:t>
      </w:r>
    </w:p>
    <w:p w14:paraId="435CFF2F">
      <w:pPr>
        <w:pStyle w:val="84"/>
        <w:shd w:val="clear" w:color="auto" w:fill="FFFFFF"/>
        <w:spacing w:line="312" w:lineRule="auto"/>
        <w:ind w:left="0" w:firstLine="640" w:firstLineChars="200"/>
        <w:jc w:val="both"/>
        <w:outlineLvl w:val="0"/>
        <w:rPr>
          <w:rFonts w:hint="eastAsia" w:ascii="仿宋_GB2312" w:hAnsi="仿宋_GB2312" w:eastAsia="仿宋_GB2312" w:cs="仿宋_GB2312"/>
          <w:b/>
          <w:bCs/>
          <w:color w:val="000000"/>
          <w:sz w:val="32"/>
          <w:szCs w:val="32"/>
          <w:highlight w:val="none"/>
          <w:lang w:eastAsia="zh-CN"/>
        </w:rPr>
      </w:pPr>
      <w:r>
        <w:rPr>
          <w:rFonts w:hint="eastAsia" w:ascii="仿宋_GB2312" w:hAnsi="仿宋_GB2312" w:eastAsia="仿宋_GB2312" w:cs="仿宋_GB2312"/>
          <w:b/>
          <w:bCs/>
          <w:color w:val="000000"/>
          <w:sz w:val="32"/>
          <w:szCs w:val="32"/>
          <w:highlight w:val="none"/>
          <w:lang w:eastAsia="zh-CN"/>
        </w:rPr>
        <w:t>四、服务要求</w:t>
      </w:r>
    </w:p>
    <w:p w14:paraId="136F201D">
      <w:pPr>
        <w:pStyle w:val="84"/>
        <w:shd w:val="clear" w:color="auto" w:fill="FFFFFF"/>
        <w:spacing w:line="312" w:lineRule="auto"/>
        <w:ind w:left="0" w:firstLine="560" w:firstLineChars="200"/>
        <w:jc w:val="both"/>
        <w:outlineLvl w:val="1"/>
        <w:rPr>
          <w:rFonts w:hint="eastAsia" w:ascii="仿宋_GB2312" w:hAnsi="仿宋_GB2312" w:eastAsia="仿宋_GB2312" w:cs="仿宋_GB2312"/>
          <w:b/>
          <w:bCs/>
          <w:color w:val="000000"/>
          <w:sz w:val="28"/>
          <w:szCs w:val="28"/>
          <w:highlight w:val="none"/>
          <w:lang w:eastAsia="zh-CN"/>
        </w:rPr>
      </w:pPr>
      <w:r>
        <w:rPr>
          <w:rFonts w:hint="eastAsia" w:ascii="仿宋_GB2312" w:hAnsi="仿宋_GB2312" w:eastAsia="仿宋_GB2312" w:cs="仿宋_GB2312"/>
          <w:b/>
          <w:bCs/>
          <w:color w:val="000000"/>
          <w:sz w:val="28"/>
          <w:szCs w:val="28"/>
          <w:highlight w:val="none"/>
          <w:lang w:eastAsia="zh-CN"/>
        </w:rPr>
        <w:t>（</w:t>
      </w:r>
      <w:r>
        <w:rPr>
          <w:rFonts w:hint="eastAsia" w:ascii="仿宋_GB2312" w:hAnsi="仿宋_GB2312" w:eastAsia="仿宋_GB2312" w:cs="仿宋_GB2312"/>
          <w:b/>
          <w:bCs/>
          <w:color w:val="000000"/>
          <w:sz w:val="28"/>
          <w:szCs w:val="28"/>
          <w:highlight w:val="none"/>
          <w:lang w:val="en-US" w:eastAsia="zh-CN"/>
        </w:rPr>
        <w:t>一</w:t>
      </w:r>
      <w:r>
        <w:rPr>
          <w:rFonts w:hint="eastAsia" w:ascii="仿宋_GB2312" w:hAnsi="仿宋_GB2312" w:eastAsia="仿宋_GB2312" w:cs="仿宋_GB2312"/>
          <w:b/>
          <w:bCs/>
          <w:color w:val="000000"/>
          <w:sz w:val="28"/>
          <w:szCs w:val="28"/>
          <w:highlight w:val="none"/>
          <w:lang w:eastAsia="zh-CN"/>
        </w:rPr>
        <w:t>）培训服务</w:t>
      </w:r>
    </w:p>
    <w:p w14:paraId="5321FBF4">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lang w:eastAsia="zh-CN"/>
        </w:rPr>
        <w:t>供应商提供免费培训。不少于2次、每次不少于4小时的线下专业理论及实操培训，承担全部费用。提供培训文档和讲解说明</w:t>
      </w:r>
      <w:r>
        <w:rPr>
          <w:rFonts w:hint="eastAsia" w:ascii="仿宋_GB2312" w:hAnsi="仿宋_GB2312" w:eastAsia="仿宋_GB2312" w:cs="仿宋_GB2312"/>
          <w:color w:val="000000"/>
          <w:sz w:val="28"/>
          <w:szCs w:val="28"/>
          <w:highlight w:val="none"/>
          <w:lang w:eastAsia="zh-CN"/>
        </w:rPr>
        <w:t>。</w:t>
      </w:r>
    </w:p>
    <w:p w14:paraId="3064D7CF">
      <w:pPr>
        <w:pStyle w:val="84"/>
        <w:shd w:val="clear" w:color="auto" w:fill="FFFFFF"/>
        <w:spacing w:line="312" w:lineRule="auto"/>
        <w:ind w:left="0" w:firstLine="560" w:firstLineChars="200"/>
        <w:jc w:val="both"/>
        <w:outlineLvl w:val="1"/>
        <w:rPr>
          <w:rFonts w:hint="eastAsia" w:ascii="仿宋_GB2312" w:hAnsi="仿宋_GB2312" w:eastAsia="仿宋_GB2312" w:cs="仿宋_GB2312"/>
          <w:b/>
          <w:bCs/>
          <w:color w:val="000000"/>
          <w:sz w:val="28"/>
          <w:szCs w:val="28"/>
          <w:highlight w:val="none"/>
          <w:lang w:eastAsia="zh-CN"/>
        </w:rPr>
      </w:pPr>
      <w:r>
        <w:rPr>
          <w:rFonts w:hint="eastAsia" w:ascii="仿宋_GB2312" w:hAnsi="仿宋_GB2312" w:eastAsia="仿宋_GB2312" w:cs="仿宋_GB2312"/>
          <w:b/>
          <w:bCs/>
          <w:color w:val="000000"/>
          <w:sz w:val="28"/>
          <w:szCs w:val="28"/>
          <w:highlight w:val="none"/>
          <w:lang w:eastAsia="zh-CN"/>
        </w:rPr>
        <w:t>（</w:t>
      </w:r>
      <w:r>
        <w:rPr>
          <w:rFonts w:hint="eastAsia" w:ascii="仿宋_GB2312" w:hAnsi="仿宋_GB2312" w:eastAsia="仿宋_GB2312" w:cs="仿宋_GB2312"/>
          <w:b/>
          <w:bCs/>
          <w:color w:val="000000"/>
          <w:sz w:val="28"/>
          <w:szCs w:val="28"/>
          <w:highlight w:val="none"/>
          <w:lang w:val="en-US" w:eastAsia="zh-CN"/>
        </w:rPr>
        <w:t>二</w:t>
      </w:r>
      <w:r>
        <w:rPr>
          <w:rFonts w:hint="eastAsia" w:ascii="仿宋_GB2312" w:hAnsi="仿宋_GB2312" w:eastAsia="仿宋_GB2312" w:cs="仿宋_GB2312"/>
          <w:b/>
          <w:bCs/>
          <w:color w:val="000000"/>
          <w:sz w:val="28"/>
          <w:szCs w:val="28"/>
          <w:highlight w:val="none"/>
          <w:lang w:eastAsia="zh-CN"/>
        </w:rPr>
        <w:t>）技术响应与运维保障</w:t>
      </w:r>
    </w:p>
    <w:p w14:paraId="10DC3CF6">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lang w:eastAsia="zh-CN"/>
        </w:rPr>
        <w:t>建立7×12小时技术响应机制，系统故障工作日内1小时内响应、4小时内远程排查解决，远程无法处理时24小时内现场运维</w:t>
      </w:r>
      <w:r>
        <w:rPr>
          <w:rFonts w:hint="eastAsia" w:ascii="仿宋_GB2312" w:hAnsi="仿宋_GB2312" w:eastAsia="仿宋_GB2312" w:cs="仿宋_GB2312"/>
          <w:color w:val="000000"/>
          <w:sz w:val="28"/>
          <w:szCs w:val="28"/>
          <w:highlight w:val="none"/>
          <w:lang w:eastAsia="zh-CN"/>
        </w:rPr>
        <w:t>。</w:t>
      </w:r>
    </w:p>
    <w:p w14:paraId="249C0235">
      <w:pPr>
        <w:pStyle w:val="84"/>
        <w:shd w:val="clear" w:color="auto" w:fill="FFFFFF"/>
        <w:spacing w:line="312" w:lineRule="auto"/>
        <w:ind w:left="0" w:firstLine="560" w:firstLineChars="200"/>
        <w:jc w:val="both"/>
        <w:outlineLvl w:val="1"/>
        <w:rPr>
          <w:rFonts w:hint="eastAsia" w:ascii="仿宋_GB2312" w:hAnsi="仿宋_GB2312" w:eastAsia="仿宋_GB2312" w:cs="仿宋_GB2312"/>
          <w:b/>
          <w:bCs/>
          <w:color w:val="000000"/>
          <w:sz w:val="28"/>
          <w:szCs w:val="28"/>
          <w:highlight w:val="none"/>
          <w:lang w:eastAsia="zh-CN"/>
        </w:rPr>
      </w:pPr>
      <w:r>
        <w:rPr>
          <w:rFonts w:hint="eastAsia" w:ascii="仿宋_GB2312" w:hAnsi="仿宋_GB2312" w:eastAsia="仿宋_GB2312" w:cs="仿宋_GB2312"/>
          <w:b/>
          <w:bCs/>
          <w:color w:val="000000"/>
          <w:sz w:val="28"/>
          <w:szCs w:val="28"/>
          <w:highlight w:val="none"/>
          <w:lang w:eastAsia="zh-CN"/>
        </w:rPr>
        <w:t>（</w:t>
      </w:r>
      <w:r>
        <w:rPr>
          <w:rFonts w:hint="eastAsia" w:ascii="仿宋_GB2312" w:hAnsi="仿宋_GB2312" w:eastAsia="仿宋_GB2312" w:cs="仿宋_GB2312"/>
          <w:b/>
          <w:bCs/>
          <w:color w:val="000000"/>
          <w:sz w:val="28"/>
          <w:szCs w:val="28"/>
          <w:highlight w:val="none"/>
          <w:lang w:val="en-US" w:eastAsia="zh-CN"/>
        </w:rPr>
        <w:t>三</w:t>
      </w:r>
      <w:r>
        <w:rPr>
          <w:rFonts w:hint="eastAsia" w:ascii="仿宋_GB2312" w:hAnsi="仿宋_GB2312" w:eastAsia="仿宋_GB2312" w:cs="仿宋_GB2312"/>
          <w:b/>
          <w:bCs/>
          <w:color w:val="000000"/>
          <w:sz w:val="28"/>
          <w:szCs w:val="28"/>
          <w:highlight w:val="none"/>
          <w:lang w:eastAsia="zh-CN"/>
        </w:rPr>
        <w:t>）交付物</w:t>
      </w:r>
    </w:p>
    <w:p w14:paraId="225B474C">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val="en-US" w:eastAsia="zh-CN"/>
        </w:rPr>
        <w:t>1、</w:t>
      </w:r>
      <w:r>
        <w:rPr>
          <w:rFonts w:hint="eastAsia" w:ascii="仿宋_GB2312" w:hAnsi="仿宋_GB2312" w:eastAsia="仿宋_GB2312" w:cs="仿宋_GB2312"/>
          <w:color w:val="000000"/>
          <w:sz w:val="28"/>
          <w:szCs w:val="28"/>
          <w:lang w:eastAsia="zh-CN"/>
        </w:rPr>
        <w:t>提供可部署的软件产品、完整源代码、数据库脚本、部署文档、用户手册、技术手册。</w:t>
      </w:r>
    </w:p>
    <w:p w14:paraId="79D82221">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lang w:eastAsia="zh-CN"/>
        </w:rPr>
        <w:t>2、</w:t>
      </w:r>
      <w:r>
        <w:rPr>
          <w:rFonts w:hint="eastAsia" w:ascii="仿宋_GB2312" w:hAnsi="仿宋_GB2312" w:eastAsia="仿宋_GB2312" w:cs="仿宋_GB2312"/>
          <w:color w:val="000000"/>
          <w:sz w:val="28"/>
          <w:szCs w:val="28"/>
          <w:lang w:val="en-US" w:eastAsia="zh-CN"/>
        </w:rPr>
        <w:t>谈判</w:t>
      </w:r>
      <w:r>
        <w:rPr>
          <w:rFonts w:hint="eastAsia" w:ascii="仿宋_GB2312" w:hAnsi="仿宋_GB2312" w:eastAsia="仿宋_GB2312" w:cs="仿宋_GB2312"/>
          <w:color w:val="000000"/>
          <w:sz w:val="28"/>
          <w:szCs w:val="28"/>
          <w:lang w:eastAsia="zh-CN"/>
        </w:rPr>
        <w:t>时供应商须作出承诺：若采购人统一组织开展信息安全等级保护测评（等保二级及以上），供应商应协助采购人完成对应等级的信息安全等级保护测评工作；或供应商在项目验收交付阶段，提供等保二级及以上的信息安全等级保护备案证明</w:t>
      </w:r>
      <w:r>
        <w:rPr>
          <w:rFonts w:hint="eastAsia" w:ascii="仿宋_GB2312" w:hAnsi="仿宋_GB2312" w:eastAsia="仿宋_GB2312" w:cs="仿宋_GB2312"/>
          <w:color w:val="000000"/>
          <w:sz w:val="28"/>
          <w:szCs w:val="28"/>
          <w:highlight w:val="none"/>
          <w:lang w:eastAsia="zh-CN"/>
        </w:rPr>
        <w:t>。</w:t>
      </w:r>
    </w:p>
    <w:p w14:paraId="1634A08E">
      <w:pPr>
        <w:pStyle w:val="84"/>
        <w:shd w:val="clear" w:color="auto" w:fill="FFFFFF"/>
        <w:spacing w:line="312" w:lineRule="auto"/>
        <w:ind w:left="0" w:firstLine="640" w:firstLineChars="200"/>
        <w:jc w:val="both"/>
        <w:outlineLvl w:val="0"/>
        <w:rPr>
          <w:rFonts w:hint="eastAsia" w:ascii="仿宋_GB2312" w:hAnsi="仿宋_GB2312" w:eastAsia="仿宋_GB2312" w:cs="仿宋_GB2312"/>
          <w:b/>
          <w:bCs/>
          <w:color w:val="000000"/>
          <w:sz w:val="32"/>
          <w:szCs w:val="32"/>
          <w:highlight w:val="none"/>
          <w:lang w:eastAsia="zh-CN"/>
        </w:rPr>
      </w:pPr>
      <w:r>
        <w:rPr>
          <w:rFonts w:hint="eastAsia" w:ascii="仿宋_GB2312" w:hAnsi="仿宋_GB2312" w:eastAsia="仿宋_GB2312" w:cs="仿宋_GB2312"/>
          <w:b/>
          <w:bCs/>
          <w:color w:val="000000"/>
          <w:sz w:val="32"/>
          <w:szCs w:val="32"/>
          <w:highlight w:val="none"/>
          <w:lang w:eastAsia="zh-CN"/>
        </w:rPr>
        <w:t>五、商务要求</w:t>
      </w:r>
    </w:p>
    <w:p w14:paraId="29C79F44">
      <w:pPr>
        <w:pStyle w:val="84"/>
        <w:shd w:val="clear" w:color="auto" w:fill="FFFFFF"/>
        <w:spacing w:line="312" w:lineRule="auto"/>
        <w:ind w:left="0" w:firstLine="560" w:firstLineChars="200"/>
        <w:jc w:val="both"/>
        <w:outlineLvl w:val="1"/>
        <w:rPr>
          <w:rFonts w:hint="eastAsia" w:ascii="仿宋_GB2312" w:hAnsi="仿宋_GB2312" w:eastAsia="仿宋_GB2312" w:cs="仿宋_GB2312"/>
          <w:b/>
          <w:bCs/>
          <w:color w:val="000000"/>
          <w:sz w:val="28"/>
          <w:szCs w:val="28"/>
          <w:highlight w:val="none"/>
          <w:lang w:eastAsia="zh-CN"/>
        </w:rPr>
      </w:pPr>
      <w:r>
        <w:rPr>
          <w:rFonts w:hint="eastAsia" w:ascii="仿宋_GB2312" w:hAnsi="仿宋_GB2312" w:eastAsia="仿宋_GB2312" w:cs="仿宋_GB2312"/>
          <w:b/>
          <w:bCs/>
          <w:color w:val="000000"/>
          <w:sz w:val="28"/>
          <w:szCs w:val="28"/>
          <w:highlight w:val="none"/>
          <w:lang w:eastAsia="zh-CN"/>
        </w:rPr>
        <w:t>（</w:t>
      </w:r>
      <w:r>
        <w:rPr>
          <w:rFonts w:hint="eastAsia" w:ascii="仿宋_GB2312" w:hAnsi="仿宋_GB2312" w:eastAsia="仿宋_GB2312" w:cs="仿宋_GB2312"/>
          <w:b/>
          <w:bCs/>
          <w:color w:val="000000"/>
          <w:sz w:val="28"/>
          <w:szCs w:val="28"/>
          <w:highlight w:val="none"/>
          <w:lang w:val="en-US" w:eastAsia="zh-CN"/>
        </w:rPr>
        <w:t>一</w:t>
      </w:r>
      <w:r>
        <w:rPr>
          <w:rFonts w:hint="eastAsia" w:ascii="仿宋_GB2312" w:hAnsi="仿宋_GB2312" w:eastAsia="仿宋_GB2312" w:cs="仿宋_GB2312"/>
          <w:b/>
          <w:bCs/>
          <w:color w:val="000000"/>
          <w:sz w:val="28"/>
          <w:szCs w:val="28"/>
          <w:highlight w:val="none"/>
          <w:lang w:eastAsia="zh-CN"/>
        </w:rPr>
        <w:t>）服务期限</w:t>
      </w:r>
    </w:p>
    <w:p w14:paraId="5E4B1444">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lang w:eastAsia="zh-CN"/>
        </w:rPr>
        <w:t>合同签署后</w:t>
      </w:r>
      <w:r>
        <w:rPr>
          <w:rFonts w:hint="eastAsia" w:ascii="仿宋_GB2312" w:hAnsi="仿宋_GB2312" w:eastAsia="仿宋_GB2312" w:cs="仿宋_GB2312"/>
          <w:color w:val="000000"/>
          <w:sz w:val="28"/>
          <w:szCs w:val="28"/>
          <w:lang w:val="en-US" w:eastAsia="zh-CN"/>
        </w:rPr>
        <w:t>3</w:t>
      </w:r>
      <w:r>
        <w:rPr>
          <w:rFonts w:hint="eastAsia" w:ascii="仿宋_GB2312" w:hAnsi="仿宋_GB2312" w:eastAsia="仿宋_GB2312" w:cs="仿宋_GB2312"/>
          <w:color w:val="000000"/>
          <w:sz w:val="28"/>
          <w:szCs w:val="28"/>
          <w:lang w:eastAsia="zh-CN"/>
        </w:rPr>
        <w:t>0个日历日内完成整体系统的交付、部署、上线运行</w:t>
      </w:r>
      <w:r>
        <w:rPr>
          <w:rFonts w:hint="eastAsia" w:ascii="仿宋_GB2312" w:hAnsi="仿宋_GB2312" w:eastAsia="仿宋_GB2312" w:cs="仿宋_GB2312"/>
          <w:color w:val="000000"/>
          <w:sz w:val="28"/>
          <w:szCs w:val="28"/>
          <w:highlight w:val="none"/>
          <w:lang w:eastAsia="zh-CN"/>
        </w:rPr>
        <w:t>。</w:t>
      </w:r>
    </w:p>
    <w:p w14:paraId="2E908DC8">
      <w:pPr>
        <w:pStyle w:val="84"/>
        <w:shd w:val="clear" w:color="auto" w:fill="FFFFFF"/>
        <w:spacing w:line="312" w:lineRule="auto"/>
        <w:ind w:left="0" w:firstLine="560" w:firstLineChars="200"/>
        <w:jc w:val="both"/>
        <w:outlineLvl w:val="1"/>
        <w:rPr>
          <w:rFonts w:hint="eastAsia" w:ascii="仿宋_GB2312" w:hAnsi="仿宋_GB2312" w:eastAsia="仿宋_GB2312" w:cs="仿宋_GB2312"/>
          <w:b/>
          <w:bCs/>
          <w:color w:val="000000"/>
          <w:sz w:val="28"/>
          <w:szCs w:val="28"/>
          <w:highlight w:val="none"/>
          <w:lang w:eastAsia="zh-CN"/>
        </w:rPr>
      </w:pPr>
      <w:r>
        <w:rPr>
          <w:rFonts w:hint="eastAsia" w:ascii="仿宋_GB2312" w:hAnsi="仿宋_GB2312" w:eastAsia="仿宋_GB2312" w:cs="仿宋_GB2312"/>
          <w:b/>
          <w:bCs/>
          <w:color w:val="000000"/>
          <w:sz w:val="28"/>
          <w:szCs w:val="28"/>
          <w:highlight w:val="none"/>
          <w:lang w:eastAsia="zh-CN"/>
        </w:rPr>
        <w:t>（</w:t>
      </w:r>
      <w:r>
        <w:rPr>
          <w:rFonts w:hint="eastAsia" w:ascii="仿宋_GB2312" w:hAnsi="仿宋_GB2312" w:eastAsia="仿宋_GB2312" w:cs="仿宋_GB2312"/>
          <w:b/>
          <w:bCs/>
          <w:color w:val="000000"/>
          <w:sz w:val="28"/>
          <w:szCs w:val="28"/>
          <w:highlight w:val="none"/>
          <w:lang w:val="en-US" w:eastAsia="zh-CN"/>
        </w:rPr>
        <w:t>二</w:t>
      </w:r>
      <w:r>
        <w:rPr>
          <w:rFonts w:hint="eastAsia" w:ascii="仿宋_GB2312" w:hAnsi="仿宋_GB2312" w:eastAsia="仿宋_GB2312" w:cs="仿宋_GB2312"/>
          <w:b/>
          <w:bCs/>
          <w:color w:val="000000"/>
          <w:sz w:val="28"/>
          <w:szCs w:val="28"/>
          <w:highlight w:val="none"/>
          <w:lang w:eastAsia="zh-CN"/>
        </w:rPr>
        <w:t>）付款方式</w:t>
      </w:r>
    </w:p>
    <w:p w14:paraId="3B8AF853">
      <w:pPr>
        <w:pStyle w:val="84"/>
        <w:shd w:val="clear" w:color="auto" w:fill="FFFFFF"/>
        <w:spacing w:line="312" w:lineRule="auto"/>
        <w:ind w:left="0" w:firstLine="560" w:firstLineChars="200"/>
        <w:jc w:val="both"/>
        <w:outlineLvl w:val="9"/>
        <w:rPr>
          <w:rFonts w:hint="eastAsia" w:ascii="仿宋_GB2312" w:hAnsi="仿宋_GB2312" w:eastAsia="仿宋_GB2312" w:cs="仿宋_GB2312"/>
          <w:color w:val="000000"/>
          <w:sz w:val="28"/>
          <w:szCs w:val="28"/>
          <w:highlight w:val="none"/>
          <w:lang w:eastAsia="zh-CN"/>
        </w:rPr>
      </w:pPr>
      <w:bookmarkStart w:id="90" w:name="_GoBack"/>
      <w:bookmarkEnd w:id="90"/>
      <w:r>
        <w:rPr>
          <w:rFonts w:hint="eastAsia" w:ascii="仿宋_GB2312" w:hAnsi="仿宋_GB2312" w:eastAsia="仿宋_GB2312" w:cs="仿宋_GB2312"/>
          <w:color w:val="000000"/>
          <w:sz w:val="28"/>
          <w:szCs w:val="28"/>
          <w:highlight w:val="none"/>
          <w:lang w:eastAsia="zh-CN"/>
        </w:rPr>
        <w:t>设备安装调试完毕并经终验合格后30天内，乙方持双方签署的《履约验收单》原件及全额发票在甲方处办理全部合同价款的支付手续。</w:t>
      </w:r>
    </w:p>
    <w:p w14:paraId="3B01E8C6">
      <w:pPr>
        <w:pStyle w:val="84"/>
        <w:shd w:val="clear" w:color="auto" w:fill="FFFFFF"/>
        <w:spacing w:line="312" w:lineRule="auto"/>
        <w:ind w:left="0" w:firstLine="640" w:firstLineChars="200"/>
        <w:jc w:val="both"/>
        <w:outlineLvl w:val="0"/>
        <w:rPr>
          <w:rFonts w:hint="eastAsia" w:ascii="仿宋_GB2312" w:hAnsi="仿宋_GB2312" w:eastAsia="仿宋_GB2312" w:cs="仿宋_GB2312"/>
          <w:b/>
          <w:bCs/>
          <w:color w:val="000000"/>
          <w:sz w:val="32"/>
          <w:szCs w:val="32"/>
          <w:highlight w:val="none"/>
          <w:lang w:eastAsia="zh-CN"/>
        </w:rPr>
      </w:pPr>
      <w:r>
        <w:rPr>
          <w:rFonts w:hint="eastAsia" w:ascii="仿宋_GB2312" w:hAnsi="仿宋_GB2312" w:eastAsia="仿宋_GB2312" w:cs="仿宋_GB2312"/>
          <w:b/>
          <w:bCs/>
          <w:color w:val="000000"/>
          <w:sz w:val="32"/>
          <w:szCs w:val="32"/>
          <w:highlight w:val="none"/>
          <w:lang w:eastAsia="zh-CN"/>
        </w:rPr>
        <w:t>六、其他</w:t>
      </w:r>
    </w:p>
    <w:p w14:paraId="1B27A777">
      <w:pPr>
        <w:pStyle w:val="84"/>
        <w:shd w:val="clear" w:color="auto" w:fill="FFFFFF"/>
        <w:spacing w:line="312" w:lineRule="auto"/>
        <w:ind w:left="0" w:firstLine="560" w:firstLineChars="200"/>
        <w:jc w:val="both"/>
        <w:outlineLvl w:val="1"/>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highlight w:val="none"/>
          <w:lang w:eastAsia="zh-CN"/>
        </w:rPr>
        <w:t>（</w:t>
      </w:r>
      <w:r>
        <w:rPr>
          <w:rFonts w:hint="eastAsia" w:ascii="仿宋_GB2312" w:hAnsi="仿宋_GB2312" w:eastAsia="仿宋_GB2312" w:cs="仿宋_GB2312"/>
          <w:b/>
          <w:bCs/>
          <w:color w:val="000000"/>
          <w:sz w:val="28"/>
          <w:szCs w:val="28"/>
          <w:highlight w:val="none"/>
          <w:lang w:val="en-US" w:eastAsia="zh-CN"/>
        </w:rPr>
        <w:t>一</w:t>
      </w:r>
      <w:r>
        <w:rPr>
          <w:rFonts w:hint="eastAsia" w:ascii="仿宋_GB2312" w:hAnsi="仿宋_GB2312" w:eastAsia="仿宋_GB2312" w:cs="仿宋_GB2312"/>
          <w:b/>
          <w:bCs/>
          <w:color w:val="000000"/>
          <w:sz w:val="28"/>
          <w:szCs w:val="28"/>
          <w:highlight w:val="none"/>
          <w:lang w:eastAsia="zh-CN"/>
        </w:rPr>
        <w:t>）</w:t>
      </w:r>
      <w:r>
        <w:rPr>
          <w:rFonts w:hint="eastAsia" w:ascii="仿宋_GB2312" w:hAnsi="仿宋_GB2312" w:eastAsia="仿宋_GB2312" w:cs="仿宋_GB2312"/>
          <w:b/>
          <w:bCs/>
          <w:color w:val="000000"/>
          <w:sz w:val="28"/>
          <w:szCs w:val="28"/>
          <w:lang w:eastAsia="zh-CN"/>
        </w:rPr>
        <w:t>质量验收标准或规范</w:t>
      </w:r>
    </w:p>
    <w:p w14:paraId="3EFA61B7">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按照政府采购合同约定的技术、服务、安全标准组织对每一项供应商履约情况进行验收，并出具验收书。验收标准包括本需求书所有功能及技术指标，供应商须提供第三方检测机构出具的功能符合性测试报告。</w:t>
      </w:r>
    </w:p>
    <w:p w14:paraId="0D110652">
      <w:pPr>
        <w:pStyle w:val="84"/>
        <w:shd w:val="clear" w:color="auto" w:fill="FFFFFF"/>
        <w:spacing w:line="312" w:lineRule="auto"/>
        <w:ind w:left="0" w:firstLine="560" w:firstLineChars="200"/>
        <w:jc w:val="both"/>
        <w:outlineLvl w:val="1"/>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（二）产品质保期</w:t>
      </w:r>
    </w:p>
    <w:p w14:paraId="5250338E">
      <w:pPr>
        <w:pStyle w:val="84"/>
        <w:shd w:val="clear" w:color="auto" w:fill="FFFFFF"/>
        <w:spacing w:line="312" w:lineRule="auto"/>
        <w:ind w:left="0" w:firstLine="560" w:firstLineChars="200"/>
        <w:jc w:val="both"/>
        <w:outlineLvl w:val="9"/>
        <w:rPr>
          <w:rFonts w:ascii="仿宋_GB2312" w:hAnsi="仿宋_GB2312" w:eastAsia="仿宋_GB2312" w:cs="仿宋_GB2312"/>
          <w:color w:val="000000"/>
          <w:sz w:val="28"/>
          <w:szCs w:val="28"/>
          <w:lang w:eastAsia="zh-CN"/>
        </w:rPr>
      </w:pPr>
      <w:r>
        <w:rPr>
          <w:rFonts w:hint="eastAsia" w:ascii="仿宋_GB2312" w:hAnsi="仿宋_GB2312" w:eastAsia="仿宋_GB2312" w:cs="仿宋_GB2312"/>
          <w:color w:val="000000"/>
          <w:sz w:val="28"/>
          <w:szCs w:val="28"/>
          <w:lang w:eastAsia="zh-CN"/>
        </w:rPr>
        <w:t>质保期为最终验收合格后</w:t>
      </w:r>
      <w:r>
        <w:rPr>
          <w:rFonts w:hint="eastAsia" w:ascii="仿宋_GB2312" w:hAnsi="仿宋_GB2312" w:eastAsia="仿宋_GB2312" w:cs="仿宋_GB2312"/>
          <w:color w:val="000000"/>
          <w:sz w:val="28"/>
          <w:szCs w:val="28"/>
          <w:lang w:val="en-US" w:eastAsia="zh-CN"/>
        </w:rPr>
        <w:t>5年</w:t>
      </w:r>
      <w:r>
        <w:rPr>
          <w:rFonts w:hint="eastAsia" w:ascii="仿宋_GB2312" w:hAnsi="仿宋_GB2312" w:eastAsia="仿宋_GB2312" w:cs="仿宋_GB2312"/>
          <w:color w:val="000000"/>
          <w:sz w:val="28"/>
          <w:szCs w:val="28"/>
          <w:lang w:eastAsia="zh-CN"/>
        </w:rPr>
        <w:t>。质保期内，供应商免费提供系统故障修复、安全漏洞修复、版本升级（小版本）服务。</w:t>
      </w:r>
    </w:p>
    <w:p w14:paraId="57B06833">
      <w:pPr>
        <w:pStyle w:val="84"/>
        <w:shd w:val="clear" w:color="auto" w:fill="FFFFFF"/>
        <w:spacing w:line="312" w:lineRule="auto"/>
        <w:ind w:left="0" w:firstLine="560" w:firstLineChars="200"/>
        <w:jc w:val="both"/>
        <w:outlineLvl w:val="1"/>
        <w:rPr>
          <w:rFonts w:ascii="仿宋_GB2312" w:hAnsi="仿宋_GB2312" w:eastAsia="仿宋_GB2312" w:cs="仿宋_GB2312"/>
          <w:b/>
          <w:bCs/>
          <w:color w:val="000000"/>
          <w:sz w:val="28"/>
          <w:szCs w:val="28"/>
          <w:lang w:eastAsia="zh-CN"/>
        </w:rPr>
      </w:pPr>
      <w:r>
        <w:rPr>
          <w:rFonts w:hint="eastAsia" w:ascii="仿宋_GB2312" w:hAnsi="仿宋_GB2312" w:eastAsia="仿宋_GB2312" w:cs="仿宋_GB2312"/>
          <w:b/>
          <w:bCs/>
          <w:color w:val="000000"/>
          <w:sz w:val="28"/>
          <w:szCs w:val="28"/>
          <w:lang w:eastAsia="zh-CN"/>
        </w:rPr>
        <w:t>（三）违约责任</w:t>
      </w:r>
    </w:p>
    <w:p w14:paraId="0716A3D4">
      <w:pPr>
        <w:pStyle w:val="84"/>
        <w:shd w:val="clear" w:color="auto" w:fill="FFFFFF"/>
        <w:spacing w:line="312" w:lineRule="auto"/>
        <w:ind w:left="0" w:firstLine="560" w:firstLineChars="200"/>
        <w:jc w:val="both"/>
        <w:outlineLvl w:val="9"/>
        <w:rPr>
          <w:rFonts w:hint="eastAsia" w:ascii="方正小标宋简体" w:hAnsi="方正小标宋简体" w:eastAsia="方正小标宋简体" w:cs="方正小标宋简体"/>
          <w:b/>
          <w:color w:val="000000"/>
          <w:sz w:val="44"/>
          <w:szCs w:val="44"/>
          <w:highlight w:val="none"/>
          <w:lang w:eastAsia="zh-CN"/>
        </w:rPr>
      </w:pPr>
      <w:r>
        <w:rPr>
          <w:rFonts w:hint="eastAsia" w:ascii="仿宋_GB2312" w:hAnsi="仿宋_GB2312" w:eastAsia="仿宋_GB2312" w:cs="仿宋_GB2312"/>
          <w:color w:val="000000"/>
          <w:sz w:val="28"/>
          <w:szCs w:val="28"/>
          <w:lang w:eastAsia="zh-CN"/>
        </w:rPr>
        <w:t>按照《中华人民共和国民法典》相关条款执行。未按合同要求提供产品或质量不能满足技术要求，采购人有权终止合同并追究违约责任，同时按《中华人民共和国政府采购法》有关规定进行处罚</w:t>
      </w:r>
      <w:r>
        <w:rPr>
          <w:rFonts w:hint="eastAsia" w:ascii="仿宋_GB2312" w:hAnsi="仿宋_GB2312" w:eastAsia="仿宋_GB2312" w:cs="仿宋_GB2312"/>
          <w:color w:val="000000"/>
          <w:sz w:val="28"/>
          <w:szCs w:val="28"/>
          <w:highlight w:val="none"/>
          <w:lang w:eastAsia="zh-CN"/>
        </w:rPr>
        <w:t>。</w:t>
      </w:r>
    </w:p>
    <w:sectPr>
      <w:pgSz w:w="11906" w:h="16838"/>
      <w:pgMar w:top="1134" w:right="1134" w:bottom="1134" w:left="1134" w:header="851" w:footer="992"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w:altName w:val="Lucida Sans Unicode"/>
    <w:panose1 w:val="020B0602030504020204"/>
    <w:charset w:val="00"/>
    <w:family w:val="auto"/>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auto"/>
    <w:pitch w:val="default"/>
    <w:sig w:usb0="E4002EFF" w:usb1="C000247B" w:usb2="00000009" w:usb3="00000000" w:csb0="200001FF" w:csb1="00000000"/>
  </w:font>
  <w:font w:name="方正兰亭黑_GBK">
    <w:altName w:val="Arial Unicode MS"/>
    <w:panose1 w:val="02000000000000000000"/>
    <w:charset w:val="86"/>
    <w:family w:val="script"/>
    <w:pitch w:val="default"/>
    <w:sig w:usb0="00000000" w:usb1="00000000" w:usb2="00080016" w:usb3="00000000" w:csb0="00040001" w:csb1="0000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微软雅黑-Tahoma">
    <w:altName w:val="黑体"/>
    <w:panose1 w:val="00000000000000000000"/>
    <w:charset w:val="86"/>
    <w:family w:val="swiss"/>
    <w:pitch w:val="default"/>
    <w:sig w:usb0="00000000" w:usb1="00000000" w:usb2="001FFDFF" w:usb3="00000000" w:csb0="003F01FF" w:csb1="00000000"/>
  </w:font>
  <w:font w:name="楷体">
    <w:panose1 w:val="02010609060101010101"/>
    <w:charset w:val="86"/>
    <w:family w:val="modern"/>
    <w:pitch w:val="default"/>
    <w:sig w:usb0="800002BF" w:usb1="38CF7CFA" w:usb2="00000016" w:usb3="00000000" w:csb0="00040001" w:csb1="00000000"/>
  </w:font>
  <w:font w:name="Angsana New">
    <w:altName w:val="Microsoft Sans Serif"/>
    <w:panose1 w:val="02020603050405020304"/>
    <w:charset w:val="DE"/>
    <w:family w:val="roman"/>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font>
  <w:font w:name="WPSEMBED2">
    <w:panose1 w:val="02000000000000000000"/>
    <w:charset w:val="86"/>
    <w:family w:val="auto"/>
    <w:pitch w:val="default"/>
    <w:sig w:usb0="00000001" w:usb1="08000000" w:usb2="00000000" w:usb3="00000000" w:csb0="00040000"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F5B56">
    <w:pPr>
      <w:pStyle w:val="17"/>
      <w:jc w:val="right"/>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- 2 -</w:t>
    </w:r>
    <w:r>
      <w:rPr>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18"/>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4"/>
  </w:compat>
  <w:docVars>
    <w:docVar w:name="commondata" w:val="eyJoZGlkIjoiYjYxMjJkOWE2MGU1OWYwY2JjY2U4MGM1ZmY2NmQxYTQifQ=="/>
  </w:docVars>
  <w:rsids>
    <w:rsidRoot w:val="00000000"/>
    <w:rsid w:val="15485429"/>
    <w:rsid w:val="215E2E47"/>
    <w:rsid w:val="3CA628B2"/>
    <w:rsid w:val="4CE9064C"/>
    <w:rsid w:val="6D0F39D8"/>
    <w:rsid w:val="71947017"/>
    <w:rsid w:val="79773CB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9"/>
    <w:qFormat/>
    <w:uiPriority w:val="0"/>
    <w:pPr>
      <w:keepNext/>
      <w:keepLines/>
      <w:spacing w:before="260" w:after="260" w:line="415" w:lineRule="auto"/>
      <w:outlineLvl w:val="1"/>
    </w:pPr>
    <w:rPr>
      <w:rFonts w:ascii="Cambria" w:hAnsi="Cambria" w:eastAsia="宋体" w:cs="Times New Roman"/>
      <w:b/>
      <w:bCs/>
      <w:sz w:val="32"/>
      <w:szCs w:val="32"/>
    </w:rPr>
  </w:style>
  <w:style w:type="paragraph" w:styleId="4">
    <w:name w:val="heading 3"/>
    <w:basedOn w:val="1"/>
    <w:next w:val="1"/>
    <w:link w:val="40"/>
    <w:qFormat/>
    <w:uiPriority w:val="0"/>
    <w:pPr>
      <w:keepNext/>
      <w:keepLines/>
      <w:spacing w:before="260" w:after="260" w:line="415" w:lineRule="auto"/>
      <w:outlineLvl w:val="2"/>
    </w:pPr>
    <w:rPr>
      <w:rFonts w:ascii="Calibri" w:hAnsi="Calibri" w:eastAsia="宋体" w:cs="Times New Roman"/>
      <w:b/>
      <w:bCs/>
      <w:sz w:val="32"/>
      <w:szCs w:val="32"/>
    </w:rPr>
  </w:style>
  <w:style w:type="paragraph" w:styleId="5">
    <w:name w:val="heading 4"/>
    <w:basedOn w:val="6"/>
    <w:next w:val="1"/>
    <w:link w:val="41"/>
    <w:qFormat/>
    <w:uiPriority w:val="0"/>
    <w:pPr>
      <w:keepNext/>
      <w:keepLines/>
      <w:spacing w:line="377" w:lineRule="auto"/>
      <w:outlineLvl w:val="3"/>
    </w:pPr>
    <w:rPr>
      <w:rFonts w:ascii="Calibri Light" w:hAnsi="Calibri Light" w:eastAsia="宋体" w:cs="Times New Roman"/>
      <w:b/>
      <w:bCs/>
      <w:kern w:val="0"/>
      <w:sz w:val="28"/>
      <w:szCs w:val="28"/>
    </w:rPr>
  </w:style>
  <w:style w:type="character" w:default="1" w:styleId="31">
    <w:name w:val="Default Paragraph Font"/>
    <w:qFormat/>
    <w:uiPriority w:val="0"/>
  </w:style>
  <w:style w:type="table" w:default="1" w:styleId="30">
    <w:name w:val="Normal Table"/>
    <w:semiHidden/>
    <w:qFormat/>
    <w:uiPriority w:val="0"/>
    <w:tblPr>
      <w:tblCellMar>
        <w:top w:w="0" w:type="dxa"/>
        <w:left w:w="108" w:type="dxa"/>
        <w:bottom w:w="0" w:type="dxa"/>
        <w:right w:w="108" w:type="dxa"/>
      </w:tblCellMar>
    </w:tblPr>
  </w:style>
  <w:style w:type="paragraph" w:customStyle="1" w:styleId="6">
    <w:name w:val="样式1"/>
    <w:basedOn w:val="1"/>
    <w:qFormat/>
    <w:uiPriority w:val="0"/>
    <w:pPr>
      <w:spacing w:before="50" w:beforeLines="50" w:after="50" w:afterLines="50" w:line="500" w:lineRule="exact"/>
      <w:ind w:firstLine="200" w:firstLineChars="200"/>
    </w:pPr>
    <w:rPr>
      <w:rFonts w:ascii="宋体" w:hAnsi="宋体"/>
    </w:rPr>
  </w:style>
  <w:style w:type="paragraph" w:styleId="7">
    <w:name w:val="toc 7"/>
    <w:basedOn w:val="1"/>
    <w:next w:val="1"/>
    <w:qFormat/>
    <w:uiPriority w:val="0"/>
    <w:pPr>
      <w:ind w:left="1200" w:leftChars="1200"/>
    </w:pPr>
    <w:rPr>
      <w:rFonts w:ascii="Calibri" w:hAnsi="Calibri" w:eastAsia="宋体" w:cs="Times New Roman"/>
    </w:rPr>
  </w:style>
  <w:style w:type="paragraph" w:styleId="8">
    <w:name w:val="Document Map"/>
    <w:basedOn w:val="1"/>
    <w:qFormat/>
    <w:uiPriority w:val="0"/>
    <w:rPr>
      <w:rFonts w:ascii="方正兰亭黑_GBK" w:hAnsi="Calibri"/>
      <w:sz w:val="18"/>
      <w:szCs w:val="18"/>
    </w:rPr>
  </w:style>
  <w:style w:type="paragraph" w:styleId="9">
    <w:name w:val="annotation text"/>
    <w:basedOn w:val="1"/>
    <w:qFormat/>
    <w:uiPriority w:val="0"/>
    <w:pPr>
      <w:jc w:val="left"/>
    </w:pPr>
    <w:rPr>
      <w:rFonts w:ascii="Calibri" w:hAnsi="Calibri"/>
      <w:sz w:val="24"/>
      <w:szCs w:val="24"/>
    </w:rPr>
  </w:style>
  <w:style w:type="paragraph" w:styleId="10">
    <w:name w:val="Body Text"/>
    <w:basedOn w:val="1"/>
    <w:qFormat/>
    <w:uiPriority w:val="0"/>
    <w:pPr>
      <w:spacing w:before="180" w:after="180"/>
    </w:pPr>
  </w:style>
  <w:style w:type="paragraph" w:styleId="11">
    <w:name w:val="Body Text Indent"/>
    <w:basedOn w:val="1"/>
    <w:qFormat/>
    <w:uiPriority w:val="0"/>
    <w:pPr>
      <w:widowControl w:val="0"/>
      <w:spacing w:before="20" w:beforeLines="20" w:after="120" w:line="360" w:lineRule="auto"/>
      <w:ind w:left="200" w:leftChars="200"/>
      <w:jc w:val="both"/>
    </w:pPr>
    <w:rPr>
      <w:rFonts w:ascii="Times New Roman" w:hAnsi="Times New Roman" w:eastAsia="宋体" w:cs="Times New Roman"/>
      <w:kern w:val="2"/>
      <w:sz w:val="24"/>
      <w:szCs w:val="24"/>
      <w:lang w:val="en-US" w:eastAsia="zh-CN" w:bidi="ar-SA"/>
    </w:rPr>
  </w:style>
  <w:style w:type="paragraph" w:styleId="12">
    <w:name w:val="toc 5"/>
    <w:basedOn w:val="1"/>
    <w:next w:val="1"/>
    <w:qFormat/>
    <w:uiPriority w:val="0"/>
    <w:pPr>
      <w:ind w:left="800" w:leftChars="800"/>
    </w:pPr>
    <w:rPr>
      <w:rFonts w:ascii="Calibri" w:hAnsi="Calibri" w:eastAsia="宋体" w:cs="Times New Roman"/>
    </w:rPr>
  </w:style>
  <w:style w:type="paragraph" w:styleId="13">
    <w:name w:val="toc 3"/>
    <w:basedOn w:val="1"/>
    <w:next w:val="1"/>
    <w:qFormat/>
    <w:uiPriority w:val="0"/>
    <w:pPr>
      <w:ind w:left="400" w:leftChars="400"/>
    </w:pPr>
    <w:rPr>
      <w:rFonts w:ascii="Calibri" w:hAnsi="Calibri" w:eastAsia="宋体" w:cs="Times New Roman"/>
    </w:rPr>
  </w:style>
  <w:style w:type="paragraph" w:styleId="14">
    <w:name w:val="toc 8"/>
    <w:basedOn w:val="1"/>
    <w:next w:val="1"/>
    <w:qFormat/>
    <w:uiPriority w:val="0"/>
    <w:pPr>
      <w:ind w:left="1400" w:leftChars="1400"/>
    </w:pPr>
    <w:rPr>
      <w:rFonts w:ascii="Calibri" w:hAnsi="Calibri" w:eastAsia="宋体" w:cs="Times New Roman"/>
    </w:rPr>
  </w:style>
  <w:style w:type="paragraph" w:styleId="15">
    <w:name w:val="Date"/>
    <w:basedOn w:val="1"/>
    <w:next w:val="1"/>
    <w:qFormat/>
    <w:uiPriority w:val="0"/>
    <w:pPr>
      <w:ind w:left="2500" w:leftChars="2500"/>
    </w:pPr>
    <w:rPr>
      <w:rFonts w:eastAsia="仿宋_GB2312"/>
      <w:sz w:val="24"/>
    </w:rPr>
  </w:style>
  <w:style w:type="paragraph" w:styleId="16">
    <w:name w:val="Balloon Text"/>
    <w:basedOn w:val="1"/>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tabs>
        <w:tab w:val="right" w:leader="dot" w:pos="8296"/>
      </w:tabs>
      <w:spacing w:line="360" w:lineRule="auto"/>
      <w:jc w:val="left"/>
    </w:pPr>
    <w:rPr>
      <w:rFonts w:ascii="微软雅黑-Tahoma" w:hAnsi="微软雅黑-Tahoma" w:eastAsia="微软雅黑-Tahoma" w:cs="微软雅黑-Tahoma"/>
      <w:color w:val="000000"/>
      <w:sz w:val="28"/>
      <w:szCs w:val="28"/>
    </w:rPr>
  </w:style>
  <w:style w:type="paragraph" w:styleId="20">
    <w:name w:val="toc 4"/>
    <w:basedOn w:val="1"/>
    <w:next w:val="1"/>
    <w:qFormat/>
    <w:uiPriority w:val="0"/>
    <w:pPr>
      <w:ind w:left="600" w:leftChars="600"/>
    </w:pPr>
    <w:rPr>
      <w:rFonts w:ascii="Calibri" w:hAnsi="Calibri" w:eastAsia="宋体" w:cs="Times New Roman"/>
    </w:rPr>
  </w:style>
  <w:style w:type="paragraph" w:styleId="21">
    <w:name w:val="footnote text"/>
    <w:basedOn w:val="1"/>
    <w:qFormat/>
    <w:uiPriority w:val="0"/>
    <w:pPr>
      <w:snapToGrid w:val="0"/>
      <w:jc w:val="left"/>
    </w:pPr>
    <w:rPr>
      <w:rFonts w:ascii="Calibri" w:hAnsi="Calibri"/>
      <w:sz w:val="18"/>
      <w:szCs w:val="18"/>
    </w:rPr>
  </w:style>
  <w:style w:type="paragraph" w:styleId="22">
    <w:name w:val="toc 6"/>
    <w:basedOn w:val="1"/>
    <w:next w:val="1"/>
    <w:qFormat/>
    <w:uiPriority w:val="0"/>
    <w:pPr>
      <w:ind w:left="1000" w:leftChars="1000"/>
    </w:pPr>
    <w:rPr>
      <w:rFonts w:ascii="Calibri" w:hAnsi="Calibri" w:eastAsia="宋体" w:cs="Times New Roman"/>
    </w:rPr>
  </w:style>
  <w:style w:type="paragraph" w:styleId="23">
    <w:name w:val="toc 2"/>
    <w:basedOn w:val="1"/>
    <w:next w:val="1"/>
    <w:qFormat/>
    <w:uiPriority w:val="0"/>
    <w:pPr>
      <w:tabs>
        <w:tab w:val="right" w:leader="dot" w:pos="8302"/>
      </w:tabs>
      <w:spacing w:line="360" w:lineRule="auto"/>
      <w:ind w:left="200" w:leftChars="200"/>
    </w:pPr>
    <w:rPr>
      <w:rFonts w:ascii="楷体" w:hAnsi="楷体" w:eastAsia="楷体" w:cs="Times New Roman"/>
      <w:sz w:val="28"/>
      <w:szCs w:val="28"/>
    </w:rPr>
  </w:style>
  <w:style w:type="paragraph" w:styleId="24">
    <w:name w:val="toc 9"/>
    <w:basedOn w:val="1"/>
    <w:next w:val="1"/>
    <w:qFormat/>
    <w:uiPriority w:val="0"/>
    <w:pPr>
      <w:ind w:left="1600" w:leftChars="1600"/>
    </w:pPr>
    <w:rPr>
      <w:rFonts w:ascii="Calibri" w:hAnsi="Calibri" w:eastAsia="宋体" w:cs="Times New Roman"/>
    </w:rPr>
  </w:style>
  <w:style w:type="paragraph" w:styleId="2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paragraph" w:styleId="26">
    <w:name w:val="Normal (Web)"/>
    <w:basedOn w:val="1"/>
    <w:qFormat/>
    <w:uiPriority w:val="0"/>
    <w:pPr>
      <w:spacing w:before="100" w:beforeAutospacing="1" w:after="100" w:afterAutospacing="1"/>
      <w:jc w:val="left"/>
    </w:pPr>
    <w:rPr>
      <w:rFonts w:ascii="Calibri" w:hAnsi="Calibri" w:eastAsia="宋体" w:cs="Times New Roman"/>
      <w:kern w:val="0"/>
      <w:sz w:val="24"/>
      <w:szCs w:val="24"/>
    </w:rPr>
  </w:style>
  <w:style w:type="paragraph" w:styleId="27">
    <w:name w:val="Title"/>
    <w:basedOn w:val="1"/>
    <w:next w:val="1"/>
    <w:qFormat/>
    <w:uiPriority w:val="0"/>
    <w:pPr>
      <w:spacing w:before="240" w:after="60"/>
      <w:jc w:val="center"/>
      <w:outlineLvl w:val="0"/>
    </w:pPr>
    <w:rPr>
      <w:rFonts w:ascii="Cambria" w:hAnsi="Cambria"/>
      <w:b/>
      <w:bCs/>
      <w:sz w:val="32"/>
      <w:szCs w:val="32"/>
    </w:rPr>
  </w:style>
  <w:style w:type="paragraph" w:styleId="28">
    <w:name w:val="annotation subject"/>
    <w:basedOn w:val="9"/>
    <w:next w:val="9"/>
    <w:qFormat/>
    <w:uiPriority w:val="0"/>
    <w:rPr>
      <w:b/>
      <w:bCs/>
      <w:sz w:val="21"/>
      <w:szCs w:val="22"/>
    </w:rPr>
  </w:style>
  <w:style w:type="paragraph" w:styleId="29">
    <w:name w:val="Body Text First Indent 2"/>
    <w:basedOn w:val="11"/>
    <w:next w:val="10"/>
    <w:qFormat/>
    <w:uiPriority w:val="0"/>
    <w:pPr>
      <w:widowControl w:val="0"/>
      <w:spacing w:before="20" w:beforeLines="20" w:after="120" w:line="360" w:lineRule="auto"/>
      <w:ind w:left="200" w:leftChars="200" w:firstLine="420"/>
      <w:jc w:val="both"/>
    </w:pPr>
    <w:rPr>
      <w:rFonts w:ascii="Times New Roman" w:hAnsi="Times New Roman" w:eastAsia="宋体" w:cs="Times New Roman"/>
      <w:kern w:val="2"/>
      <w:sz w:val="24"/>
      <w:szCs w:val="24"/>
      <w:lang w:val="en-US" w:eastAsia="zh-CN" w:bidi="ar-SA"/>
    </w:rPr>
  </w:style>
  <w:style w:type="character" w:styleId="32">
    <w:name w:val="Strong"/>
    <w:qFormat/>
    <w:uiPriority w:val="0"/>
    <w:rPr>
      <w:rFonts w:cs="Times New Roman"/>
      <w:b/>
      <w:bCs/>
    </w:rPr>
  </w:style>
  <w:style w:type="character" w:styleId="33">
    <w:name w:val="page number"/>
    <w:qFormat/>
    <w:uiPriority w:val="0"/>
    <w:rPr>
      <w:rFonts w:cs="Times New Roman"/>
    </w:rPr>
  </w:style>
  <w:style w:type="character" w:styleId="34">
    <w:name w:val="Emphasis"/>
    <w:qFormat/>
    <w:uiPriority w:val="0"/>
    <w:rPr>
      <w:rFonts w:cs="Times New Roman"/>
      <w:i/>
      <w:iCs/>
    </w:rPr>
  </w:style>
  <w:style w:type="character" w:styleId="35">
    <w:name w:val="Hyperlink"/>
    <w:qFormat/>
    <w:uiPriority w:val="0"/>
    <w:rPr>
      <w:color w:val="0000FF"/>
      <w:u w:val="single"/>
    </w:rPr>
  </w:style>
  <w:style w:type="character" w:styleId="36">
    <w:name w:val="annotation reference"/>
    <w:qFormat/>
    <w:uiPriority w:val="0"/>
    <w:rPr>
      <w:sz w:val="21"/>
      <w:szCs w:val="21"/>
    </w:rPr>
  </w:style>
  <w:style w:type="character" w:styleId="37">
    <w:name w:val="footnote reference"/>
    <w:qFormat/>
    <w:uiPriority w:val="0"/>
    <w:rPr>
      <w:rFonts w:cs="Times New Roman"/>
      <w:vertAlign w:val="superscript"/>
    </w:rPr>
  </w:style>
  <w:style w:type="character" w:customStyle="1" w:styleId="38">
    <w:name w:val="heading 1 Char"/>
    <w:basedOn w:val="31"/>
    <w:link w:val="2"/>
    <w:qFormat/>
    <w:uiPriority w:val="0"/>
    <w:rPr>
      <w:rFonts w:ascii="Calibri" w:hAnsi="Calibri" w:eastAsia="宋体" w:cs="Times New Roman"/>
      <w:b/>
      <w:bCs/>
      <w:kern w:val="44"/>
      <w:sz w:val="44"/>
      <w:szCs w:val="44"/>
      <w:lang w:val="en-US" w:eastAsia="zh-CN" w:bidi="ar-SA"/>
    </w:rPr>
  </w:style>
  <w:style w:type="character" w:customStyle="1" w:styleId="39">
    <w:name w:val="heading 2 Char"/>
    <w:basedOn w:val="31"/>
    <w:link w:val="3"/>
    <w:qFormat/>
    <w:uiPriority w:val="0"/>
    <w:rPr>
      <w:rFonts w:ascii="Cambria" w:hAnsi="Cambria" w:eastAsia="宋体" w:cs="Times New Roman"/>
      <w:b/>
      <w:bCs/>
      <w:kern w:val="2"/>
      <w:sz w:val="32"/>
      <w:szCs w:val="32"/>
      <w:lang w:val="en-US" w:eastAsia="zh-CN" w:bidi="ar-SA"/>
    </w:rPr>
  </w:style>
  <w:style w:type="character" w:customStyle="1" w:styleId="40">
    <w:name w:val="heading 3 Char"/>
    <w:basedOn w:val="31"/>
    <w:link w:val="4"/>
    <w:qFormat/>
    <w:uiPriority w:val="0"/>
    <w:rPr>
      <w:rFonts w:ascii="Calibri" w:hAnsi="Calibri" w:eastAsia="宋体" w:cs="Times New Roman"/>
      <w:b/>
      <w:bCs/>
      <w:kern w:val="2"/>
      <w:sz w:val="32"/>
      <w:szCs w:val="32"/>
      <w:lang w:val="en-US" w:eastAsia="zh-CN" w:bidi="ar-SA"/>
    </w:rPr>
  </w:style>
  <w:style w:type="character" w:customStyle="1" w:styleId="41">
    <w:name w:val="heading 4 Char"/>
    <w:link w:val="5"/>
    <w:qFormat/>
    <w:uiPriority w:val="0"/>
    <w:rPr>
      <w:rFonts w:ascii="Calibri Light" w:hAnsi="Calibri Light" w:eastAsia="宋体" w:cs="Times New Roman"/>
      <w:b/>
      <w:bCs/>
      <w:kern w:val="0"/>
      <w:sz w:val="28"/>
      <w:szCs w:val="28"/>
    </w:rPr>
  </w:style>
  <w:style w:type="character" w:customStyle="1" w:styleId="42">
    <w:name w:val="HTML 预设格式 Char1"/>
    <w:qFormat/>
    <w:uiPriority w:val="0"/>
    <w:rPr>
      <w:rFonts w:ascii="Courier New" w:hAnsi="Courier New" w:cs="Courier New"/>
      <w:kern w:val="2"/>
    </w:rPr>
  </w:style>
  <w:style w:type="character" w:customStyle="1" w:styleId="43">
    <w:name w:val="引用 Char1"/>
    <w:qFormat/>
    <w:uiPriority w:val="0"/>
    <w:rPr>
      <w:i/>
      <w:iCs/>
      <w:color w:val="000000"/>
      <w:kern w:val="2"/>
      <w:sz w:val="21"/>
      <w:szCs w:val="24"/>
    </w:rPr>
  </w:style>
  <w:style w:type="character" w:customStyle="1" w:styleId="44">
    <w:name w:val="不明显强调1"/>
    <w:qFormat/>
    <w:uiPriority w:val="0"/>
    <w:rPr>
      <w:i/>
      <w:iCs/>
      <w:color w:val="808080"/>
    </w:rPr>
  </w:style>
  <w:style w:type="character" w:customStyle="1" w:styleId="45">
    <w:name w:val="文档结构图 Char1"/>
    <w:qFormat/>
    <w:uiPriority w:val="0"/>
    <w:rPr>
      <w:rFonts w:ascii="宋体" w:hAnsi="Calibri" w:eastAsia="宋体" w:cs="Times New Roman"/>
      <w:sz w:val="18"/>
      <w:szCs w:val="18"/>
    </w:rPr>
  </w:style>
  <w:style w:type="character" w:customStyle="1" w:styleId="46">
    <w:name w:val="批注文字 Char"/>
    <w:qFormat/>
    <w:uiPriority w:val="0"/>
    <w:rPr>
      <w:rFonts w:ascii="Calibri" w:hAnsi="Calibri"/>
      <w:sz w:val="24"/>
      <w:szCs w:val="24"/>
    </w:rPr>
  </w:style>
  <w:style w:type="character" w:customStyle="1" w:styleId="47">
    <w:name w:val="Char Char1"/>
    <w:qFormat/>
    <w:locked/>
    <w:uiPriority w:val="0"/>
    <w:rPr>
      <w:rFonts w:ascii="Calibri" w:hAnsi="Calibri" w:eastAsia="宋体"/>
      <w:sz w:val="18"/>
    </w:rPr>
  </w:style>
  <w:style w:type="character" w:customStyle="1" w:styleId="48">
    <w:name w:val="批注框文本 Char"/>
    <w:qFormat/>
    <w:uiPriority w:val="0"/>
    <w:rPr>
      <w:sz w:val="18"/>
      <w:szCs w:val="18"/>
    </w:rPr>
  </w:style>
  <w:style w:type="character" w:customStyle="1" w:styleId="49">
    <w:name w:val="日期 Char"/>
    <w:qFormat/>
    <w:locked/>
    <w:uiPriority w:val="0"/>
    <w:rPr>
      <w:rFonts w:eastAsia="仿宋_GB2312"/>
      <w:sz w:val="24"/>
    </w:rPr>
  </w:style>
  <w:style w:type="character" w:customStyle="1" w:styleId="50">
    <w:name w:val="文档结构图 Char2"/>
    <w:qFormat/>
    <w:uiPriority w:val="0"/>
    <w:rPr>
      <w:rFonts w:ascii="宋体" w:hAnsi="宋体"/>
      <w:kern w:val="2"/>
      <w:sz w:val="18"/>
      <w:szCs w:val="18"/>
    </w:rPr>
  </w:style>
  <w:style w:type="character" w:customStyle="1" w:styleId="51">
    <w:name w:val="脚注文本 Char"/>
    <w:qFormat/>
    <w:uiPriority w:val="0"/>
    <w:rPr>
      <w:rFonts w:ascii="Calibri" w:hAnsi="Calibri"/>
      <w:sz w:val="18"/>
      <w:szCs w:val="18"/>
    </w:rPr>
  </w:style>
  <w:style w:type="character" w:customStyle="1" w:styleId="52">
    <w:name w:val="引用 Char"/>
    <w:qFormat/>
    <w:uiPriority w:val="0"/>
    <w:rPr>
      <w:rFonts w:ascii="Calibri" w:hAnsi="Calibri"/>
      <w:i/>
      <w:iCs/>
      <w:color w:val="000000"/>
    </w:rPr>
  </w:style>
  <w:style w:type="paragraph" w:styleId="53">
    <w:name w:val="Quote"/>
    <w:basedOn w:val="1"/>
    <w:next w:val="1"/>
    <w:qFormat/>
    <w:uiPriority w:val="0"/>
    <w:rPr>
      <w:rFonts w:ascii="Calibri" w:hAnsi="Calibri"/>
      <w:i/>
      <w:iCs/>
      <w:color w:val="000000"/>
    </w:rPr>
  </w:style>
  <w:style w:type="character" w:customStyle="1" w:styleId="54">
    <w:name w:val="Char Char3"/>
    <w:qFormat/>
    <w:locked/>
    <w:uiPriority w:val="0"/>
    <w:rPr>
      <w:rFonts w:ascii="Calibri" w:hAnsi="Calibri" w:eastAsia="宋体"/>
    </w:rPr>
  </w:style>
  <w:style w:type="character" w:customStyle="1" w:styleId="55">
    <w:name w:val="apple-converted-space"/>
    <w:qFormat/>
    <w:uiPriority w:val="0"/>
    <w:rPr>
      <w:rFonts w:cs="Times New Roman"/>
    </w:rPr>
  </w:style>
  <w:style w:type="character" w:customStyle="1" w:styleId="56">
    <w:name w:val="日期 Char1"/>
    <w:qFormat/>
    <w:uiPriority w:val="0"/>
    <w:rPr>
      <w:kern w:val="2"/>
      <w:sz w:val="21"/>
      <w:szCs w:val="24"/>
    </w:rPr>
  </w:style>
  <w:style w:type="character" w:customStyle="1" w:styleId="57">
    <w:name w:val="批注文字 Char1"/>
    <w:qFormat/>
    <w:uiPriority w:val="0"/>
    <w:rPr>
      <w:kern w:val="2"/>
      <w:sz w:val="21"/>
      <w:szCs w:val="24"/>
    </w:rPr>
  </w:style>
  <w:style w:type="character" w:customStyle="1" w:styleId="58">
    <w:name w:val="批注主题 Char"/>
    <w:qFormat/>
    <w:uiPriority w:val="0"/>
    <w:rPr>
      <w:rFonts w:ascii="Calibri" w:hAnsi="Calibri"/>
      <w:b/>
      <w:bCs/>
    </w:rPr>
  </w:style>
  <w:style w:type="character" w:customStyle="1" w:styleId="59">
    <w:name w:val="Char Char5"/>
    <w:qFormat/>
    <w:locked/>
    <w:uiPriority w:val="0"/>
    <w:rPr>
      <w:rFonts w:ascii="Cambria" w:hAnsi="Cambria" w:eastAsia="宋体"/>
      <w:b/>
      <w:sz w:val="32"/>
    </w:rPr>
  </w:style>
  <w:style w:type="character" w:customStyle="1" w:styleId="60">
    <w:name w:val="Char Char"/>
    <w:qFormat/>
    <w:locked/>
    <w:uiPriority w:val="0"/>
    <w:rPr>
      <w:rFonts w:ascii="Angsana New" w:hAnsi="Angsana New"/>
      <w:kern w:val="2"/>
      <w:sz w:val="24"/>
    </w:rPr>
  </w:style>
  <w:style w:type="character" w:customStyle="1" w:styleId="61">
    <w:name w:val="Char Char4"/>
    <w:qFormat/>
    <w:locked/>
    <w:uiPriority w:val="0"/>
    <w:rPr>
      <w:rFonts w:ascii="Times New Roman" w:hAnsi="Times New Roman" w:eastAsia="宋体"/>
      <w:b/>
      <w:sz w:val="32"/>
    </w:rPr>
  </w:style>
  <w:style w:type="character" w:customStyle="1" w:styleId="62">
    <w:name w:val="不明显强调2"/>
    <w:qFormat/>
    <w:uiPriority w:val="0"/>
    <w:rPr>
      <w:i/>
      <w:color w:val="404040"/>
    </w:rPr>
  </w:style>
  <w:style w:type="character" w:customStyle="1" w:styleId="63">
    <w:name w:val="HTML 预设格式 Char"/>
    <w:qFormat/>
    <w:uiPriority w:val="0"/>
    <w:rPr>
      <w:rFonts w:ascii="宋体" w:hAnsi="宋体"/>
    </w:rPr>
  </w:style>
  <w:style w:type="character" w:customStyle="1" w:styleId="64">
    <w:name w:val="文档结构图 Char"/>
    <w:qFormat/>
    <w:uiPriority w:val="0"/>
    <w:rPr>
      <w:rFonts w:ascii="宋体" w:hAnsi="Calibri"/>
      <w:sz w:val="18"/>
      <w:szCs w:val="18"/>
    </w:rPr>
  </w:style>
  <w:style w:type="character" w:customStyle="1" w:styleId="65">
    <w:name w:val="不明显强调11"/>
    <w:qFormat/>
    <w:uiPriority w:val="0"/>
    <w:rPr>
      <w:rFonts w:cs="Times New Roman"/>
      <w:i/>
      <w:iCs/>
      <w:color w:val="404040"/>
    </w:rPr>
  </w:style>
  <w:style w:type="character" w:customStyle="1" w:styleId="66">
    <w:name w:val="批注框文本 Char1"/>
    <w:qFormat/>
    <w:uiPriority w:val="0"/>
    <w:rPr>
      <w:rFonts w:ascii="Calibri" w:hAnsi="Calibri" w:eastAsia="宋体" w:cs="Times New Roman"/>
      <w:sz w:val="18"/>
      <w:szCs w:val="18"/>
    </w:rPr>
  </w:style>
  <w:style w:type="character" w:customStyle="1" w:styleId="67">
    <w:name w:val="标题 Char"/>
    <w:qFormat/>
    <w:uiPriority w:val="0"/>
    <w:rPr>
      <w:rFonts w:ascii="Cambria" w:hAnsi="Cambria"/>
      <w:b/>
      <w:bCs/>
      <w:sz w:val="32"/>
      <w:szCs w:val="32"/>
    </w:rPr>
  </w:style>
  <w:style w:type="character" w:customStyle="1" w:styleId="68">
    <w:name w:val="脚注文本 Char1"/>
    <w:qFormat/>
    <w:uiPriority w:val="0"/>
    <w:rPr>
      <w:kern w:val="2"/>
      <w:sz w:val="18"/>
      <w:szCs w:val="18"/>
    </w:rPr>
  </w:style>
  <w:style w:type="character" w:customStyle="1" w:styleId="69">
    <w:name w:val="标题 Char1"/>
    <w:qFormat/>
    <w:uiPriority w:val="0"/>
    <w:rPr>
      <w:rFonts w:ascii="Cambria" w:hAnsi="Cambria" w:cs="Times New Roman"/>
      <w:b/>
      <w:bCs/>
      <w:kern w:val="2"/>
      <w:sz w:val="32"/>
      <w:szCs w:val="32"/>
    </w:rPr>
  </w:style>
  <w:style w:type="character" w:customStyle="1" w:styleId="70">
    <w:name w:val="批注主题 Char1"/>
    <w:qFormat/>
    <w:uiPriority w:val="0"/>
    <w:rPr>
      <w:b/>
      <w:bCs/>
      <w:kern w:val="2"/>
      <w:sz w:val="21"/>
      <w:szCs w:val="24"/>
    </w:rPr>
  </w:style>
  <w:style w:type="character" w:customStyle="1" w:styleId="71">
    <w:name w:val="NormalCharacter"/>
    <w:qFormat/>
    <w:uiPriority w:val="0"/>
  </w:style>
  <w:style w:type="paragraph" w:customStyle="1" w:styleId="72">
    <w:name w:val="PlainText"/>
    <w:basedOn w:val="1"/>
    <w:qFormat/>
    <w:uiPriority w:val="0"/>
    <w:pPr>
      <w:widowControl/>
      <w:textAlignment w:val="baseline"/>
    </w:pPr>
    <w:rPr>
      <w:rFonts w:ascii="宋体" w:hAnsi="Courier New"/>
      <w:szCs w:val="21"/>
    </w:rPr>
  </w:style>
  <w:style w:type="paragraph" w:customStyle="1" w:styleId="73">
    <w:name w:val="页眉1"/>
    <w:basedOn w:val="1"/>
    <w:qFormat/>
    <w:uiPriority w:val="0"/>
    <w:pPr>
      <w:widowControl/>
      <w:pBdr>
        <w:bottom w:val="single" w:color="000000" w:sz="6" w:space="1"/>
      </w:pBdr>
      <w:tabs>
        <w:tab w:val="center" w:pos="4153"/>
        <w:tab w:val="right" w:pos="8306"/>
      </w:tabs>
      <w:snapToGrid w:val="0"/>
      <w:jc w:val="center"/>
      <w:textAlignment w:val="baseline"/>
    </w:pPr>
    <w:rPr>
      <w:rFonts w:ascii="Calibri" w:hAnsi="Calibri"/>
      <w:sz w:val="18"/>
      <w:szCs w:val="18"/>
    </w:rPr>
  </w:style>
  <w:style w:type="paragraph" w:customStyle="1" w:styleId="74">
    <w:name w:val="页脚1"/>
    <w:basedOn w:val="1"/>
    <w:qFormat/>
    <w:uiPriority w:val="0"/>
    <w:pPr>
      <w:widowControl/>
      <w:tabs>
        <w:tab w:val="center" w:pos="4153"/>
        <w:tab w:val="right" w:pos="8306"/>
      </w:tabs>
      <w:snapToGrid w:val="0"/>
      <w:jc w:val="left"/>
      <w:textAlignment w:val="baseline"/>
    </w:pPr>
    <w:rPr>
      <w:rFonts w:ascii="Calibri" w:hAnsi="Calibri"/>
      <w:sz w:val="18"/>
      <w:szCs w:val="18"/>
    </w:rPr>
  </w:style>
  <w:style w:type="character" w:customStyle="1" w:styleId="75">
    <w:name w:val="260"/>
    <w:qFormat/>
    <w:uiPriority w:val="0"/>
    <w:rPr>
      <w:i/>
      <w:iCs/>
      <w:color w:val="808080"/>
    </w:rPr>
  </w:style>
  <w:style w:type="paragraph" w:customStyle="1" w:styleId="76">
    <w:name w:val="列出段落1"/>
    <w:basedOn w:val="1"/>
    <w:qFormat/>
    <w:uiPriority w:val="0"/>
    <w:pPr>
      <w:ind w:firstLine="200" w:firstLineChars="200"/>
    </w:pPr>
    <w:rPr>
      <w:rFonts w:ascii="Calibri" w:hAnsi="Calibri" w:eastAsia="宋体" w:cs="Times New Roman"/>
    </w:rPr>
  </w:style>
  <w:style w:type="paragraph" w:customStyle="1" w:styleId="77">
    <w:name w:val="List Paragraph1"/>
    <w:basedOn w:val="1"/>
    <w:qFormat/>
    <w:uiPriority w:val="0"/>
    <w:pPr>
      <w:ind w:firstLine="200" w:firstLineChars="200"/>
    </w:pPr>
    <w:rPr>
      <w:rFonts w:ascii="Calibri" w:hAnsi="Calibri" w:eastAsia="宋体" w:cs="Times New Roman"/>
    </w:rPr>
  </w:style>
  <w:style w:type="paragraph" w:customStyle="1" w:styleId="78">
    <w:name w:val="TOC 标题1"/>
    <w:basedOn w:val="2"/>
    <w:next w:val="1"/>
    <w:qFormat/>
    <w:uiPriority w:val="0"/>
    <w:pPr>
      <w:keepNext/>
      <w:keepLines/>
      <w:widowControl/>
      <w:spacing w:before="480" w:after="0" w:line="276" w:lineRule="auto"/>
      <w:jc w:val="left"/>
      <w:outlineLvl w:val="9"/>
    </w:pPr>
    <w:rPr>
      <w:rFonts w:ascii="Cambria" w:hAnsi="Cambria"/>
      <w:color w:val="365F91"/>
      <w:kern w:val="0"/>
      <w:sz w:val="28"/>
      <w:szCs w:val="28"/>
    </w:rPr>
  </w:style>
  <w:style w:type="paragraph" w:styleId="79">
    <w:name w:val="List Paragraph"/>
    <w:basedOn w:val="1"/>
    <w:qFormat/>
    <w:uiPriority w:val="0"/>
    <w:pPr>
      <w:ind w:firstLine="200" w:firstLineChars="200"/>
    </w:pPr>
    <w:rPr>
      <w:rFonts w:ascii="Calibri" w:hAnsi="Calibri" w:eastAsia="宋体" w:cs="Times New Roman"/>
    </w:rPr>
  </w:style>
  <w:style w:type="paragraph" w:customStyle="1" w:styleId="80">
    <w:name w:val="列出段落2"/>
    <w:basedOn w:val="1"/>
    <w:qFormat/>
    <w:uiPriority w:val="0"/>
    <w:pPr>
      <w:ind w:firstLine="200" w:firstLineChars="200"/>
    </w:pPr>
    <w:rPr>
      <w:rFonts w:ascii="Calibri" w:hAnsi="Calibri" w:eastAsia="宋体" w:cs="Times New Roman"/>
    </w:rPr>
  </w:style>
  <w:style w:type="paragraph" w:customStyle="1" w:styleId="81">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82">
    <w:name w:val="正文 A"/>
    <w:qFormat/>
    <w:uiPriority w:val="0"/>
    <w:pPr>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4"/>
      <w:szCs w:val="24"/>
      <w:lang w:val="en-US" w:eastAsia="zh-CN" w:bidi="ar-SA"/>
    </w:rPr>
  </w:style>
  <w:style w:type="paragraph" w:customStyle="1" w:styleId="83">
    <w:name w:val="标题 11"/>
    <w:basedOn w:val="1"/>
    <w:qFormat/>
    <w:uiPriority w:val="0"/>
    <w:pPr>
      <w:ind w:left="2568"/>
      <w:jc w:val="left"/>
      <w:outlineLvl w:val="1"/>
    </w:pPr>
    <w:rPr>
      <w:rFonts w:ascii="宋体" w:hAnsi="宋体" w:eastAsia="宋体"/>
      <w:kern w:val="0"/>
      <w:sz w:val="31"/>
      <w:szCs w:val="31"/>
    </w:rPr>
  </w:style>
  <w:style w:type="paragraph" w:customStyle="1" w:styleId="84">
    <w:name w:val="标题 41"/>
    <w:basedOn w:val="1"/>
    <w:qFormat/>
    <w:uiPriority w:val="0"/>
    <w:pPr>
      <w:ind w:left="1745"/>
      <w:jc w:val="left"/>
      <w:outlineLvl w:val="4"/>
    </w:pPr>
    <w:rPr>
      <w:rFonts w:ascii="宋体" w:hAnsi="宋体" w:eastAsia="宋体"/>
      <w:kern w:val="0"/>
      <w:sz w:val="26"/>
      <w:szCs w:val="26"/>
    </w:rPr>
  </w:style>
  <w:style w:type="paragraph" w:customStyle="1" w:styleId="85">
    <w:name w:val="标题 31"/>
    <w:basedOn w:val="1"/>
    <w:qFormat/>
    <w:uiPriority w:val="0"/>
    <w:pPr>
      <w:ind w:left="1736"/>
      <w:jc w:val="left"/>
      <w:outlineLvl w:val="3"/>
    </w:pPr>
    <w:rPr>
      <w:rFonts w:ascii="宋体" w:hAnsi="宋体" w:eastAsia="宋体"/>
      <w:kern w:val="0"/>
      <w:sz w:val="27"/>
      <w:szCs w:val="27"/>
    </w:rPr>
  </w:style>
  <w:style w:type="paragraph" w:customStyle="1" w:styleId="86">
    <w:name w:val="TOC Heading"/>
    <w:basedOn w:val="2"/>
    <w:next w:val="1"/>
    <w:qFormat/>
    <w:uiPriority w:val="0"/>
    <w:pPr>
      <w:keepNext/>
      <w:keepLines/>
      <w:widowControl/>
      <w:spacing w:before="240" w:after="0" w:line="259" w:lineRule="auto"/>
      <w:jc w:val="left"/>
      <w:outlineLvl w:val="9"/>
    </w:pPr>
    <w:rPr>
      <w:rFonts w:ascii="Cambria" w:hAnsi="Cambria" w:eastAsia="宋体" w:cs="Times New Roman"/>
      <w:b w:val="0"/>
      <w:bCs w:val="0"/>
      <w:color w:val="376092"/>
      <w:kern w:val="0"/>
      <w:sz w:val="32"/>
      <w:szCs w:val="32"/>
    </w:rPr>
  </w:style>
  <w:style w:type="paragraph" w:customStyle="1" w:styleId="87">
    <w:name w:val="Revision"/>
    <w:qFormat/>
    <w:uiPriority w:val="0"/>
    <w:rPr>
      <w:rFonts w:ascii="Calibri" w:hAnsi="Calibri" w:eastAsia="宋体" w:cs="Arial"/>
      <w:kern w:val="2"/>
      <w:sz w:val="21"/>
      <w:szCs w:val="22"/>
      <w:lang w:val="en-US" w:eastAsia="zh-CN" w:bidi="ar-SA"/>
    </w:rPr>
  </w:style>
  <w:style w:type="paragraph" w:customStyle="1" w:styleId="88">
    <w:name w:val="表格"/>
    <w:basedOn w:val="1"/>
    <w:qFormat/>
    <w:uiPriority w:val="0"/>
    <w:pPr>
      <w:spacing w:before="20" w:beforeLines="20" w:after="20" w:afterLines="20" w:line="360" w:lineRule="exact"/>
    </w:pPr>
    <w:rPr>
      <w:rFonts w:ascii="微软雅黑" w:hAnsi="微软雅黑" w:eastAsia="微软雅黑" w:cs="微软雅黑"/>
    </w:rPr>
  </w:style>
  <w:style w:type="character" w:customStyle="1" w:styleId="89">
    <w:name w:val="font01"/>
    <w:basedOn w:val="31"/>
    <w:qFormat/>
    <w:uiPriority w:val="0"/>
    <w:rPr>
      <w:rFonts w:ascii="宋体" w:hAnsi="宋体" w:eastAsia="宋体" w:cs="宋体"/>
      <w:color w:val="000000"/>
      <w:sz w:val="22"/>
      <w:szCs w:val="22"/>
      <w:u w:val="none"/>
    </w:rPr>
  </w:style>
  <w:style w:type="character" w:customStyle="1" w:styleId="90">
    <w:name w:val="font11"/>
    <w:qFormat/>
    <w:uiPriority w:val="0"/>
    <w:rPr>
      <w:rFonts w:ascii="宋体" w:hAnsi="宋体" w:eastAsia="宋体" w:cs="宋体"/>
      <w:b/>
      <w:bCs/>
      <w:color w:val="FF0000"/>
      <w:sz w:val="22"/>
      <w:szCs w:val="22"/>
      <w:u w:val="none"/>
    </w:rPr>
  </w:style>
  <w:style w:type="character" w:customStyle="1" w:styleId="91">
    <w:name w:val="font21"/>
    <w:qFormat/>
    <w:uiPriority w:val="0"/>
    <w:rPr>
      <w:rFonts w:ascii="宋体" w:hAnsi="宋体" w:eastAsia="宋体" w:cs="宋体"/>
      <w:color w:val="000000"/>
      <w:sz w:val="22"/>
      <w:szCs w:val="22"/>
      <w:u w:val="none"/>
    </w:rPr>
  </w:style>
  <w:style w:type="paragraph" w:customStyle="1" w:styleId="92">
    <w:name w:val="null3"/>
    <w:qFormat/>
    <w:uiPriority w:val="0"/>
    <w:rPr>
      <w:rFonts w:ascii="Calibri" w:hAnsi="Calibri" w:eastAsia="宋体" w:cs="Arial"/>
      <w:sz w:val="20"/>
      <w:szCs w:val="2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主题">
      <a:majorFont>
        <a:latin typeface=""/>
        <a:ea typeface=""/>
        <a:cs typeface=""/>
      </a:majorFont>
      <a:minorFont>
        <a:latin typeface=""/>
        <a:ea typeface=""/>
        <a:cs typefac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26650 1 1 1 1 1"/>
    <sectPr/>
    <sectPr/>
  </customProps>
</customData>
</file>

<file path=customXml/itemProps1.xml><?xml version="1.0" encoding="utf-8"?>
<ds:datastoreItem xmlns:ds="http://schemas.openxmlformats.org/officeDocument/2006/customXml" ds:itemID="{6567746A-A309-43EB-9C19-A08FA9C44353}">
  <ds:schemaRefs/>
</ds:datastoreItem>
</file>

<file path=docProps/app.xml><?xml version="1.0" encoding="utf-8"?>
<Properties xmlns="http://schemas.openxmlformats.org/officeDocument/2006/extended-properties" xmlns:vt="http://schemas.openxmlformats.org/officeDocument/2006/docPropsVTypes">
  <Template>Normal.eit</Template>
  <Company>Sky123.Org</Company>
  <Pages>49</Pages>
  <Words>26704</Words>
  <Characters>27281</Characters>
  <Lines>0</Lines>
  <Paragraphs>508</Paragraphs>
  <TotalTime>0</TotalTime>
  <ScaleCrop>false</ScaleCrop>
  <LinksUpToDate>false</LinksUpToDate>
  <CharactersWithSpaces>27285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2021-06-07T03:10:00Z</dcterms:created>
  <dc:creator>董波</dc:creator>
  <cp:lastModifiedBy>怯</cp:lastModifiedBy>
  <cp:lastPrinted>2026-09-22T02:39:00Z</cp:lastPrinted>
  <dcterms:modified xsi:type="dcterms:W3CDTF">2026-10-08T08:14:38Z</dcterms:modified>
  <cp:revision>348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5DA096E898CD4652A3B9FCECCD807D30_13</vt:lpwstr>
  </property>
  <property fmtid="{D5CDD505-2E9C-101B-9397-08002B2CF9AE}" pid="4" name="KSOTemplateDocerSaveRecord">
    <vt:lpwstr>eyJoZGlkIjoiYWFiMWNmZGQxNzE1YzljMTVhOGQwMTljYzg3YzY2ZGEiLCJ1c2VySWQiOiIyOTQ2NTA5ODcifQ==</vt:lpwstr>
  </property>
</Properties>
</file>