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版本号：XHXY-ZC-202603120260813001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山阳县城污水处理厂及高新区污水处理厂托管运营项目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XHXY-ZC-2026031</w:t>
      </w:r>
      <w:r>
        <w:br/>
      </w:r>
      <w:r>
        <w:br/>
      </w:r>
      <w:r>
        <w:br/>
      </w:r>
    </w:p>
    <w:p>
      <w:pPr>
        <w:pStyle w:val="null3"/>
        <w:jc w:val="center"/>
        <w:outlineLvl w:val="2"/>
      </w:pPr>
      <w:r>
        <w:rPr>
          <w:rFonts w:ascii="仿宋_GB2312" w:hAnsi="仿宋_GB2312" w:cs="仿宋_GB2312" w:eastAsia="仿宋_GB2312"/>
          <w:sz w:val="28"/>
          <w:b/>
        </w:rPr>
        <w:t>山阳县城市管理局（本级）</w:t>
      </w:r>
    </w:p>
    <w:p>
      <w:pPr>
        <w:pStyle w:val="null3"/>
        <w:jc w:val="center"/>
        <w:outlineLvl w:val="2"/>
      </w:pPr>
      <w:r>
        <w:rPr>
          <w:rFonts w:ascii="仿宋_GB2312" w:hAnsi="仿宋_GB2312" w:cs="仿宋_GB2312" w:eastAsia="仿宋_GB2312"/>
          <w:sz w:val="28"/>
          <w:b/>
        </w:rPr>
        <w:t>陕西星辉旭阳项目管理有限公司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陕西星辉旭阳项目管理有限公司</w:t>
      </w:r>
      <w:r>
        <w:rPr>
          <w:rFonts w:ascii="仿宋_GB2312" w:hAnsi="仿宋_GB2312" w:cs="仿宋_GB2312" w:eastAsia="仿宋_GB2312"/>
        </w:rPr>
        <w:t>（以下简称“代理机构”）受</w:t>
      </w:r>
      <w:r>
        <w:rPr>
          <w:rFonts w:ascii="仿宋_GB2312" w:hAnsi="仿宋_GB2312" w:cs="仿宋_GB2312" w:eastAsia="仿宋_GB2312"/>
        </w:rPr>
        <w:t>山阳县城市管理局（本级）</w:t>
      </w:r>
      <w:r>
        <w:rPr>
          <w:rFonts w:ascii="仿宋_GB2312" w:hAnsi="仿宋_GB2312" w:cs="仿宋_GB2312" w:eastAsia="仿宋_GB2312"/>
        </w:rPr>
        <w:t>委托，拟对</w:t>
      </w:r>
      <w:r>
        <w:rPr>
          <w:rFonts w:ascii="仿宋_GB2312" w:hAnsi="仿宋_GB2312" w:cs="仿宋_GB2312" w:eastAsia="仿宋_GB2312"/>
        </w:rPr>
        <w:t>山阳县城污水处理厂及高新区污水处理厂托管运营项目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XHXY-ZC-2026031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山阳县城污水处理厂及高新区污水处理厂托管运营项目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山阳县城污水处理厂及高新区污水处理厂托管运营项目，具体详见招标文件及内容。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采购包1（山阳县城污水处理厂及高新区污水处理厂托管运营项目）：属于专门面向中小企业采购。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7、法定代表人授权委托书：法定代表人直接参加投标的，须出具法定代表人身份证明书及身份证；授权代表参加投标的，须出具法定代表人授权书及授权代表身份证</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山阳县城市管理局（本级）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山阳县城关街道南后街9号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18591098970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陕西星辉旭阳项目管理有限公司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陕西省商洛市商州区朝阳路星辉旭阳管理中心2楼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15991253776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山阳县财政局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王虎、樊文静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0914--8322477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代理服务费收费标准：中标单位在领取《中标通知书》之前，向招标代理机构一次付清代理服务费。 招标代理服务费的金额依据《招标代理服务收费管理暂行办法》 计价格[2002]1980号文、《国家发展改革委关于降低部分建设项目收费标准规范收费行为等有关问题的通知》 发改价格[2011]534 号文。</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山阳县城市管理局（本级）</w:t>
      </w:r>
      <w:r>
        <w:rPr>
          <w:rFonts w:ascii="仿宋_GB2312" w:hAnsi="仿宋_GB2312" w:cs="仿宋_GB2312" w:eastAsia="仿宋_GB2312"/>
        </w:rPr>
        <w:t>和</w:t>
      </w:r>
      <w:r>
        <w:rPr>
          <w:rFonts w:ascii="仿宋_GB2312" w:hAnsi="仿宋_GB2312" w:cs="仿宋_GB2312" w:eastAsia="仿宋_GB2312"/>
        </w:rPr>
        <w:t>陕西星辉旭阳项目管理有限公司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山阳县城市管理局（本级）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陕西星辉旭阳项目管理有限公司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山阳县城市管理局（本级）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陕西星辉旭阳项目管理有限公司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以采购合同及政府采购履约验收相关规定为依据，并以甲方编制的考核细则为标准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陕西星辉旭阳项目管理有限公司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陕西星辉旭阳项目管理有限公司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陕西星辉旭阳项目管理有限公司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联系人：任娜娜</w:t>
      </w:r>
    </w:p>
    <w:p>
      <w:pPr>
        <w:pStyle w:val="null3"/>
      </w:pPr>
      <w:r>
        <w:rPr>
          <w:rFonts w:ascii="仿宋_GB2312" w:hAnsi="仿宋_GB2312" w:cs="仿宋_GB2312" w:eastAsia="仿宋_GB2312"/>
        </w:rPr>
        <w:t>联系电话：15991253776</w:t>
      </w:r>
    </w:p>
    <w:p>
      <w:pPr>
        <w:pStyle w:val="null3"/>
      </w:pPr>
      <w:r>
        <w:rPr>
          <w:rFonts w:ascii="仿宋_GB2312" w:hAnsi="仿宋_GB2312" w:cs="仿宋_GB2312" w:eastAsia="仿宋_GB2312"/>
        </w:rPr>
        <w:t>地址：陕西省商洛市商州区朝阳路星辉旭阳管理中心2楼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对山阳县城污水处理厂及高新区污水处理厂托管运营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10,000,000.00</w:t>
      </w:r>
    </w:p>
    <w:p>
      <w:pPr>
        <w:pStyle w:val="null3"/>
      </w:pPr>
      <w:r>
        <w:rPr>
          <w:rFonts w:ascii="仿宋_GB2312" w:hAnsi="仿宋_GB2312" w:cs="仿宋_GB2312" w:eastAsia="仿宋_GB2312"/>
        </w:rPr>
        <w:t>采购包最高限价（元）: 10,000,000.00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山阳县城污水处理厂及高新区污水处理厂托管运营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标的名称：山阳县城污水处理厂及高新区污水处理厂托管运营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一、处理规模及出水标准</w:t>
            </w:r>
            <w:r>
              <w:br/>
            </w:r>
            <w:r>
              <w:rPr>
                <w:rFonts w:ascii="仿宋_GB2312" w:hAnsi="仿宋_GB2312" w:cs="仿宋_GB2312" w:eastAsia="仿宋_GB2312"/>
              </w:rPr>
              <w:t xml:space="preserve"> 山阳县城污水处理厂及高新区污水处理厂两座污水处理厂合计处理总规模为25000m</w:t>
            </w:r>
            <w:r>
              <w:rPr>
                <w:rFonts w:ascii="仿宋_GB2312" w:hAnsi="仿宋_GB2312" w:cs="仿宋_GB2312" w:eastAsia="仿宋_GB2312"/>
                <w:vertAlign w:val="superscript"/>
              </w:rPr>
              <w:t>3</w:t>
            </w:r>
            <w:r>
              <w:rPr>
                <w:rFonts w:ascii="仿宋_GB2312" w:hAnsi="仿宋_GB2312" w:cs="仿宋_GB2312" w:eastAsia="仿宋_GB2312"/>
              </w:rPr>
              <w:t>/d，出水水质均须达到《城镇污水处理厂污染物排放标准》(GB18918一2002)一级A标准。</w:t>
            </w:r>
          </w:p>
          <w:p>
            <w:pPr>
              <w:pStyle w:val="null3"/>
            </w:pPr>
            <w:r>
              <w:rPr>
                <w:rFonts w:ascii="仿宋_GB2312" w:hAnsi="仿宋_GB2312" w:cs="仿宋_GB2312" w:eastAsia="仿宋_GB2312"/>
              </w:rPr>
              <w:t>二、管理期限</w:t>
            </w:r>
            <w:r>
              <w:br/>
            </w:r>
            <w:r>
              <w:rPr>
                <w:rFonts w:ascii="仿宋_GB2312" w:hAnsi="仿宋_GB2312" w:cs="仿宋_GB2312" w:eastAsia="仿宋_GB2312"/>
              </w:rPr>
              <w:t xml:space="preserve"> 本项目托管运营期限暂定为3年(自合同签订之日起计算)，合同实行一年一签。每年期满前，我局将组织对运营单位进行年度考核，考核合格后方可续签下一年度合同;考核不合格的，我局有权终止合同并重新组织采购。具体起止时间以正式合同约定为准。</w:t>
            </w:r>
          </w:p>
          <w:p>
            <w:pPr>
              <w:pStyle w:val="null3"/>
            </w:pPr>
            <w:r>
              <w:rPr>
                <w:rFonts w:ascii="仿宋_GB2312" w:hAnsi="仿宋_GB2312" w:cs="仿宋_GB2312" w:eastAsia="仿宋_GB2312"/>
              </w:rPr>
              <w:t>三、服务细则</w:t>
            </w:r>
            <w:r>
              <w:br/>
            </w:r>
            <w:r>
              <w:rPr>
                <w:rFonts w:ascii="仿宋_GB2312" w:hAnsi="仿宋_GB2312" w:cs="仿宋_GB2312" w:eastAsia="仿宋_GB2312"/>
              </w:rPr>
              <w:t xml:space="preserve"> 运营单位须提供以下基本服务内容，并接受我局及相关部门的全过程监督:</w:t>
            </w:r>
            <w:r>
              <w:br/>
            </w:r>
            <w:r>
              <w:rPr>
                <w:rFonts w:ascii="仿宋_GB2312" w:hAnsi="仿宋_GB2312" w:cs="仿宋_GB2312" w:eastAsia="仿宋_GB2312"/>
              </w:rPr>
              <w:t xml:space="preserve"> 1.日常运行管理:负责污水处理厂全部处理设施的日常运行、巡检、记录及维护，确保系统24小时连续稳定运行，</w:t>
            </w:r>
            <w:r>
              <w:br/>
            </w:r>
            <w:r>
              <w:rPr>
                <w:rFonts w:ascii="仿宋_GB2312" w:hAnsi="仿宋_GB2312" w:cs="仿宋_GB2312" w:eastAsia="仿宋_GB2312"/>
              </w:rPr>
              <w:t xml:space="preserve"> 不得擅自停运。</w:t>
            </w:r>
            <w:r>
              <w:br/>
            </w:r>
            <w:r>
              <w:rPr>
                <w:rFonts w:ascii="仿宋_GB2312" w:hAnsi="仿宋_GB2312" w:cs="仿宋_GB2312" w:eastAsia="仿宋_GB2312"/>
              </w:rPr>
              <w:t xml:space="preserve"> 2.水质检测与监控:按国家规定频次和指标对进出水水质进行自行检测，并定期报送检测数据;同时配合我局委托的第三方监测机构开展监督性抽检，确保出水水质稳定达标。3.设备维护与检修:制定并执行设备保养维修计划，做好各类机械、电气、仪表、自控系统的日常保养和定期检修，保证设备完好率不低于95%;关键设备应有备件，故障时须在约定时限内修复。</w:t>
            </w:r>
            <w:r>
              <w:br/>
            </w:r>
            <w:r>
              <w:rPr>
                <w:rFonts w:ascii="仿宋_GB2312" w:hAnsi="仿宋_GB2312" w:cs="仿宋_GB2312" w:eastAsia="仿宋_GB2312"/>
              </w:rPr>
              <w:t xml:space="preserve"> 4.污泥处置与台账管理:按照环保要求对产生的污泥进行规范化处理处置，建立完整的污泥产生、转运、处置台账，确保处置去向合法合规。</w:t>
            </w:r>
            <w:r>
              <w:br/>
            </w:r>
            <w:r>
              <w:rPr>
                <w:rFonts w:ascii="仿宋_GB2312" w:hAnsi="仿宋_GB2312" w:cs="仿宋_GB2312" w:eastAsia="仿宋_GB2312"/>
              </w:rPr>
              <w:t xml:space="preserve"> 5.安全生产与应急管理:建立健全安全生产责任制和突发事件应急预案，定期组织演练;发生进水水质异常、设备重大故障或出水超标等紧急情况时，须立即启动应急措施并同时报告我局及环保部门。</w:t>
            </w:r>
          </w:p>
          <w:p>
            <w:pPr>
              <w:pStyle w:val="null3"/>
            </w:pPr>
            <w:r>
              <w:rPr>
                <w:rFonts w:ascii="仿宋_GB2312" w:hAnsi="仿宋_GB2312" w:cs="仿宋_GB2312" w:eastAsia="仿宋_GB2312"/>
              </w:rPr>
              <w:t>6.人员配置与培训:配备足够数量且持有相应岗位资格证书的运行、维修、化验人员，定期开展业务培训和安全教</w:t>
            </w:r>
            <w:r>
              <w:br/>
            </w:r>
            <w:r>
              <w:rPr>
                <w:rFonts w:ascii="仿宋_GB2312" w:hAnsi="仿宋_GB2312" w:cs="仿宋_GB2312" w:eastAsia="仿宋_GB2312"/>
              </w:rPr>
              <w:t xml:space="preserve"> 育，人员变动须提前报备。</w:t>
            </w:r>
            <w:r>
              <w:br/>
            </w:r>
            <w:r>
              <w:rPr>
                <w:rFonts w:ascii="仿宋_GB2312" w:hAnsi="仿宋_GB2312" w:cs="仿宋_GB2312" w:eastAsia="仿宋_GB2312"/>
              </w:rPr>
              <w:t xml:space="preserve"> 7.信息报告与公开:每月提交运营月报(含处理水量、用电量、药剂消耗、水质数据、设备状态等)，按季度提交运营分析报告，并依法主动公开相关环境信息。</w:t>
            </w:r>
            <w:r>
              <w:br/>
            </w:r>
            <w:r>
              <w:rPr>
                <w:rFonts w:ascii="仿宋_GB2312" w:hAnsi="仿宋_GB2312" w:cs="仿宋_GB2312" w:eastAsia="仿宋_GB2312"/>
              </w:rPr>
              <w:t xml:space="preserve"> 8.接受监管与考核:无条件接受我局及生态环境、财政等部门的监督检查，积极配合各类审计、绩效考核和公众监督活动。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3年(自合同签订之日起计算)，合同实行一年一签。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1、项目完工后，中标人向采购人提交验收申请。 2、采购人收到验收申请后组织验收，验收时中标人应无条件予以配合并提供验收所需的全部资料，若中标人不配合或者未按合同要求提供服务的，采购人将拒绝验收。 3、验收依据 1、招标文件、投标文件、澄清表（函）； 2、采购合同及附件文件；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其他，乙方每月月末经甲方验收考核合格后，达到付款条件起7个工作日内，支付合同总金额的100.0%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1、按《中华人民共和国民法典》中的相关条款的约定执行。 2、未按采购合同、投标文件要求提供产品、服务，或供应的产品、服务质量不能满足采购人技术要求，经书面告知在合理期限内整改但仍不予调整的，采购人有权终止合同，甚至对投标人违约行为进行追究。 3、任何一方有其他违反采购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本项目政府采购工作，投标人须在陕西省政府采购电子化交易平台上传电子版响应文件并完成签章、加密，同时，为保证项目顺利备案，成交供应商在领取纸质版成交通知书时，需提供纸质版响应文件一正两副，电子版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投标人应提交的相关资格证明材料.docx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自投标之日起不少于90个日历日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项目团队能力及项目团队配备.pdf 中小企业声明函 应急预案.pdf 售后服务方案.pdf 业绩情况表.pdf 增值服务及合理化建议.pdf 报价一览表.pdf 服务保障措施及安全管理方案.pdf 商务偏离表.pdf 服务偏离表.docx 投标人应提交的相关资格证明材料.docx 投标函 项目实施方案.pdf 残疾人福利性单位声明函 运维服务方案.pdf 标的清单 投标文件封面 投标人承诺书.docx 监狱企业的证明文件 投标人认为有必要说明的其他资料.pdf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投标文件商务条款</w:t>
            </w:r>
          </w:p>
        </w:tc>
        <w:tc>
          <w:tcPr>
            <w:tcW w:type="dxa" w:w="3322"/>
          </w:tcPr>
          <w:p>
            <w:pPr>
              <w:pStyle w:val="null3"/>
            </w:pPr>
            <w:r>
              <w:rPr>
                <w:rFonts w:ascii="仿宋_GB2312" w:hAnsi="仿宋_GB2312" w:cs="仿宋_GB2312" w:eastAsia="仿宋_GB2312"/>
              </w:rPr>
              <w:t>符合招标文件商务条款，无重大保留或偏差</w:t>
            </w:r>
          </w:p>
        </w:tc>
        <w:tc>
          <w:tcPr>
            <w:tcW w:type="dxa" w:w="1661"/>
          </w:tcPr>
          <w:p>
            <w:pPr>
              <w:pStyle w:val="null3"/>
            </w:pPr>
            <w:r>
              <w:rPr>
                <w:rFonts w:ascii="仿宋_GB2312" w:hAnsi="仿宋_GB2312" w:cs="仿宋_GB2312" w:eastAsia="仿宋_GB2312"/>
              </w:rPr>
              <w:t>商务偏离表.pdf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无不符合法律法规或招标文件规定的响应无效条款</w:t>
            </w:r>
          </w:p>
        </w:tc>
        <w:tc>
          <w:tcPr>
            <w:tcW w:type="dxa" w:w="1661"/>
          </w:tcPr>
          <w:p>
            <w:pPr>
              <w:pStyle w:val="null3"/>
            </w:pPr>
            <w:r>
              <w:rPr>
                <w:rFonts w:ascii="仿宋_GB2312" w:hAnsi="仿宋_GB2312" w:cs="仿宋_GB2312" w:eastAsia="仿宋_GB2312"/>
              </w:rPr>
              <w:t>开标一览表 项目团队能力及项目团队配备.pdf 中小企业声明函 应急预案.pdf 售后服务方案.pdf 业绩情况表.pdf 增值服务及合理化建议.pdf 报价一览表.pdf 服务保障措施及安全管理方案.pdf 商务偏离表.pdf 服务偏离表.docx 投标人应提交的相关资格证明材料.docx 投标函 项目实施方案.pdf 残疾人福利性单位声明函 运维服务方案.pdf 标的清单 投标文件封面 投标人承诺书.docx 监狱企业的证明文件 投标人认为有必要说明的其他资料.pdf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采购内容及服务要求完全符合招标文件要求，没有负偏离的得6分，负偏离不得分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服务偏离表.docx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针对本项目提供完善的运维服务方案，包括但不限于：①运维管理及日常巡检方案；②设备设施维修方案、设备设施保养方案；③设施设备定期清洁方案；④拟投入的检测设备和仪器。 评审标准：方案各部分内容全面详细、阐述条理清晰详尽、符合本项目采购需求，能保障本项目实施得10分；评审内容每缺一项扣2.5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运维服务方案.pdf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针对本项目提供完善的项目实施方案，包括但不限于：①项目实施计划和方案；②服务期内各项工作的进度安排及保障措施。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服务保障措施及安全管理方案</w:t>
            </w:r>
          </w:p>
        </w:tc>
        <w:tc>
          <w:tcPr>
            <w:tcW w:type="dxa" w:w="2492"/>
          </w:tcPr>
          <w:p>
            <w:pPr>
              <w:pStyle w:val="null3"/>
            </w:pPr>
            <w:r>
              <w:rPr>
                <w:rFonts w:ascii="仿宋_GB2312" w:hAnsi="仿宋_GB2312" w:cs="仿宋_GB2312" w:eastAsia="仿宋_GB2312"/>
              </w:rPr>
              <w:t>针对本项目提供完善的服务保障措施及安全管理方案，包括但不限于：①服务质量保障措施；②检测数据质量保障措施；③人员、设备设施设备安全管理方案 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服务保障措施及安全管理方案.pdf</w:t>
            </w:r>
          </w:p>
        </w:tc>
      </w:tr>
      <w:tr>
        <w:tc>
          <w:tcPr>
            <w:tcW w:type="dxa" w:w="831"/>
            <w:vMerge/>
          </w:tcPr>
          <w:p/>
        </w:tc>
        <w:tc>
          <w:tcPr>
            <w:tcW w:type="dxa" w:w="1661"/>
          </w:tcPr>
          <w:p>
            <w:pPr>
              <w:pStyle w:val="null3"/>
            </w:pPr>
            <w:r>
              <w:rPr>
                <w:rFonts w:ascii="仿宋_GB2312" w:hAnsi="仿宋_GB2312" w:cs="仿宋_GB2312" w:eastAsia="仿宋_GB2312"/>
              </w:rPr>
              <w:t>项目团队能力</w:t>
            </w:r>
          </w:p>
        </w:tc>
        <w:tc>
          <w:tcPr>
            <w:tcW w:type="dxa" w:w="2492"/>
          </w:tcPr>
          <w:p>
            <w:pPr>
              <w:pStyle w:val="null3"/>
            </w:pPr>
            <w:r>
              <w:rPr>
                <w:rFonts w:ascii="仿宋_GB2312" w:hAnsi="仿宋_GB2312" w:cs="仿宋_GB2312" w:eastAsia="仿宋_GB2312"/>
              </w:rPr>
              <w:t>1、项目团队人员每有1人持有特种设备安全管理和作业人员证得3分，本项最高的6分。 2、项目团队人员每有1人持有特种作业操作证（低压电工作业、高处作业、焊接与热切割作业等与项目实施相关专业），每提供1个计2分，本项最高的14分。 注：1.以上人员若一人具有多个资格证，可重复加分； 2.投标人须提供证明上述人员为本单位人员的证明材料（近6个月任意一个月社保缴纳证明或劳动合同），不提供不计分。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项目团队能力及项目团队配备.pdf</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针对本项目提供完善的项目团队配备，包括但不限于：①项目服务团队架构及工作人员投入计划；②项目人员岗位划分、工作职责及项目人员管理制度。 评审标准：方案各部分内容全面详细、阐述条理清晰详尽、符合本项目采购需求，能保障本项目实施得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项目团队能力及项目团队配备.pdf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针对本项目提供完善的应急预案，包括但不限于：①紧急情况及突发事件处理方案；②应急服务人员及服务保障。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善的售后服务方案，包括但不限于：①投标人服务承诺（包括服务响应时间、故障问题解决时限等，且承诺具有可操作性和约束力，能充分保障采购人在服务过程中的权益）；②根据项目需求结合自身能力提供售后服务方案；③售后维保人员配置安排计划；④设备设施出现故障后的补救措施。 评审标准：方案各部分内容全面详细、阐述条理清晰详尽、符合本项目采购需求，能保障本项目实施得8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售后服务方案.pdf</w:t>
            </w:r>
          </w:p>
        </w:tc>
      </w:tr>
      <w:tr>
        <w:tc>
          <w:tcPr>
            <w:tcW w:type="dxa" w:w="831"/>
            <w:vMerge/>
          </w:tcPr>
          <w:p/>
        </w:tc>
        <w:tc>
          <w:tcPr>
            <w:tcW w:type="dxa" w:w="1661"/>
          </w:tcPr>
          <w:p>
            <w:pPr>
              <w:pStyle w:val="null3"/>
            </w:pPr>
            <w:r>
              <w:rPr>
                <w:rFonts w:ascii="仿宋_GB2312" w:hAnsi="仿宋_GB2312" w:cs="仿宋_GB2312" w:eastAsia="仿宋_GB2312"/>
              </w:rPr>
              <w:t>增值服务及合理化建议</w:t>
            </w:r>
          </w:p>
        </w:tc>
        <w:tc>
          <w:tcPr>
            <w:tcW w:type="dxa" w:w="2492"/>
          </w:tcPr>
          <w:p>
            <w:pPr>
              <w:pStyle w:val="null3"/>
            </w:pPr>
            <w:r>
              <w:rPr>
                <w:rFonts w:ascii="仿宋_GB2312" w:hAnsi="仿宋_GB2312" w:cs="仿宋_GB2312" w:eastAsia="仿宋_GB2312"/>
              </w:rPr>
              <w:t>1、增值服务：投标人须提供针对本项目具备落地可行性且对项目实施存在实质性利好的增值服务书面承诺；经评审小组全体评委一致认定该增值服务针对性强、可落地实施且显著有利于本项目推进的，得 3分；未提供增值服务承诺，或所提供承诺针对性不足、可实施性较差，评审小组无法达成一致认可的，本项不得分。 2、合理化建议：投标人须提供针对本项目具备实操价值且能显著优化项目实施的合理化建议；经评审小组全体专家一致认定该建议可行、对项目实施具备实质性利好的得3分；未提供合理化建议，或建议脱离项目实际、不具备落地可行性，评审小组无法达成一致认定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增值服务及合理化建议.pdf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投标人提供自2022年1月1日至今的同类项目业绩(以合同签订日期为准)，每提供一个业绩证明材料得2分，最高得8分。 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审基准价，其价格分为满分。其他投标人的价格分统一按照下列公式计算：投标报价得分=(评审基准价／投标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详见附件：商务偏离表.pdf</w:t>
      </w:r>
    </w:p>
    <w:p>
      <w:pPr>
        <w:pStyle w:val="null3"/>
        <w:ind w:firstLine="960"/>
      </w:pPr>
      <w:r>
        <w:rPr>
          <w:rFonts w:ascii="仿宋_GB2312" w:hAnsi="仿宋_GB2312" w:cs="仿宋_GB2312" w:eastAsia="仿宋_GB2312"/>
        </w:rPr>
        <w:t>详见附件：运维服务方案.pdf</w:t>
      </w:r>
    </w:p>
    <w:p>
      <w:pPr>
        <w:pStyle w:val="null3"/>
        <w:ind w:firstLine="960"/>
      </w:pPr>
      <w:r>
        <w:rPr>
          <w:rFonts w:ascii="仿宋_GB2312" w:hAnsi="仿宋_GB2312" w:cs="仿宋_GB2312" w:eastAsia="仿宋_GB2312"/>
        </w:rPr>
        <w:t>详见附件：项目实施方案.pdf</w:t>
      </w:r>
    </w:p>
    <w:p>
      <w:pPr>
        <w:pStyle w:val="null3"/>
        <w:ind w:firstLine="960"/>
      </w:pPr>
      <w:r>
        <w:rPr>
          <w:rFonts w:ascii="仿宋_GB2312" w:hAnsi="仿宋_GB2312" w:cs="仿宋_GB2312" w:eastAsia="仿宋_GB2312"/>
        </w:rPr>
        <w:t>详见附件：服务保障措施及安全管理方案.pdf</w:t>
      </w:r>
    </w:p>
    <w:p>
      <w:pPr>
        <w:pStyle w:val="null3"/>
        <w:ind w:firstLine="960"/>
      </w:pPr>
      <w:r>
        <w:rPr>
          <w:rFonts w:ascii="仿宋_GB2312" w:hAnsi="仿宋_GB2312" w:cs="仿宋_GB2312" w:eastAsia="仿宋_GB2312"/>
        </w:rPr>
        <w:t>详见附件：项目团队能力及项目团队配备.pdf</w:t>
      </w:r>
    </w:p>
    <w:p>
      <w:pPr>
        <w:pStyle w:val="null3"/>
        <w:ind w:firstLine="960"/>
      </w:pPr>
      <w:r>
        <w:rPr>
          <w:rFonts w:ascii="仿宋_GB2312" w:hAnsi="仿宋_GB2312" w:cs="仿宋_GB2312" w:eastAsia="仿宋_GB2312"/>
        </w:rPr>
        <w:t>详见附件：应急预案.pdf</w:t>
      </w:r>
    </w:p>
    <w:p>
      <w:pPr>
        <w:pStyle w:val="null3"/>
        <w:ind w:firstLine="960"/>
      </w:pPr>
      <w:r>
        <w:rPr>
          <w:rFonts w:ascii="仿宋_GB2312" w:hAnsi="仿宋_GB2312" w:cs="仿宋_GB2312" w:eastAsia="仿宋_GB2312"/>
        </w:rPr>
        <w:t>详见附件：售后服务方案.pdf</w:t>
      </w:r>
    </w:p>
    <w:p>
      <w:pPr>
        <w:pStyle w:val="null3"/>
        <w:ind w:firstLine="960"/>
      </w:pPr>
      <w:r>
        <w:rPr>
          <w:rFonts w:ascii="仿宋_GB2312" w:hAnsi="仿宋_GB2312" w:cs="仿宋_GB2312" w:eastAsia="仿宋_GB2312"/>
        </w:rPr>
        <w:t>详见附件：增值服务及合理化建议.pdf</w:t>
      </w:r>
    </w:p>
    <w:p>
      <w:pPr>
        <w:pStyle w:val="null3"/>
        <w:ind w:firstLine="960"/>
      </w:pPr>
      <w:r>
        <w:rPr>
          <w:rFonts w:ascii="仿宋_GB2312" w:hAnsi="仿宋_GB2312" w:cs="仿宋_GB2312" w:eastAsia="仿宋_GB2312"/>
        </w:rPr>
        <w:t>详见附件：业绩情况表.pdf</w:t>
      </w:r>
    </w:p>
    <w:p>
      <w:pPr>
        <w:pStyle w:val="null3"/>
        <w:ind w:firstLine="960"/>
      </w:pPr>
      <w:r>
        <w:rPr>
          <w:rFonts w:ascii="仿宋_GB2312" w:hAnsi="仿宋_GB2312" w:cs="仿宋_GB2312" w:eastAsia="仿宋_GB2312"/>
        </w:rPr>
        <w:t>详见附件：投标人认为有必要说明的其他资料.pdf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